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眼科信息化系统项目</w:t>
      </w:r>
    </w:p>
    <w:p>
      <w:pPr>
        <w:pStyle w:val="null3"/>
        <w:jc w:val="center"/>
        <w:outlineLvl w:val="2"/>
      </w:pPr>
      <w:r>
        <w:rPr>
          <w:b/>
          <w:sz w:val="28"/>
        </w:rPr>
        <w:t>采购项目编号：</w:t>
      </w:r>
      <w:r>
        <w:rPr>
          <w:b/>
          <w:sz w:val="28"/>
        </w:rPr>
        <w:t>ZMZB2024DYYY-41</w:t>
      </w:r>
      <w:r>
        <w:br/>
      </w:r>
      <w:r>
        <w:br/>
      </w:r>
      <w:r>
        <w:br/>
      </w:r>
    </w:p>
    <w:p>
      <w:pPr>
        <w:pStyle w:val="null3"/>
        <w:jc w:val="center"/>
        <w:outlineLvl w:val="2"/>
      </w:pPr>
      <w:r>
        <w:rPr>
          <w:b/>
          <w:sz w:val="28"/>
        </w:rPr>
        <w:t>西安市第一医院</w:t>
      </w:r>
    </w:p>
    <w:p>
      <w:pPr>
        <w:pStyle w:val="null3"/>
        <w:jc w:val="center"/>
        <w:outlineLvl w:val="2"/>
      </w:pPr>
      <w:r>
        <w:rPr>
          <w:b/>
          <w:sz w:val="28"/>
        </w:rPr>
        <w:t>陕西卓佲项目管理有限公司</w:t>
      </w:r>
      <w:r>
        <w:rPr>
          <w:b/>
          <w:sz w:val="28"/>
        </w:rPr>
        <w:t>共同编制</w:t>
      </w:r>
    </w:p>
    <w:p>
      <w:pPr>
        <w:pStyle w:val="null3"/>
        <w:jc w:val="center"/>
        <w:outlineLvl w:val="2"/>
      </w:pPr>
      <w:r>
        <w:rPr>
          <w:b/>
          <w:sz w:val="28"/>
        </w:rPr>
        <w:t>2024年04月07日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陕西卓佲项目管理有限公司</w:t>
      </w:r>
      <w:r>
        <w:rPr/>
        <w:t>（以下简称“代理机构”）受</w:t>
      </w:r>
      <w:r>
        <w:rPr/>
        <w:t>西安市第一医院</w:t>
      </w:r>
      <w:r>
        <w:rPr/>
        <w:t>委托，拟对</w:t>
      </w:r>
      <w:r>
        <w:rPr/>
        <w:t>眼科信息化系统项目</w:t>
      </w:r>
      <w:r>
        <w:rPr/>
        <w:t>采用竞争性磋商采购方式进行采购，兹邀请供应商参加本项目的竞争性磋商。</w:t>
      </w:r>
    </w:p>
    <w:p>
      <w:pPr>
        <w:pStyle w:val="null3"/>
        <w:outlineLvl w:val="2"/>
      </w:pPr>
      <w:r>
        <w:rPr>
          <w:b/>
          <w:sz w:val="28"/>
        </w:rPr>
        <w:t>一、项目编号：</w:t>
      </w:r>
      <w:r>
        <w:rPr>
          <w:b/>
          <w:sz w:val="28"/>
        </w:rPr>
        <w:t>ZMZB2024DYYY-41</w:t>
      </w:r>
    </w:p>
    <w:p>
      <w:pPr>
        <w:pStyle w:val="null3"/>
        <w:outlineLvl w:val="2"/>
      </w:pPr>
      <w:r>
        <w:rPr>
          <w:b/>
          <w:sz w:val="28"/>
        </w:rPr>
        <w:t>二、项目名称：</w:t>
      </w:r>
      <w:r>
        <w:rPr>
          <w:b/>
          <w:sz w:val="28"/>
        </w:rPr>
        <w:t>眼科信息化系统项目</w:t>
      </w:r>
    </w:p>
    <w:p>
      <w:pPr>
        <w:pStyle w:val="null3"/>
        <w:outlineLvl w:val="2"/>
      </w:pPr>
      <w:r>
        <w:rPr>
          <w:b/>
          <w:sz w:val="28"/>
        </w:rPr>
        <w:t>三、磋商项目简介</w:t>
      </w:r>
    </w:p>
    <w:p>
      <w:pPr>
        <w:pStyle w:val="null3"/>
        <w:ind w:firstLine="480"/>
      </w:pPr>
      <w:r>
        <w:rPr/>
        <w:t>眼科信息化系统项目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3、具有履行合同所必需的设备和专业技术能力的书面声明：具有履行合同所必需的设备和专业技术能力的书面声明；</w:t>
      </w:r>
    </w:p>
    <w:p>
      <w:pPr>
        <w:pStyle w:val="null3"/>
      </w:pPr>
      <w:r>
        <w:rPr/>
        <w:t>4、税收缴纳证明：提供2023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5、社会保障资金缴纳证明：提供 2023 年 1月以来至少一个月的社会保障资金缴存单据或社保机构开具的社会保险参保缴费情况证明。依法不需要缴纳社会保障资金的供应商应提供相关文件证明；</w:t>
      </w:r>
    </w:p>
    <w:p>
      <w:pPr>
        <w:pStyle w:val="null3"/>
      </w:pPr>
      <w:r>
        <w:rPr/>
        <w:t>6、参加政府采购活动前 3 年内在经营活动中没有重大违法记录的书面声明：参加政府采购活动前 3 年内在经营活动中没有重大违法记录的书面声明；</w:t>
      </w:r>
    </w:p>
    <w:p>
      <w:pPr>
        <w:pStyle w:val="null3"/>
      </w:pPr>
      <w:r>
        <w:rPr/>
        <w:t>7、法定代表人授权书：非法定代表人参加投标的，须提供法定代表人委托授权书及被授权人身份证，法定代表人参加投标时,只需提供法定代表人身份证；</w:t>
      </w:r>
    </w:p>
    <w:p>
      <w:pPr>
        <w:pStyle w:val="null3"/>
      </w:pPr>
      <w:r>
        <w:rPr/>
        <w:t>8、本项目不接受由西安市第一医院职工及其亲属投资举办的企业参加投标；：本项目不接受由西安市第一医院职工及其亲属投资举办的企业参加投标；</w:t>
      </w:r>
    </w:p>
    <w:p>
      <w:pPr>
        <w:pStyle w:val="null3"/>
      </w:pPr>
      <w:r>
        <w:rPr/>
        <w:t>9、本项目不接受联合体投标：本项目不接受联合体投标。</w:t>
      </w:r>
    </w:p>
    <w:p>
      <w:pPr>
        <w:pStyle w:val="null3"/>
      </w:pPr>
      <w:r>
        <w:rPr/>
        <w:t>采购包2：</w:t>
      </w:r>
    </w:p>
    <w:p>
      <w:pPr>
        <w:pStyle w:val="null3"/>
      </w:pPr>
      <w:r>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3、具有履行合同所必需的设备和专业技术能力的书面声明：具有履行合同所必需的设备和专业技术能力的书面声明；</w:t>
      </w:r>
    </w:p>
    <w:p>
      <w:pPr>
        <w:pStyle w:val="null3"/>
      </w:pPr>
      <w:r>
        <w:rPr/>
        <w:t>4、税收缴纳证明：提供2023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5、社会保障资金缴纳证明：提供 2023 年 1月以来至少一个月的社会保障资金缴存单据或社保机构开具的社会保险参保缴费情况证明。依法不需要缴纳社会保障资金的供应商应提供相关文件证明；</w:t>
      </w:r>
    </w:p>
    <w:p>
      <w:pPr>
        <w:pStyle w:val="null3"/>
      </w:pPr>
      <w:r>
        <w:rPr/>
        <w:t>6、参加政府采购活动前 3 年内在经营活动中没有重大违法记录的书面声明：参加政府采购活动前 3 年内在经营活动中没有重大违法记录的书面声明；</w:t>
      </w:r>
    </w:p>
    <w:p>
      <w:pPr>
        <w:pStyle w:val="null3"/>
      </w:pPr>
      <w:r>
        <w:rPr/>
        <w:t>7、法定代表人授权书：非法定代表人参加投标的，须提供法定代表人委托授权书及被授权人身份证，法定代表人参加投标时,只需提供法定代表人身份证；</w:t>
      </w:r>
    </w:p>
    <w:p>
      <w:pPr>
        <w:pStyle w:val="null3"/>
      </w:pPr>
      <w:r>
        <w:rPr/>
        <w:t>8、本项目不接受由西安市第一医院职工及其亲属投资举办的企业参加投标；：本项目不接受由西安市第一医院职工及其亲属投资举办的企业参加投标；</w:t>
      </w:r>
    </w:p>
    <w:p>
      <w:pPr>
        <w:pStyle w:val="null3"/>
      </w:pPr>
      <w:r>
        <w:rPr/>
        <w:t>9、本项目不接受联合体投标：本项目不接受联合体投标。</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西安市第一医院</w:t>
      </w:r>
    </w:p>
    <w:p>
      <w:pPr>
        <w:pStyle w:val="null3"/>
      </w:pPr>
      <w:r>
        <w:rPr/>
        <w:t xml:space="preserve"> 地址： </w:t>
      </w:r>
      <w:r>
        <w:rPr/>
        <w:t>南大街粉巷30号</w:t>
      </w:r>
    </w:p>
    <w:p>
      <w:pPr>
        <w:pStyle w:val="null3"/>
      </w:pPr>
      <w:r>
        <w:rPr/>
        <w:t xml:space="preserve"> 邮编： </w:t>
      </w:r>
      <w:r>
        <w:rPr/>
        <w:t xml:space="preserve"> /</w:t>
      </w:r>
    </w:p>
    <w:p>
      <w:pPr>
        <w:pStyle w:val="null3"/>
      </w:pPr>
      <w:r>
        <w:rPr/>
        <w:t xml:space="preserve"> 联系人： </w:t>
      </w:r>
      <w:r>
        <w:rPr/>
        <w:t>王老师</w:t>
      </w:r>
    </w:p>
    <w:p>
      <w:pPr>
        <w:pStyle w:val="null3"/>
      </w:pPr>
      <w:r>
        <w:rPr/>
        <w:t xml:space="preserve"> 联系电话： </w:t>
      </w:r>
      <w:r>
        <w:rPr/>
        <w:t xml:space="preserve"> 029-87630967</w:t>
      </w:r>
    </w:p>
    <w:p>
      <w:pPr>
        <w:pStyle w:val="null3"/>
        <w:outlineLvl w:val="3"/>
      </w:pPr>
      <w:r>
        <w:rPr>
          <w:b/>
          <w:sz w:val="24"/>
        </w:rPr>
        <w:t>代理机构：</w:t>
      </w:r>
      <w:r>
        <w:rPr>
          <w:b/>
          <w:sz w:val="24"/>
        </w:rPr>
        <w:t>陕西卓佲项目管理有限公司</w:t>
      </w:r>
    </w:p>
    <w:p>
      <w:pPr>
        <w:pStyle w:val="null3"/>
      </w:pPr>
      <w:r>
        <w:rPr/>
        <w:t xml:space="preserve"> 地址： </w:t>
      </w:r>
      <w:r>
        <w:rPr/>
        <w:t>西安市雁塔区科技路10号华奥大厦A座20层2002室</w:t>
      </w:r>
    </w:p>
    <w:p>
      <w:pPr>
        <w:pStyle w:val="null3"/>
      </w:pPr>
      <w:r>
        <w:rPr/>
        <w:t xml:space="preserve"> 邮编： </w:t>
      </w:r>
      <w:r>
        <w:rPr/>
        <w:t>710065</w:t>
      </w:r>
    </w:p>
    <w:p>
      <w:pPr>
        <w:pStyle w:val="null3"/>
      </w:pPr>
      <w:r>
        <w:rPr/>
        <w:t xml:space="preserve"> 联系人： </w:t>
      </w:r>
      <w:r>
        <w:rPr/>
        <w:t xml:space="preserve"> 董菊莉 李静</w:t>
      </w:r>
    </w:p>
    <w:p>
      <w:pPr>
        <w:pStyle w:val="null3"/>
      </w:pPr>
      <w:r>
        <w:rPr/>
        <w:t xml:space="preserve"> 联系电话： </w:t>
      </w:r>
      <w:r>
        <w:rPr/>
        <w:t xml:space="preserve"> 17778966063</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采购包1：750,000.00元</w:t>
            </w:r>
          </w:p>
          <w:p>
            <w:pPr>
              <w:pStyle w:val="null3"/>
            </w:pPr>
            <w:r>
              <w:rPr/>
              <w:t>采购包2：600,000.00元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说明：1、投标人应当按照中标合同总金额的5%作为履约保证金交付给采购人。 2、保证期为中标（成交）通知书到达中标投标人之日起至项目质保期结束日。 3、保证期满投标人如约履行合同的，采购人在合同服务期结束之日起30日内退还履约保证金（无息）。</w:t>
            </w:r>
          </w:p>
          <w:p>
            <w:pPr>
              <w:pStyle w:val="null3"/>
            </w:pPr>
            <w:r>
              <w:rPr/>
              <w:t>采购包2：缴纳</w:t>
            </w:r>
          </w:p>
          <w:p>
            <w:pPr>
              <w:pStyle w:val="null3"/>
            </w:pPr>
            <w:r>
              <w:rPr/>
              <w:t>本采购包履约保证金为合同金额的5.0%</w:t>
            </w:r>
          </w:p>
          <w:p>
            <w:pPr>
              <w:pStyle w:val="null3"/>
            </w:pPr>
            <w:r>
              <w:rPr/>
              <w:t>说明：1、投标人应当按照中标合同总金额的5%作为履约保证金交付给采购人。 2、保证期为中标（成交）通知书到达中标投标人之日起至项目质保期结束日。 3、保证期满投标人如约履行合同的，采购人在合同服务期结束之日起30日内退还履约保证金（无息）。</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下浮20%收取（含税），按照中标金额差额定率累进法计算，由中标/成交单位一次性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西安市第一医院</w:t>
      </w:r>
      <w:r>
        <w:rPr/>
        <w:t>和</w:t>
      </w:r>
      <w:r>
        <w:rPr/>
        <w:t>陕西卓佲项目管理有限公司</w:t>
      </w:r>
      <w:r>
        <w:rPr/>
        <w:t>享有。对磋商文件中供应商参加本次政府采购活动应当具备的条件，磋商项目技术、服务、商务及其他要求，评审细则及标准由</w:t>
      </w:r>
      <w:r>
        <w:rPr/>
        <w:t>西安市第一医院</w:t>
      </w:r>
      <w:r>
        <w:rPr/>
        <w:t>负责解释。除上述磋商文件内容，其他内容由</w:t>
      </w:r>
      <w:r>
        <w:rPr/>
        <w:t>陕西卓佲项目管理有限公司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西安市第一医院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按采购文件和投标文件执行</w:t>
      </w:r>
    </w:p>
    <w:p>
      <w:pPr>
        <w:pStyle w:val="null3"/>
      </w:pPr>
      <w:r>
        <w:rPr/>
        <w:t>采购包2：</w:t>
      </w:r>
    </w:p>
    <w:p>
      <w:pPr>
        <w:pStyle w:val="null3"/>
      </w:pPr>
      <w:r>
        <w:rPr/>
        <w:t>按采购文件和投标文件执行</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联系人：董菊莉</w:t>
      </w:r>
    </w:p>
    <w:p>
      <w:pPr>
        <w:pStyle w:val="null3"/>
      </w:pPr>
      <w:r>
        <w:rPr/>
        <w:t>联系电话： 17778966063</w:t>
      </w:r>
    </w:p>
    <w:p>
      <w:pPr>
        <w:pStyle w:val="null3"/>
      </w:pPr>
      <w:r>
        <w:rPr/>
        <w:t>地址：西安市雁塔区科技路10号华奥大厦A座20层2002室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眼科信息化系统项目</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750,000.00</w:t>
      </w:r>
    </w:p>
    <w:p>
      <w:pPr>
        <w:pStyle w:val="null3"/>
      </w:pPr>
      <w:r>
        <w:rPr/>
        <w:t>采购包最高限价（元）: 750,000.00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两院区视光专科管理系统</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新院区眼科PACS（扩容）</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标的名称：两院区视光专科管理系统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一、采购内容</w:t>
            </w:r>
          </w:p>
          <w:p>
            <w:pPr>
              <w:pStyle w:val="null3"/>
              <w:jc w:val="both"/>
            </w:pPr>
            <w:r>
              <w:rPr>
                <w:rFonts w:ascii="宋体" w:hAnsi="宋体" w:cs="宋体" w:eastAsia="宋体"/>
                <w:sz w:val="21"/>
              </w:rPr>
              <w:t>两院区视光专科管理系统</w:t>
            </w:r>
            <w:r>
              <w:rPr>
                <w:rFonts w:ascii="宋体" w:hAnsi="宋体" w:cs="宋体" w:eastAsia="宋体"/>
                <w:sz w:val="21"/>
              </w:rPr>
              <w:t xml:space="preserve">  </w:t>
            </w:r>
            <w:r>
              <w:rPr>
                <w:rFonts w:ascii="times new roman, times, serif" w:hAnsi="times new roman, times, serif" w:cs="times new roman, times, serif" w:eastAsia="times new roman, times, serif"/>
                <w:sz w:val="21"/>
              </w:rPr>
              <w:t>1</w:t>
            </w:r>
            <w:r>
              <w:rPr>
                <w:rFonts w:ascii="宋体" w:hAnsi="宋体" w:cs="宋体" w:eastAsia="宋体"/>
                <w:sz w:val="21"/>
              </w:rPr>
              <w:t>套</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rPr>
              <w:t>二、采购要求</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w:t>
            </w:r>
            <w:r>
              <w:rPr>
                <w:rFonts w:ascii="宋体" w:hAnsi="宋体" w:cs="宋体" w:eastAsia="宋体"/>
              </w:rPr>
              <w:t>项目概况</w:t>
            </w:r>
          </w:p>
          <w:p>
            <w:pPr>
              <w:pStyle w:val="null3"/>
              <w:jc w:val="both"/>
            </w:pPr>
            <w:r>
              <w:rPr>
                <w:rFonts w:ascii="宋体" w:hAnsi="宋体" w:cs="宋体" w:eastAsia="宋体"/>
                <w:sz w:val="21"/>
              </w:rPr>
              <w:t>我</w:t>
            </w:r>
            <w:r>
              <w:rPr>
                <w:rFonts w:ascii="宋体" w:hAnsi="宋体" w:cs="宋体" w:eastAsia="宋体"/>
                <w:sz w:val="21"/>
              </w:rPr>
              <w:t>院视光中心</w:t>
            </w:r>
            <w:r>
              <w:rPr>
                <w:rFonts w:ascii="宋体" w:hAnsi="宋体" w:cs="宋体" w:eastAsia="宋体"/>
                <w:sz w:val="21"/>
              </w:rPr>
              <w:t>由于患者日益增多，需要</w:t>
            </w:r>
            <w:r>
              <w:rPr>
                <w:rFonts w:ascii="宋体" w:hAnsi="宋体" w:cs="宋体" w:eastAsia="宋体"/>
                <w:sz w:val="21"/>
              </w:rPr>
              <w:t>信息化手段建立患者检查数据统一归档存放，让临床医生可以在电脑上</w:t>
            </w:r>
            <w:r>
              <w:rPr>
                <w:rFonts w:ascii="宋体" w:hAnsi="宋体" w:cs="宋体" w:eastAsia="宋体"/>
                <w:sz w:val="21"/>
              </w:rPr>
              <w:t>浏览</w:t>
            </w:r>
            <w:r>
              <w:rPr>
                <w:rFonts w:ascii="宋体" w:hAnsi="宋体" w:cs="宋体" w:eastAsia="宋体"/>
                <w:sz w:val="21"/>
              </w:rPr>
              <w:t>所有患者的全生命周期检查记录，代替原有的纸质档案流转，</w:t>
            </w:r>
            <w:r>
              <w:rPr>
                <w:rFonts w:ascii="宋体" w:hAnsi="宋体" w:cs="宋体" w:eastAsia="宋体"/>
                <w:sz w:val="21"/>
              </w:rPr>
              <w:t>建成后可以</w:t>
            </w:r>
            <w:r>
              <w:rPr>
                <w:rFonts w:ascii="宋体" w:hAnsi="宋体" w:cs="宋体" w:eastAsia="宋体"/>
                <w:sz w:val="21"/>
              </w:rPr>
              <w:t>提升临床医生、检查技师的工作效率，并提升了患者就医体验及满意度</w:t>
            </w:r>
            <w:r>
              <w:rPr>
                <w:rFonts w:ascii="宋体" w:hAnsi="宋体" w:cs="宋体" w:eastAsia="宋体"/>
                <w:sz w:val="21"/>
              </w:rPr>
              <w:t>。</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w:t>
            </w:r>
            <w:r>
              <w:rPr>
                <w:rFonts w:ascii="宋体" w:hAnsi="宋体" w:cs="宋体" w:eastAsia="宋体"/>
              </w:rPr>
              <w:t>项目背景</w:t>
            </w:r>
          </w:p>
          <w:p>
            <w:pPr>
              <w:pStyle w:val="null3"/>
              <w:ind w:firstLine="400"/>
              <w:jc w:val="both"/>
            </w:pPr>
            <w:r>
              <w:rPr>
                <w:rFonts w:ascii="宋体" w:hAnsi="宋体" w:cs="宋体" w:eastAsia="宋体"/>
              </w:rPr>
              <w:t>我院视光中心目前各类专科检查结果还是纸质报告，整个中心的信息化建设存在以下局限性：</w:t>
            </w:r>
          </w:p>
          <w:p>
            <w:pPr>
              <w:pStyle w:val="null3"/>
              <w:jc w:val="both"/>
            </w:pPr>
            <w:r>
              <w:rPr>
                <w:rFonts w:ascii="宋体" w:hAnsi="宋体" w:cs="宋体" w:eastAsia="宋体"/>
              </w:rPr>
              <w:t>①</w:t>
            </w:r>
            <w:r>
              <w:rPr>
                <w:rFonts w:ascii="宋体" w:hAnsi="宋体" w:cs="宋体" w:eastAsia="宋体"/>
              </w:rPr>
              <w:t>眼科检查数据没有信息化管理，无法达到无纸化办公，无法形成电子档案。</w:t>
            </w:r>
          </w:p>
          <w:p>
            <w:pPr>
              <w:pStyle w:val="null3"/>
              <w:jc w:val="both"/>
            </w:pPr>
            <w:r>
              <w:rPr>
                <w:rFonts w:ascii="宋体" w:hAnsi="宋体" w:cs="宋体" w:eastAsia="宋体"/>
              </w:rPr>
              <w:t>②</w:t>
            </w:r>
            <w:r>
              <w:rPr>
                <w:rFonts w:ascii="宋体" w:hAnsi="宋体" w:cs="宋体" w:eastAsia="宋体"/>
              </w:rPr>
              <w:t>纸质报告不清晰，丢失病变细节，不利于检索。</w:t>
            </w:r>
          </w:p>
          <w:p>
            <w:pPr>
              <w:pStyle w:val="null3"/>
              <w:jc w:val="both"/>
            </w:pPr>
            <w:r>
              <w:rPr>
                <w:rFonts w:ascii="宋体" w:hAnsi="宋体" w:cs="宋体" w:eastAsia="宋体"/>
              </w:rPr>
              <w:t>③</w:t>
            </w:r>
            <w:r>
              <w:rPr>
                <w:rFonts w:ascii="宋体" w:hAnsi="宋体" w:cs="宋体" w:eastAsia="宋体"/>
              </w:rPr>
              <w:t>无法在需要时立即查到已有的影像资料。</w:t>
            </w:r>
          </w:p>
          <w:p>
            <w:pPr>
              <w:pStyle w:val="null3"/>
              <w:jc w:val="both"/>
            </w:pPr>
            <w:r>
              <w:rPr>
                <w:rFonts w:ascii="宋体" w:hAnsi="宋体" w:cs="宋体" w:eastAsia="宋体"/>
              </w:rPr>
              <w:t>④</w:t>
            </w:r>
            <w:r>
              <w:rPr>
                <w:rFonts w:ascii="宋体" w:hAnsi="宋体" w:cs="宋体" w:eastAsia="宋体"/>
              </w:rPr>
              <w:t>检查和诊断的历史数据难以追踪，无法全面掌握患者的病历变化情况。</w:t>
            </w:r>
          </w:p>
          <w:p>
            <w:pPr>
              <w:pStyle w:val="null3"/>
              <w:jc w:val="both"/>
            </w:pPr>
            <w:r>
              <w:rPr>
                <w:rFonts w:ascii="宋体" w:hAnsi="宋体" w:cs="宋体" w:eastAsia="宋体"/>
                <w:sz w:val="21"/>
              </w:rPr>
              <w:t>⑤</w:t>
            </w:r>
            <w:r>
              <w:rPr>
                <w:rFonts w:ascii="宋体" w:hAnsi="宋体" w:cs="宋体" w:eastAsia="宋体"/>
                <w:sz w:val="21"/>
              </w:rPr>
              <w:t>由于检查设备升级换代，造成海量检查数据疏于管理甚至丢</w:t>
            </w:r>
            <w:r>
              <w:rPr>
                <w:rFonts w:ascii="宋体" w:hAnsi="宋体" w:cs="宋体" w:eastAsia="宋体"/>
                <w:sz w:val="21"/>
              </w:rPr>
              <w:t>失。</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w:t>
            </w:r>
            <w:r>
              <w:rPr>
                <w:rFonts w:ascii="宋体" w:hAnsi="宋体" w:cs="宋体" w:eastAsia="宋体"/>
              </w:rPr>
              <w:t>软件总体要求</w:t>
            </w:r>
          </w:p>
          <w:p>
            <w:pPr>
              <w:pStyle w:val="null3"/>
              <w:jc w:val="both"/>
            </w:pPr>
            <w:r>
              <w:rPr>
                <w:rFonts w:ascii="宋体" w:hAnsi="宋体" w:cs="宋体" w:eastAsia="宋体"/>
                <w:sz w:val="21"/>
              </w:rPr>
              <w:t>在现有电脑验光、主觉验光、角膜地形图、视觉评估、生物测量检查等设备的原始数据上，深入对原始数据进行提取得到数值的数字化数据，为后续科研提供数据检索、统计分析等使用。</w:t>
            </w:r>
            <w:r>
              <w:rPr>
                <w:rFonts w:ascii="宋体" w:hAnsi="宋体" w:cs="宋体" w:eastAsia="宋体"/>
                <w:sz w:val="21"/>
              </w:rPr>
              <w:t>以</w:t>
            </w:r>
            <w:r>
              <w:rPr>
                <w:rFonts w:ascii="宋体" w:hAnsi="宋体" w:cs="宋体" w:eastAsia="宋体"/>
                <w:sz w:val="21"/>
              </w:rPr>
              <w:t>患者为中心的档案</w:t>
            </w:r>
            <w:r>
              <w:rPr>
                <w:rFonts w:ascii="宋体" w:hAnsi="宋体" w:cs="宋体" w:eastAsia="宋体"/>
                <w:sz w:val="21"/>
              </w:rPr>
              <w:t>建设</w:t>
            </w:r>
            <w:r>
              <w:rPr>
                <w:rFonts w:ascii="宋体" w:hAnsi="宋体" w:cs="宋体" w:eastAsia="宋体"/>
                <w:sz w:val="21"/>
              </w:rPr>
              <w:t>内容、表格、样式建立电子模板。模板中的内容项目与数据的绑定，医生按需给个体患者建立电子文书使用，从而对其全生命周期的眼科电子档案进行管理。</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w:t>
            </w:r>
            <w:r>
              <w:rPr>
                <w:rFonts w:ascii="宋体" w:hAnsi="宋体" w:cs="宋体" w:eastAsia="宋体"/>
              </w:rPr>
              <w:t>建设目标</w:t>
            </w:r>
          </w:p>
          <w:p>
            <w:pPr>
              <w:pStyle w:val="null3"/>
              <w:jc w:val="both"/>
            </w:pPr>
            <w:r>
              <w:rPr>
                <w:rFonts w:ascii="宋体" w:hAnsi="宋体" w:cs="宋体" w:eastAsia="宋体"/>
                <w:sz w:val="21"/>
              </w:rPr>
              <w:t>①</w:t>
            </w:r>
            <w:r>
              <w:rPr>
                <w:rFonts w:ascii="宋体" w:hAnsi="宋体" w:cs="宋体" w:eastAsia="宋体"/>
              </w:rPr>
              <w:t>利用信息化手段形成电子档案，对于电子档案的汇总及质量进行统一化的规范管理。</w:t>
            </w:r>
          </w:p>
          <w:p>
            <w:pPr>
              <w:pStyle w:val="null3"/>
              <w:jc w:val="both"/>
            </w:pPr>
            <w:r>
              <w:rPr>
                <w:rFonts w:ascii="宋体" w:hAnsi="宋体" w:cs="宋体" w:eastAsia="宋体"/>
                <w:sz w:val="21"/>
              </w:rPr>
              <w:t>②</w:t>
            </w:r>
            <w:r>
              <w:rPr>
                <w:rFonts w:ascii="宋体" w:hAnsi="宋体" w:cs="宋体" w:eastAsia="宋体"/>
              </w:rPr>
              <w:t>视光亚专科数据管理系统将以患者为中心，提供每次检查、术前术后、治疗前后、历史多次随访的数据查看和数据比较，为医生在临床工作和科研方向探索等方向上提供数据挖掘分析和临床数据支持</w:t>
            </w:r>
            <w:r>
              <w:rPr>
                <w:rFonts w:ascii="宋体" w:hAnsi="宋体" w:cs="宋体" w:eastAsia="宋体"/>
                <w:color w:val="0000FF"/>
              </w:rPr>
              <w:t>。</w:t>
            </w:r>
          </w:p>
          <w:p>
            <w:pPr>
              <w:pStyle w:val="null3"/>
              <w:jc w:val="both"/>
            </w:pPr>
            <w:r>
              <w:rPr>
                <w:rFonts w:ascii="宋体" w:hAnsi="宋体" w:cs="宋体" w:eastAsia="宋体"/>
                <w:sz w:val="21"/>
              </w:rPr>
              <w:t xml:space="preserve">③ </w:t>
            </w:r>
            <w:r>
              <w:rPr>
                <w:rFonts w:ascii="宋体" w:hAnsi="宋体" w:cs="宋体" w:eastAsia="宋体"/>
              </w:rPr>
              <w:t>提供智能随访系统，灵活制定随访规则，智能提醒，更高效的完成随访任务，让医生可以更灵活运用、管理随访工作。</w:t>
            </w:r>
          </w:p>
          <w:p>
            <w:pPr>
              <w:pStyle w:val="null3"/>
              <w:jc w:val="both"/>
            </w:pPr>
            <w:r>
              <w:rPr>
                <w:rFonts w:ascii="宋体" w:hAnsi="宋体" w:cs="宋体" w:eastAsia="宋体"/>
                <w:sz w:val="21"/>
              </w:rPr>
              <w:t>④</w:t>
            </w:r>
            <w:r>
              <w:rPr>
                <w:rFonts w:ascii="宋体" w:hAnsi="宋体" w:cs="宋体" w:eastAsia="宋体"/>
              </w:rPr>
              <w:t>使用权威的医学知识库，提供给医生使用标准化术语完成病历档案编辑，从而提升整体医疗效率和电子病历档案质量。</w:t>
            </w:r>
          </w:p>
          <w:p>
            <w:pPr>
              <w:pStyle w:val="null3"/>
              <w:jc w:val="both"/>
            </w:pPr>
            <w:r>
              <w:rPr>
                <w:rFonts w:ascii="宋体" w:hAnsi="宋体" w:cs="宋体" w:eastAsia="宋体"/>
                <w:sz w:val="21"/>
              </w:rPr>
              <w:t>⑤</w:t>
            </w:r>
            <w:r>
              <w:rPr>
                <w:rFonts w:ascii="&quot;times new roman&quot;" w:hAnsi="&quot;times new roman&quot;" w:cs="&quot;times new roman&quot;" w:eastAsia="&quot;times new roman&quot;"/>
                <w:sz w:val="21"/>
              </w:rPr>
              <w:t xml:space="preserve"> </w:t>
            </w:r>
            <w:r>
              <w:rPr>
                <w:rFonts w:ascii="宋体" w:hAnsi="宋体" w:cs="宋体" w:eastAsia="宋体"/>
                <w:sz w:val="21"/>
              </w:rPr>
              <w:t>建立数据的指标范围以及逻辑关系规则，按照规则自动评估，对于异常值进行提醒，在医生诊疗过程中进行智能预测、推荐、预警。</w:t>
            </w:r>
          </w:p>
        </w:tc>
      </w:tr>
      <w:tr>
        <w:tc>
          <w:tcPr>
            <w:tcW w:type="dxa" w:w="2769"/>
          </w:tcPr>
          <w:p>
            <w:pPr>
              <w:pStyle w:val="null3"/>
            </w:pPr>
            <w:r>
              <w:rPr/>
              <w:t>★</w:t>
            </w:r>
          </w:p>
        </w:tc>
        <w:tc>
          <w:tcPr>
            <w:tcW w:type="dxa" w:w="2769"/>
          </w:tcPr>
          <w:p>
            <w:pPr>
              <w:pStyle w:val="null3"/>
            </w:pPr>
            <w:r>
              <w:rPr/>
              <w:t>6</w:t>
            </w:r>
          </w:p>
        </w:tc>
        <w:tc>
          <w:tcPr>
            <w:tcW w:type="dxa" w:w="2769"/>
          </w:tcPr>
          <w:p>
            <w:pPr>
              <w:pStyle w:val="null3"/>
              <w:jc w:val="both"/>
            </w:pPr>
            <w:r>
              <w:rPr>
                <w:rFonts w:ascii="宋体" w:hAnsi="宋体" w:cs="宋体" w:eastAsia="宋体"/>
              </w:rPr>
              <w:t>（</w:t>
            </w:r>
            <w:r>
              <w:rPr>
                <w:rFonts w:ascii="calibri" w:hAnsi="calibri" w:cs="calibri" w:eastAsia="calibri"/>
              </w:rPr>
              <w:t>5</w:t>
            </w:r>
            <w:r>
              <w:rPr>
                <w:rFonts w:ascii="宋体" w:hAnsi="宋体" w:cs="宋体" w:eastAsia="宋体"/>
              </w:rPr>
              <w:t>）</w:t>
            </w:r>
            <w:r>
              <w:rPr>
                <w:rFonts w:ascii="宋体" w:hAnsi="宋体" w:cs="宋体" w:eastAsia="宋体"/>
              </w:rPr>
              <w:t>★</w:t>
            </w:r>
            <w:r>
              <w:rPr>
                <w:rFonts w:ascii="宋体" w:hAnsi="宋体" w:cs="宋体" w:eastAsia="宋体"/>
              </w:rPr>
              <w:t>其他要求：</w:t>
            </w:r>
          </w:p>
          <w:p>
            <w:pPr>
              <w:pStyle w:val="null3"/>
              <w:jc w:val="both"/>
            </w:pPr>
            <w:r>
              <w:rPr>
                <w:rFonts w:ascii="宋体" w:hAnsi="宋体" w:cs="宋体" w:eastAsia="宋体"/>
              </w:rPr>
              <w:t>①</w:t>
            </w:r>
            <w:r>
              <w:rPr/>
              <w:t xml:space="preserve"> </w:t>
            </w:r>
            <w:r>
              <w:rPr>
                <w:rFonts w:ascii="宋体" w:hAnsi="宋体" w:cs="宋体" w:eastAsia="宋体"/>
              </w:rPr>
              <w:t>必须满足一院多区使用，两院区数据互通共享，两院区医护操作需满足同质化；</w:t>
            </w:r>
            <w:r>
              <w:rPr>
                <w:rFonts w:ascii="宋体" w:hAnsi="宋体" w:cs="宋体" w:eastAsia="宋体"/>
              </w:rPr>
              <w:t>（</w:t>
            </w:r>
            <w:r>
              <w:rPr>
                <w:rFonts w:ascii="宋体" w:hAnsi="宋体" w:cs="宋体" w:eastAsia="宋体"/>
              </w:rPr>
              <w:t>提供承诺函</w:t>
            </w:r>
            <w:r>
              <w:rPr>
                <w:rFonts w:ascii="宋体" w:hAnsi="宋体" w:cs="宋体" w:eastAsia="宋体"/>
              </w:rPr>
              <w:t>）</w:t>
            </w:r>
          </w:p>
          <w:p>
            <w:pPr>
              <w:pStyle w:val="null3"/>
              <w:jc w:val="both"/>
            </w:pPr>
            <w:r>
              <w:rPr>
                <w:rFonts w:ascii="宋体" w:hAnsi="宋体" w:cs="宋体" w:eastAsia="宋体"/>
              </w:rPr>
              <w:t>② 必须在</w:t>
            </w:r>
            <w:r>
              <w:rPr>
                <w:rFonts w:ascii="宋体" w:hAnsi="宋体" w:cs="宋体" w:eastAsia="宋体"/>
              </w:rPr>
              <w:t>无条件</w:t>
            </w:r>
            <w:r>
              <w:rPr>
                <w:rFonts w:ascii="宋体" w:hAnsi="宋体" w:cs="宋体" w:eastAsia="宋体"/>
              </w:rPr>
              <w:t>配合医院电子病历</w:t>
            </w:r>
            <w:r>
              <w:rPr>
                <w:rFonts w:ascii="calibri" w:hAnsi="calibri" w:cs="calibri" w:eastAsia="calibri"/>
              </w:rPr>
              <w:t>5</w:t>
            </w:r>
            <w:r>
              <w:rPr>
                <w:rFonts w:ascii="宋体" w:hAnsi="宋体" w:cs="宋体" w:eastAsia="宋体"/>
              </w:rPr>
              <w:t>级评审，互联互通</w:t>
            </w:r>
            <w:r>
              <w:rPr>
                <w:rFonts w:ascii="calibri" w:hAnsi="calibri" w:cs="calibri" w:eastAsia="calibri"/>
              </w:rPr>
              <w:t>5</w:t>
            </w:r>
            <w:r>
              <w:rPr>
                <w:rFonts w:ascii="宋体" w:hAnsi="宋体" w:cs="宋体" w:eastAsia="宋体"/>
              </w:rPr>
              <w:t>乙的对标建设及改造工作；必须对照以上两个国家标准建设，使项目符合电子病历</w:t>
            </w:r>
            <w:r>
              <w:rPr>
                <w:rFonts w:ascii="calibri" w:hAnsi="calibri" w:cs="calibri" w:eastAsia="calibri"/>
              </w:rPr>
              <w:t>5</w:t>
            </w:r>
            <w:r>
              <w:rPr>
                <w:rFonts w:ascii="宋体" w:hAnsi="宋体" w:cs="宋体" w:eastAsia="宋体"/>
              </w:rPr>
              <w:t>级及互联互通</w:t>
            </w:r>
            <w:r>
              <w:rPr>
                <w:rFonts w:ascii="calibri" w:hAnsi="calibri" w:cs="calibri" w:eastAsia="calibri"/>
              </w:rPr>
              <w:t>5</w:t>
            </w:r>
            <w:r>
              <w:rPr>
                <w:rFonts w:ascii="宋体" w:hAnsi="宋体" w:cs="宋体" w:eastAsia="宋体"/>
              </w:rPr>
              <w:t>乙的要求；</w:t>
            </w:r>
            <w:r>
              <w:rPr>
                <w:rFonts w:ascii="宋体" w:hAnsi="宋体" w:cs="宋体" w:eastAsia="宋体"/>
              </w:rPr>
              <w:t>包含不限于对接智慧服务、智慧管理、公立医院绩效考核等国家相关规范要求；</w:t>
            </w:r>
            <w:r>
              <w:rPr>
                <w:rFonts w:ascii="宋体" w:hAnsi="宋体" w:cs="宋体" w:eastAsia="宋体"/>
              </w:rPr>
              <w:t>（</w:t>
            </w:r>
            <w:r>
              <w:rPr>
                <w:rFonts w:ascii="宋体" w:hAnsi="宋体" w:cs="宋体" w:eastAsia="宋体"/>
              </w:rPr>
              <w:t>提供承诺函</w:t>
            </w:r>
            <w:r>
              <w:rPr>
                <w:rFonts w:ascii="宋体" w:hAnsi="宋体" w:cs="宋体" w:eastAsia="宋体"/>
              </w:rPr>
              <w:t>）</w:t>
            </w:r>
          </w:p>
          <w:p>
            <w:pPr>
              <w:pStyle w:val="null3"/>
              <w:jc w:val="both"/>
            </w:pPr>
            <w:r>
              <w:rPr>
                <w:rFonts w:ascii="宋体" w:hAnsi="宋体" w:cs="宋体" w:eastAsia="宋体"/>
              </w:rPr>
              <w:t>③ 必须满足医院</w:t>
            </w:r>
            <w:r>
              <w:rPr>
                <w:rFonts w:ascii="宋体" w:hAnsi="宋体" w:cs="宋体" w:eastAsia="宋体"/>
              </w:rPr>
              <w:t>对于界面优化、改进流程、质量安全改进</w:t>
            </w:r>
            <w:r>
              <w:rPr>
                <w:rFonts w:ascii="宋体" w:hAnsi="宋体" w:cs="宋体" w:eastAsia="宋体"/>
              </w:rPr>
              <w:t>的现场二次开发任务</w:t>
            </w:r>
            <w:r>
              <w:rPr>
                <w:rFonts w:ascii="宋体" w:hAnsi="宋体" w:cs="宋体" w:eastAsia="宋体"/>
              </w:rPr>
              <w:t>；（</w:t>
            </w:r>
            <w:r>
              <w:rPr>
                <w:rFonts w:ascii="宋体" w:hAnsi="宋体" w:cs="宋体" w:eastAsia="宋体"/>
              </w:rPr>
              <w:t>提供承诺函</w:t>
            </w:r>
            <w:r>
              <w:rPr>
                <w:rFonts w:ascii="宋体" w:hAnsi="宋体" w:cs="宋体" w:eastAsia="宋体"/>
              </w:rPr>
              <w:t>）</w:t>
            </w:r>
          </w:p>
          <w:p>
            <w:pPr>
              <w:pStyle w:val="null3"/>
              <w:jc w:val="both"/>
            </w:pPr>
            <w:r>
              <w:rPr>
                <w:rFonts w:ascii="宋体" w:hAnsi="宋体" w:cs="宋体" w:eastAsia="宋体"/>
              </w:rPr>
              <w:t>④</w:t>
            </w:r>
            <w:r>
              <w:rPr>
                <w:rFonts w:ascii="宋体" w:hAnsi="宋体" w:cs="宋体" w:eastAsia="宋体"/>
              </w:rPr>
              <w:t xml:space="preserve"> </w:t>
            </w:r>
            <w:r>
              <w:rPr>
                <w:rFonts w:ascii="宋体" w:hAnsi="宋体" w:cs="宋体" w:eastAsia="宋体"/>
              </w:rPr>
              <w:t>完成本项目涉及与院内现有系统（</w:t>
            </w:r>
            <w:r>
              <w:rPr>
                <w:rFonts w:ascii="宋体" w:hAnsi="宋体" w:cs="宋体" w:eastAsia="宋体"/>
              </w:rPr>
              <w:t>包含且</w:t>
            </w:r>
            <w:r>
              <w:rPr>
                <w:rFonts w:ascii="宋体" w:hAnsi="宋体" w:cs="宋体" w:eastAsia="宋体"/>
              </w:rPr>
              <w:t>不限</w:t>
            </w:r>
            <w:r>
              <w:rPr>
                <w:rFonts w:ascii="宋体" w:hAnsi="宋体" w:cs="宋体" w:eastAsia="宋体"/>
              </w:rPr>
              <w:t>于</w:t>
            </w:r>
            <w:r>
              <w:rPr>
                <w:rFonts w:ascii="calibri" w:hAnsi="calibri" w:cs="calibri" w:eastAsia="calibri"/>
              </w:rPr>
              <w:t>HIS</w:t>
            </w:r>
            <w:r>
              <w:rPr>
                <w:rFonts w:ascii="宋体" w:hAnsi="宋体" w:cs="宋体" w:eastAsia="宋体"/>
              </w:rPr>
              <w:t>、集成平台、</w:t>
            </w:r>
            <w:r>
              <w:rPr>
                <w:rFonts w:ascii="calibri" w:hAnsi="calibri" w:cs="calibri" w:eastAsia="calibri"/>
              </w:rPr>
              <w:t>CDR</w:t>
            </w:r>
            <w:r>
              <w:rPr>
                <w:rFonts w:ascii="宋体" w:hAnsi="宋体" w:cs="宋体" w:eastAsia="宋体"/>
              </w:rPr>
              <w:t>、</w:t>
            </w:r>
            <w:r>
              <w:rPr>
                <w:rFonts w:ascii="calibri" w:hAnsi="calibri" w:cs="calibri" w:eastAsia="calibri"/>
              </w:rPr>
              <w:t>EMR</w:t>
            </w:r>
            <w:r>
              <w:rPr>
                <w:rFonts w:ascii="宋体" w:hAnsi="宋体" w:cs="宋体" w:eastAsia="宋体"/>
              </w:rPr>
              <w:t>等</w:t>
            </w:r>
            <w:r>
              <w:rPr>
                <w:rFonts w:ascii="宋体" w:hAnsi="宋体" w:cs="宋体" w:eastAsia="宋体"/>
              </w:rPr>
              <w:t>）的对接，且所含的所有接口费均包含在本项目之内；</w:t>
            </w:r>
            <w:r>
              <w:rPr>
                <w:rFonts w:ascii="宋体" w:hAnsi="宋体" w:cs="宋体" w:eastAsia="宋体"/>
              </w:rPr>
              <w:t>（</w:t>
            </w:r>
            <w:r>
              <w:rPr>
                <w:rFonts w:ascii="宋体" w:hAnsi="宋体" w:cs="宋体" w:eastAsia="宋体"/>
              </w:rPr>
              <w:t>提供承诺函</w:t>
            </w:r>
            <w:r>
              <w:rPr>
                <w:rFonts w:ascii="宋体" w:hAnsi="宋体" w:cs="宋体" w:eastAsia="宋体"/>
              </w:rPr>
              <w:t>）</w:t>
            </w:r>
          </w:p>
          <w:p>
            <w:pPr>
              <w:pStyle w:val="null3"/>
              <w:jc w:val="both"/>
            </w:pPr>
            <w:r>
              <w:rPr>
                <w:rFonts w:ascii="宋体" w:hAnsi="宋体" w:cs="宋体" w:eastAsia="宋体"/>
                <w:sz w:val="21"/>
              </w:rPr>
              <w:t>⑤</w:t>
            </w:r>
            <w:r>
              <w:rPr>
                <w:rFonts w:ascii="宋体" w:hAnsi="宋体" w:cs="宋体" w:eastAsia="宋体"/>
                <w:sz w:val="21"/>
              </w:rPr>
              <w:t xml:space="preserve"> </w:t>
            </w:r>
            <w:r>
              <w:rPr>
                <w:rFonts w:ascii="宋体" w:hAnsi="宋体" w:cs="宋体" w:eastAsia="宋体"/>
                <w:sz w:val="21"/>
              </w:rPr>
              <w:t>质保期内与</w:t>
            </w:r>
            <w:r>
              <w:rPr>
                <w:rFonts w:ascii="宋体" w:hAnsi="宋体" w:cs="宋体" w:eastAsia="宋体"/>
                <w:sz w:val="21"/>
              </w:rPr>
              <w:t>新增</w:t>
            </w:r>
            <w:r>
              <w:rPr>
                <w:rFonts w:ascii="宋体" w:hAnsi="宋体" w:cs="宋体" w:eastAsia="宋体"/>
                <w:sz w:val="21"/>
              </w:rPr>
              <w:t>设备</w:t>
            </w:r>
            <w:r>
              <w:rPr>
                <w:rFonts w:ascii="宋体" w:hAnsi="宋体" w:cs="宋体" w:eastAsia="宋体"/>
                <w:sz w:val="21"/>
              </w:rPr>
              <w:t>无条件</w:t>
            </w:r>
            <w:r>
              <w:rPr>
                <w:rFonts w:ascii="宋体" w:hAnsi="宋体" w:cs="宋体" w:eastAsia="宋体"/>
                <w:sz w:val="21"/>
              </w:rPr>
              <w:t>对接</w:t>
            </w:r>
            <w:r>
              <w:rPr>
                <w:rFonts w:ascii="&quot;times new roman&quot;" w:hAnsi="&quot;times new roman&quot;" w:cs="&quot;times new roman&quot;" w:eastAsia="&quot;times new roman&quot;"/>
                <w:sz w:val="21"/>
              </w:rPr>
              <w:t xml:space="preserve"> </w:t>
            </w:r>
            <w:r>
              <w:rPr>
                <w:rFonts w:ascii="宋体" w:hAnsi="宋体" w:cs="宋体" w:eastAsia="宋体"/>
                <w:sz w:val="21"/>
              </w:rPr>
              <w:t>。（</w:t>
            </w:r>
            <w:r>
              <w:rPr>
                <w:rFonts w:ascii="宋体" w:hAnsi="宋体" w:cs="宋体" w:eastAsia="宋体"/>
                <w:sz w:val="21"/>
              </w:rPr>
              <w:t>提供承诺函</w:t>
            </w:r>
            <w:r>
              <w:rPr>
                <w:rFonts w:ascii="宋体" w:hAnsi="宋体" w:cs="宋体" w:eastAsia="宋体"/>
                <w:sz w:val="21"/>
              </w:rPr>
              <w:t>）</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rPr>
              <w:t>（</w:t>
            </w:r>
            <w:r>
              <w:rPr>
                <w:rFonts w:ascii="calibri" w:hAnsi="calibri" w:cs="calibri" w:eastAsia="calibri"/>
              </w:rPr>
              <w:t>6</w:t>
            </w:r>
            <w:r>
              <w:rPr>
                <w:rFonts w:ascii="宋体" w:hAnsi="宋体" w:cs="宋体" w:eastAsia="宋体"/>
              </w:rPr>
              <w:t>）建设原则</w:t>
            </w:r>
            <w:r>
              <w:rPr>
                <w:rFonts w:ascii="宋体" w:hAnsi="宋体" w:cs="宋体" w:eastAsia="宋体"/>
              </w:rPr>
              <w:t>（如：先进性、标准化、易用性、安全性、开放性、扩展性等）</w:t>
            </w:r>
          </w:p>
          <w:p>
            <w:pPr>
              <w:pStyle w:val="null3"/>
              <w:jc w:val="both"/>
            </w:pPr>
            <w:r>
              <w:rPr>
                <w:rFonts w:ascii="宋体" w:hAnsi="宋体" w:cs="宋体" w:eastAsia="宋体"/>
                <w:sz w:val="21"/>
              </w:rPr>
              <w:t>①</w:t>
            </w:r>
            <w:r>
              <w:rPr>
                <w:rFonts w:ascii="&quot;times new roman&quot;" w:hAnsi="&quot;times new roman&quot;" w:cs="&quot;times new roman&quot;" w:eastAsia="&quot;times new roman&quot;"/>
                <w:sz w:val="21"/>
              </w:rPr>
              <w:t xml:space="preserve"> </w:t>
            </w:r>
            <w:r>
              <w:rPr>
                <w:rFonts w:ascii="宋体" w:hAnsi="宋体" w:cs="宋体" w:eastAsia="宋体"/>
              </w:rPr>
              <w:t>实用性</w:t>
            </w:r>
          </w:p>
          <w:p>
            <w:pPr>
              <w:pStyle w:val="null3"/>
              <w:ind w:firstLine="400"/>
              <w:jc w:val="both"/>
            </w:pPr>
            <w:r>
              <w:rPr>
                <w:rFonts w:ascii="宋体" w:hAnsi="宋体" w:cs="宋体" w:eastAsia="宋体"/>
              </w:rPr>
              <w:t>业务设计符合实际业务使用需求，流程在实际流程基础上进行优化，同时注重信息化工具的应用进行简化。</w:t>
            </w:r>
          </w:p>
          <w:p>
            <w:pPr>
              <w:pStyle w:val="null3"/>
              <w:jc w:val="both"/>
            </w:pPr>
            <w:r>
              <w:rPr>
                <w:rFonts w:ascii="宋体" w:hAnsi="宋体" w:cs="宋体" w:eastAsia="宋体"/>
                <w:sz w:val="21"/>
              </w:rPr>
              <w:t>②</w:t>
            </w:r>
            <w:r>
              <w:rPr>
                <w:rFonts w:ascii="宋体" w:hAnsi="宋体" w:cs="宋体" w:eastAsia="宋体"/>
              </w:rPr>
              <w:t>可靠性</w:t>
            </w:r>
          </w:p>
          <w:p>
            <w:pPr>
              <w:pStyle w:val="null3"/>
              <w:ind w:firstLine="400"/>
              <w:jc w:val="both"/>
            </w:pPr>
            <w:r>
              <w:rPr>
                <w:rFonts w:ascii="宋体" w:hAnsi="宋体" w:cs="宋体" w:eastAsia="宋体"/>
              </w:rPr>
              <w:t>系统部署，应急措施，实际环境限制等诸多方面考虑系统稳定运行，在硬件底层使用上采用冗余技术，充分考虑到大数据，足够并发数量的使用场景。</w:t>
            </w:r>
          </w:p>
          <w:p>
            <w:pPr>
              <w:pStyle w:val="null3"/>
              <w:jc w:val="both"/>
            </w:pPr>
            <w:r>
              <w:rPr>
                <w:rFonts w:ascii="宋体" w:hAnsi="宋体" w:cs="宋体" w:eastAsia="宋体"/>
                <w:sz w:val="21"/>
              </w:rPr>
              <w:t xml:space="preserve">③ </w:t>
            </w:r>
            <w:r>
              <w:rPr>
                <w:rFonts w:ascii="宋体" w:hAnsi="宋体" w:cs="宋体" w:eastAsia="宋体"/>
              </w:rPr>
              <w:t>可持续性</w:t>
            </w:r>
          </w:p>
          <w:p>
            <w:pPr>
              <w:pStyle w:val="null3"/>
              <w:ind w:firstLine="400"/>
              <w:jc w:val="both"/>
            </w:pPr>
            <w:r>
              <w:rPr>
                <w:rFonts w:ascii="宋体" w:hAnsi="宋体" w:cs="宋体" w:eastAsia="宋体"/>
              </w:rPr>
              <w:t>技术构架应采用可扩展的方案，有效地支持业务的不断发展扩充，相关业务设计要考虑各种数据管理应用的可持续性，以保障业务开展的持续性。</w:t>
            </w:r>
          </w:p>
          <w:p>
            <w:pPr>
              <w:pStyle w:val="null3"/>
              <w:jc w:val="both"/>
            </w:pPr>
            <w:r>
              <w:rPr>
                <w:rFonts w:ascii="宋体" w:hAnsi="宋体" w:cs="宋体" w:eastAsia="宋体"/>
                <w:sz w:val="21"/>
              </w:rPr>
              <w:t>④</w:t>
            </w:r>
            <w:r>
              <w:rPr>
                <w:rFonts w:ascii="&quot;times new roman&quot;" w:hAnsi="&quot;times new roman&quot;" w:cs="&quot;times new roman&quot;" w:eastAsia="&quot;times new roman&quot;"/>
                <w:sz w:val="21"/>
              </w:rPr>
              <w:t xml:space="preserve"> </w:t>
            </w:r>
            <w:r>
              <w:rPr>
                <w:rFonts w:ascii="宋体" w:hAnsi="宋体" w:cs="宋体" w:eastAsia="宋体"/>
              </w:rPr>
              <w:t>便捷性</w:t>
            </w:r>
          </w:p>
          <w:p>
            <w:pPr>
              <w:pStyle w:val="null3"/>
              <w:ind w:firstLine="400"/>
              <w:jc w:val="both"/>
            </w:pPr>
            <w:r>
              <w:rPr>
                <w:rFonts w:ascii="宋体" w:hAnsi="宋体" w:cs="宋体" w:eastAsia="宋体"/>
              </w:rPr>
              <w:t>在业务内部使用，公众使用应采用友好界面，消息推送，功能转向连接、移动端便捷操作等多种便捷性的方式进行使用。</w:t>
            </w:r>
          </w:p>
          <w:p>
            <w:pPr>
              <w:pStyle w:val="null3"/>
              <w:jc w:val="both"/>
            </w:pPr>
            <w:r>
              <w:rPr>
                <w:rFonts w:ascii="宋体" w:hAnsi="宋体" w:cs="宋体" w:eastAsia="宋体"/>
                <w:sz w:val="21"/>
              </w:rPr>
              <w:t>⑤</w:t>
            </w:r>
            <w:r>
              <w:rPr>
                <w:rFonts w:ascii="&quot;times new roman&quot;" w:hAnsi="&quot;times new roman&quot;" w:cs="&quot;times new roman&quot;" w:eastAsia="&quot;times new roman&quot;"/>
                <w:sz w:val="21"/>
              </w:rPr>
              <w:t xml:space="preserve"> </w:t>
            </w:r>
            <w:r>
              <w:rPr>
                <w:rFonts w:ascii="宋体" w:hAnsi="宋体" w:cs="宋体" w:eastAsia="宋体"/>
              </w:rPr>
              <w:t>专业性</w:t>
            </w:r>
          </w:p>
          <w:p>
            <w:pPr>
              <w:pStyle w:val="null3"/>
              <w:ind w:firstLine="400"/>
              <w:jc w:val="both"/>
            </w:pPr>
            <w:r>
              <w:rPr>
                <w:rFonts w:ascii="宋体" w:hAnsi="宋体" w:cs="宋体" w:eastAsia="宋体"/>
              </w:rPr>
              <w:t>突出</w:t>
            </w:r>
            <w:r>
              <w:rPr>
                <w:rFonts w:ascii="宋体" w:hAnsi="宋体" w:cs="宋体" w:eastAsia="宋体"/>
              </w:rPr>
              <w:t>视光中心</w:t>
            </w:r>
            <w:r>
              <w:rPr>
                <w:rFonts w:ascii="宋体" w:hAnsi="宋体" w:cs="宋体" w:eastAsia="宋体"/>
              </w:rPr>
              <w:t>医疗健康的专业性，在屈光档案、眼健康档案数据项目以及数据应用应具备眼科专科特色，并在知识库建立应采用眼科专业权威知识库。</w:t>
            </w:r>
          </w:p>
          <w:p>
            <w:pPr>
              <w:pStyle w:val="null3"/>
              <w:jc w:val="both"/>
            </w:pPr>
            <w:r>
              <w:rPr>
                <w:rFonts w:ascii="times new roman, times, serif" w:hAnsi="times new roman, times, serif" w:cs="times new roman, times, serif" w:eastAsia="times new roman, times, serif"/>
                <w:sz w:val="21"/>
              </w:rPr>
              <w:t>⑥</w:t>
            </w:r>
            <w:r>
              <w:rPr>
                <w:rFonts w:ascii="宋体" w:hAnsi="宋体" w:cs="宋体" w:eastAsia="宋体"/>
              </w:rPr>
              <w:t>标准化</w:t>
            </w:r>
          </w:p>
          <w:p>
            <w:pPr>
              <w:pStyle w:val="null3"/>
              <w:ind w:firstLine="400"/>
              <w:jc w:val="both"/>
            </w:pPr>
            <w:r>
              <w:rPr>
                <w:rFonts w:ascii="宋体" w:hAnsi="宋体" w:cs="宋体" w:eastAsia="宋体"/>
              </w:rPr>
              <w:t>在眼科数值、影像、报告应遵照国家相关标准、规范或者国际标准、规范进行建设，提供非标准化数据规范为标准化数据的解决方案。</w:t>
            </w:r>
          </w:p>
          <w:p>
            <w:pPr>
              <w:pStyle w:val="null3"/>
              <w:jc w:val="both"/>
            </w:pPr>
            <w:r>
              <w:rPr>
                <w:rFonts w:ascii="times new roman, times, serif" w:hAnsi="times new roman, times, serif" w:cs="times new roman, times, serif" w:eastAsia="times new roman, times, serif"/>
                <w:sz w:val="21"/>
              </w:rPr>
              <w:t>⑦</w:t>
            </w:r>
            <w:r>
              <w:rPr>
                <w:rFonts w:ascii="宋体" w:hAnsi="宋体" w:cs="宋体" w:eastAsia="宋体"/>
              </w:rPr>
              <w:t>开放性</w:t>
            </w:r>
          </w:p>
          <w:p>
            <w:pPr>
              <w:pStyle w:val="null3"/>
              <w:ind w:firstLine="400"/>
              <w:jc w:val="both"/>
            </w:pPr>
            <w:r>
              <w:rPr>
                <w:rFonts w:ascii="宋体" w:hAnsi="宋体" w:cs="宋体" w:eastAsia="宋体"/>
              </w:rPr>
              <w:t>提供开发接口，提供第三方在限定权限内进行数据应用开发，发挥平台数据的优势，为更大范围内的数据应用提供开放能力。</w:t>
            </w:r>
          </w:p>
          <w:p>
            <w:pPr>
              <w:pStyle w:val="null3"/>
              <w:jc w:val="both"/>
            </w:pPr>
            <w:r>
              <w:rPr>
                <w:rFonts w:ascii="times new roman, times, serif" w:hAnsi="times new roman, times, serif" w:cs="times new roman, times, serif" w:eastAsia="times new roman, times, serif"/>
                <w:sz w:val="21"/>
              </w:rPr>
              <w:t>⑧</w:t>
            </w:r>
            <w:r>
              <w:rPr>
                <w:rFonts w:ascii="宋体" w:hAnsi="宋体" w:cs="宋体" w:eastAsia="宋体"/>
              </w:rPr>
              <w:t>安全性</w:t>
            </w:r>
          </w:p>
          <w:p>
            <w:pPr>
              <w:pStyle w:val="null3"/>
              <w:jc w:val="both"/>
            </w:pPr>
            <w:r>
              <w:rPr>
                <w:rFonts w:ascii="宋体" w:hAnsi="宋体" w:cs="宋体" w:eastAsia="宋体"/>
                <w:sz w:val="21"/>
              </w:rPr>
              <w:t>在平台建设要充分考虑信息安全、网络安全、用户权限验证、提升平台防范攻击能力，防止数据窃取。同时考虑数据备份，充分保障数据安全。</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rPr>
              <w:t>三、技术要求</w:t>
            </w:r>
          </w:p>
          <w:p>
            <w:pPr>
              <w:pStyle w:val="null3"/>
              <w:ind w:firstLine="200"/>
              <w:jc w:val="both"/>
            </w:pPr>
            <w:r>
              <w:rPr>
                <w:rFonts w:ascii="宋体" w:hAnsi="宋体" w:cs="宋体" w:eastAsia="宋体"/>
                <w:sz w:val="20"/>
              </w:rPr>
              <w:t>1、详细参数内容</w:t>
            </w:r>
          </w:p>
          <w:tbl>
            <w:tblPr>
              <w:tblBorders>
                <w:top w:val="none" w:color="000000" w:sz="4"/>
                <w:left w:val="none" w:color="000000" w:sz="4"/>
                <w:bottom w:val="none" w:color="000000" w:sz="4"/>
                <w:right w:val="none" w:color="000000" w:sz="4"/>
                <w:insideH w:val="none"/>
                <w:insideV w:val="none"/>
              </w:tblBorders>
            </w:tblPr>
            <w:tblGrid>
              <w:gridCol w:w="461"/>
              <w:gridCol w:w="592"/>
              <w:gridCol w:w="1500"/>
            </w:tblGrid>
            <w:tr>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模块</w:t>
                  </w:r>
                </w:p>
              </w:tc>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功能大类</w:t>
                  </w:r>
                </w:p>
              </w:tc>
              <w:tc>
                <w:tcPr>
                  <w:tcW w:type="dxa" w:w="1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功能描述</w:t>
                  </w: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1、系统应用平台软件</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数据库服务</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要求支持大型关系数据库；</w:t>
                  </w:r>
                </w:p>
              </w:tc>
            </w:tr>
            <w:tr>
              <w:tc>
                <w:tcPr>
                  <w:tcW w:type="dxa" w:w="461"/>
                  <w:vMerge/>
                  <w:tcBorders>
                    <w:top w:val="none" w:color="000000" w:sz="4"/>
                    <w:left w:val="single" w:color="000000" w:sz="4"/>
                    <w:bottom w:val="single" w:color="000000" w:sz="4"/>
                    <w:right w:val="single" w:color="000000" w:sz="4"/>
                  </w:tcBorders>
                </w:tcP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内部通讯</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要求支持</w:t>
                  </w:r>
                  <w:r>
                    <w:rPr>
                      <w:rFonts w:ascii="宋体" w:hAnsi="宋体" w:cs="宋体" w:eastAsia="宋体"/>
                      <w:sz w:val="20"/>
                    </w:rPr>
                    <w:t>WEB Service</w:t>
                  </w:r>
                  <w:r>
                    <w:rPr>
                      <w:rFonts w:ascii="宋体" w:hAnsi="宋体" w:cs="宋体" w:eastAsia="宋体"/>
                      <w:sz w:val="20"/>
                    </w:rPr>
                    <w:t>、</w:t>
                  </w:r>
                  <w:r>
                    <w:rPr>
                      <w:rFonts w:ascii="宋体" w:hAnsi="宋体" w:cs="宋体" w:eastAsia="宋体"/>
                      <w:sz w:val="20"/>
                    </w:rPr>
                    <w:t xml:space="preserve"> </w:t>
                  </w:r>
                  <w:r>
                    <w:rPr>
                      <w:rFonts w:ascii="宋体" w:hAnsi="宋体" w:cs="宋体" w:eastAsia="宋体"/>
                      <w:sz w:val="20"/>
                    </w:rPr>
                    <w:t>HTTP通讯构架,客户端不直接连接数据库，由服务端连接数据库；</w:t>
                  </w:r>
                </w:p>
              </w:tc>
            </w:tr>
            <w:tr>
              <w:tc>
                <w:tcPr>
                  <w:tcW w:type="dxa" w:w="461"/>
                  <w:vMerge/>
                  <w:tcBorders>
                    <w:top w:val="none" w:color="000000" w:sz="4"/>
                    <w:left w:val="single" w:color="000000" w:sz="4"/>
                    <w:bottom w:val="single" w:color="000000" w:sz="4"/>
                    <w:right w:val="single" w:color="000000" w:sz="4"/>
                  </w:tcBorders>
                </w:tcPr>
                <w:p/>
              </w:tc>
              <w:tc>
                <w:tcPr>
                  <w:tcW w:type="dxa" w:w="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接口服务</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支持从</w:t>
                  </w:r>
                  <w:r>
                    <w:rPr>
                      <w:rFonts w:ascii="宋体" w:hAnsi="宋体" w:cs="宋体" w:eastAsia="宋体"/>
                      <w:sz w:val="20"/>
                    </w:rPr>
                    <w:t>HIS\EMR\集成平台中获取病人基本信息、检查申请信息；</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支持以</w:t>
                  </w:r>
                  <w:r>
                    <w:rPr>
                      <w:rFonts w:ascii="宋体" w:hAnsi="宋体" w:cs="宋体" w:eastAsia="宋体"/>
                      <w:sz w:val="20"/>
                    </w:rPr>
                    <w:t>URL方式提供WEB页面调用给HIS\EMR\集成平台调用展现眼科检查结果；</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支持数据库对数据库方式；</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支持中间件程序方式；</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w:t>
                  </w:r>
                  <w:r>
                    <w:rPr>
                      <w:rFonts w:ascii="宋体" w:hAnsi="宋体" w:cs="宋体" w:eastAsia="宋体"/>
                      <w:sz w:val="20"/>
                    </w:rPr>
                    <w:t>WEB SERVICE</w:t>
                  </w:r>
                  <w:r>
                    <w:rPr>
                      <w:rFonts w:ascii="宋体" w:hAnsi="宋体" w:cs="宋体" w:eastAsia="宋体"/>
                      <w:sz w:val="20"/>
                    </w:rPr>
                    <w:t>、</w:t>
                  </w:r>
                  <w:r>
                    <w:rPr>
                      <w:rFonts w:ascii="宋体" w:hAnsi="宋体" w:cs="宋体" w:eastAsia="宋体"/>
                      <w:sz w:val="20"/>
                    </w:rPr>
                    <w:t>HTTP等</w:t>
                  </w:r>
                  <w:r>
                    <w:rPr>
                      <w:rFonts w:ascii="宋体" w:hAnsi="宋体" w:cs="宋体" w:eastAsia="宋体"/>
                      <w:sz w:val="20"/>
                    </w:rPr>
                    <w:t>方式。</w:t>
                  </w: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2、眼科电子数据采集模块</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数据识别</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支持对收集上传的数据，进行识别，含有数据类型识别、患者信息识别、数据元素识别、数据数值识别等一系列的识别，为各种数据解析提取功能做预处理；</w:t>
                  </w:r>
                </w:p>
              </w:tc>
            </w:tr>
            <w:tr>
              <w:tc>
                <w:tcPr>
                  <w:tcW w:type="dxa" w:w="461"/>
                  <w:vMerge/>
                  <w:tcBorders>
                    <w:top w:val="none" w:color="000000" w:sz="4"/>
                    <w:left w:val="single" w:color="000000" w:sz="4"/>
                    <w:bottom w:val="single" w:color="000000" w:sz="4"/>
                    <w:right w:val="single" w:color="000000" w:sz="4"/>
                  </w:tcBorders>
                </w:tcP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数据解析提取</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支持自动提取设备中的存放检查结果参数值，为后续数据引用和数据挖掘提供数据检索、统计分析等使用。</w:t>
                  </w: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3、电子档案模块</w:t>
                  </w:r>
                </w:p>
              </w:tc>
              <w:tc>
                <w:tcPr>
                  <w:tcW w:type="dxa" w:w="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档案模板</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支持各类模板自定义；</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支持模板管理、删除、导出；</w:t>
                  </w:r>
                </w:p>
              </w:tc>
            </w:tr>
            <w:tr>
              <w:tc>
                <w:tcPr>
                  <w:tcW w:type="dxa" w:w="461"/>
                  <w:vMerge/>
                  <w:tcBorders>
                    <w:top w:val="none" w:color="000000" w:sz="4"/>
                    <w:left w:val="single" w:color="000000" w:sz="4"/>
                    <w:bottom w:val="single" w:color="000000" w:sz="4"/>
                    <w:right w:val="single" w:color="000000" w:sz="4"/>
                  </w:tcBorders>
                </w:tcPr>
                <w:p/>
              </w:tc>
              <w:tc>
                <w:tcPr>
                  <w:tcW w:type="dxa" w:w="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档案管理</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支持按照规定的检索条目查询患者档案；</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支持档案的锁定</w:t>
                  </w:r>
                  <w:r>
                    <w:rPr>
                      <w:rFonts w:ascii="宋体" w:hAnsi="宋体" w:cs="宋体" w:eastAsia="宋体"/>
                      <w:sz w:val="20"/>
                    </w:rPr>
                    <w:t>/解锁功能；</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支持档案归档封存；</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支持按照时间、人员等信息进行档案查询。</w:t>
                  </w: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4、档案编辑模块</w:t>
                  </w:r>
                </w:p>
              </w:tc>
              <w:tc>
                <w:tcPr>
                  <w:tcW w:type="dxa" w:w="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数据编辑</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支持自动引入提取的数值填入病历；</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支持数据的手动修改，二次编辑；</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根据模板提供多种选择方式（复选、单选、下拉框等）进行数据编辑。</w:t>
                  </w: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5、检查结果数据集模块</w:t>
                  </w:r>
                </w:p>
              </w:tc>
              <w:tc>
                <w:tcPr>
                  <w:tcW w:type="dxa" w:w="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数据集</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支持提取的眼科专科检查数值的数据集功能。</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支持复制粘贴所需数据至电子病历系统内。</w:t>
                  </w: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6、指标预警模块</w:t>
                  </w:r>
                </w:p>
              </w:tc>
              <w:tc>
                <w:tcPr>
                  <w:tcW w:type="dxa" w:w="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自动评估</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支持自定义数据指标范围；</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支持多项指标的综合评估；</w:t>
                  </w:r>
                </w:p>
              </w:tc>
            </w:tr>
            <w:tr>
              <w:tc>
                <w:tcPr>
                  <w:tcW w:type="dxa" w:w="461"/>
                  <w:vMerge/>
                  <w:tcBorders>
                    <w:top w:val="none" w:color="000000" w:sz="4"/>
                    <w:left w:val="single" w:color="000000" w:sz="4"/>
                    <w:bottom w:val="single" w:color="000000" w:sz="4"/>
                    <w:right w:val="single" w:color="000000" w:sz="4"/>
                  </w:tcBorders>
                </w:tcP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异常值提醒</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支持超出指标范围的异常值提醒。</w:t>
                  </w: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7、视光专科患者360视图模块</w:t>
                  </w:r>
                </w:p>
              </w:tc>
              <w:tc>
                <w:tcPr>
                  <w:tcW w:type="dxa" w:w="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数据展现</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支持按照患者时间轴进行数值展现；</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支持展现患者某一时间点临床信息、检查结果等数据；</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支持图形化显示变化曲线。</w:t>
                  </w: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8、统计分析模块</w:t>
                  </w:r>
                </w:p>
              </w:tc>
              <w:tc>
                <w:tcPr>
                  <w:tcW w:type="dxa" w:w="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业务统计</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支持统计随访总人数、电话随访人数、来访</w:t>
                  </w:r>
                  <w:r>
                    <w:rPr>
                      <w:rFonts w:ascii="宋体" w:hAnsi="宋体" w:cs="宋体" w:eastAsia="宋体"/>
                      <w:sz w:val="20"/>
                    </w:rPr>
                    <w:t>/到访人数，随访率；</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支持按复诊、人员、指标等条件进行病例检索；</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支持统计档案状态；</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支持按时间范围进行检索；</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支持显示医生、技师的具体工作量统计；</w:t>
                  </w:r>
                </w:p>
              </w:tc>
            </w:tr>
            <w:tr>
              <w:tc>
                <w:tcPr>
                  <w:tcW w:type="dxa" w:w="461"/>
                  <w:vMerge/>
                  <w:tcBorders>
                    <w:top w:val="none" w:color="000000" w:sz="4"/>
                    <w:left w:val="single" w:color="000000" w:sz="4"/>
                    <w:bottom w:val="single" w:color="000000" w:sz="4"/>
                    <w:right w:val="single" w:color="000000" w:sz="4"/>
                  </w:tcBorders>
                </w:tcPr>
                <w:p/>
              </w:tc>
              <w:tc>
                <w:tcPr>
                  <w:tcW w:type="dxa" w:w="592"/>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支持使用图形显示幅度、变化情况。</w:t>
                  </w:r>
                </w:p>
              </w:tc>
            </w:tr>
          </w:tbl>
          <w:p/>
        </w:tc>
      </w:tr>
      <w:tr>
        <w:tc>
          <w:tcPr>
            <w:tcW w:type="dxa" w:w="2769"/>
          </w:tcPr>
          <w:p/>
        </w:tc>
        <w:tc>
          <w:tcPr>
            <w:tcW w:type="dxa" w:w="2769"/>
          </w:tcPr>
          <w:p>
            <w:pPr>
              <w:pStyle w:val="null3"/>
            </w:pPr>
            <w:r>
              <w:rPr/>
              <w:t>9</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80"/>
              <w:gridCol w:w="605"/>
              <w:gridCol w:w="1368"/>
            </w:tblGrid>
            <w:tr>
              <w:tc>
                <w:tcPr>
                  <w:tcW w:type="dxa" w:w="58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9、随访提醒模块</w:t>
                  </w:r>
                </w:p>
              </w:tc>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随访计划制定</w:t>
                  </w:r>
                </w:p>
              </w:tc>
              <w:tc>
                <w:tcPr>
                  <w:tcW w:type="dxa" w:w="1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支持医生自定义随访内容、周期；</w:t>
                  </w:r>
                </w:p>
              </w:tc>
            </w:tr>
            <w:tr>
              <w:tc>
                <w:tcPr>
                  <w:tcW w:type="dxa" w:w="580"/>
                  <w:vMerge/>
                  <w:tcBorders>
                    <w:top w:val="single" w:color="000000" w:sz="4"/>
                    <w:left w:val="single" w:color="000000" w:sz="4"/>
                    <w:bottom w:val="single" w:color="000000" w:sz="4"/>
                    <w:right w:val="single" w:color="000000" w:sz="4"/>
                  </w:tcBorders>
                </w:tcPr>
                <w:p/>
              </w:tc>
              <w:tc>
                <w:tcPr>
                  <w:tcW w:type="dxa" w:w="6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随访消息</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支持自动随访消息提醒的发送（需对接微信或短信平台）；</w:t>
                  </w:r>
                </w:p>
              </w:tc>
            </w:tr>
            <w:tr>
              <w:tc>
                <w:tcPr>
                  <w:tcW w:type="dxa" w:w="580"/>
                  <w:vMerge/>
                  <w:tcBorders>
                    <w:top w:val="single" w:color="000000" w:sz="4"/>
                    <w:left w:val="single" w:color="000000" w:sz="4"/>
                    <w:bottom w:val="single" w:color="000000" w:sz="4"/>
                    <w:right w:val="single" w:color="000000" w:sz="4"/>
                  </w:tcBorders>
                </w:tcPr>
                <w:p/>
              </w:tc>
              <w:tc>
                <w:tcPr>
                  <w:tcW w:type="dxa" w:w="605"/>
                  <w:vMerge/>
                  <w:tcBorders>
                    <w:top w:val="none" w:color="000000" w:sz="4"/>
                    <w:left w:val="single" w:color="000000" w:sz="4"/>
                    <w:bottom w:val="single" w:color="000000" w:sz="4"/>
                    <w:right w:val="single" w:color="000000" w:sz="4"/>
                  </w:tcBorders>
                </w:tcP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支持自定义消息发送内容（需对接微信或短信平台）。</w:t>
                  </w:r>
                </w:p>
              </w:tc>
            </w:tr>
            <w:tr>
              <w:tc>
                <w:tcPr>
                  <w:tcW w:type="dxa" w:w="5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10、随访记录模块</w:t>
                  </w:r>
                </w:p>
              </w:tc>
              <w:tc>
                <w:tcPr>
                  <w:tcW w:type="dxa" w:w="6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随访记录</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支持人工选择随访记录开展人工随访；</w:t>
                  </w:r>
                </w:p>
              </w:tc>
            </w:tr>
            <w:tr>
              <w:tc>
                <w:tcPr>
                  <w:tcW w:type="dxa" w:w="580"/>
                  <w:vMerge/>
                  <w:tcBorders>
                    <w:top w:val="none" w:color="000000" w:sz="4"/>
                    <w:left w:val="single" w:color="000000" w:sz="4"/>
                    <w:bottom w:val="single" w:color="000000" w:sz="4"/>
                    <w:right w:val="single" w:color="000000" w:sz="4"/>
                  </w:tcBorders>
                </w:tcPr>
                <w:p/>
              </w:tc>
              <w:tc>
                <w:tcPr>
                  <w:tcW w:type="dxa" w:w="605"/>
                  <w:vMerge/>
                  <w:tcBorders>
                    <w:top w:val="none" w:color="000000" w:sz="4"/>
                    <w:left w:val="single" w:color="000000" w:sz="4"/>
                    <w:bottom w:val="single" w:color="000000" w:sz="4"/>
                    <w:right w:val="single" w:color="000000" w:sz="4"/>
                  </w:tcBorders>
                </w:tcP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支持新增随访记录文档；</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11、病例数据搜索引擎模块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数据搜索引擎</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支持在现有的视光病例数据库中按照患者信息、指标数据、就诊信息等进行多条逻辑关系进行快速海量数据搜索。</w:t>
                  </w:r>
                </w:p>
              </w:tc>
            </w:tr>
            <w:tr>
              <w:tc>
                <w:tcPr>
                  <w:tcW w:type="dxa" w:w="5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12、病例数据展现模块</w:t>
                  </w:r>
                </w:p>
              </w:tc>
              <w:tc>
                <w:tcPr>
                  <w:tcW w:type="dxa" w:w="6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搜索样本展现</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支持搜索出的结果以摘要列表的形式提供概要信息，其中概要信息包含患者信息、诊断疾病、就诊情况、检查情况等概况信息；</w:t>
                  </w:r>
                </w:p>
              </w:tc>
            </w:tr>
            <w:tr>
              <w:tc>
                <w:tcPr>
                  <w:tcW w:type="dxa" w:w="580"/>
                  <w:vMerge/>
                  <w:tcBorders>
                    <w:top w:val="none" w:color="000000" w:sz="4"/>
                    <w:left w:val="single" w:color="000000" w:sz="4"/>
                    <w:bottom w:val="single" w:color="000000" w:sz="4"/>
                    <w:right w:val="single" w:color="000000" w:sz="4"/>
                  </w:tcBorders>
                </w:tcPr>
                <w:p/>
              </w:tc>
              <w:tc>
                <w:tcPr>
                  <w:tcW w:type="dxa" w:w="605"/>
                  <w:vMerge/>
                  <w:tcBorders>
                    <w:top w:val="none" w:color="000000" w:sz="4"/>
                    <w:left w:val="single" w:color="000000" w:sz="4"/>
                    <w:bottom w:val="single" w:color="000000" w:sz="4"/>
                    <w:right w:val="single" w:color="000000" w:sz="4"/>
                  </w:tcBorders>
                </w:tcP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对于关注的样本支持查看详细信息、收藏、导出操作；</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13、智能化随访管理模块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智能化随访</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支持对于特殊病例将临床医生在医嘱内下达的建议随访周期自动同步至随访模块内，无需手动对该病例进行随访方案的更改。</w:t>
                  </w:r>
                </w:p>
              </w:tc>
            </w:tr>
            <w:tr>
              <w:tc>
                <w:tcPr>
                  <w:tcW w:type="dxa" w:w="5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14、微信公众号功能对接</w:t>
                  </w:r>
                </w:p>
              </w:tc>
              <w:tc>
                <w:tcPr>
                  <w:tcW w:type="dxa" w:w="6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微信信息推送</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定制化开发与微信公众号对接，实现患者随访智能定制化推送提醒；</w:t>
                  </w:r>
                </w:p>
              </w:tc>
            </w:tr>
            <w:tr>
              <w:tc>
                <w:tcPr>
                  <w:tcW w:type="dxa" w:w="580"/>
                  <w:vMerge/>
                  <w:tcBorders>
                    <w:top w:val="none" w:color="000000" w:sz="4"/>
                    <w:left w:val="single" w:color="000000" w:sz="4"/>
                    <w:bottom w:val="single" w:color="000000" w:sz="4"/>
                    <w:right w:val="single" w:color="000000" w:sz="4"/>
                  </w:tcBorders>
                </w:tcPr>
                <w:p/>
              </w:tc>
              <w:tc>
                <w:tcPr>
                  <w:tcW w:type="dxa" w:w="605"/>
                  <w:vMerge/>
                  <w:tcBorders>
                    <w:top w:val="none" w:color="000000" w:sz="4"/>
                    <w:left w:val="single" w:color="000000" w:sz="4"/>
                    <w:bottom w:val="single" w:color="000000" w:sz="4"/>
                    <w:right w:val="single" w:color="000000" w:sz="4"/>
                  </w:tcBorders>
                </w:tcP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支持患者通过微信公众号查看自身视光档案</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15、接口</w:t>
                  </w:r>
                  <w:r>
                    <w:rPr>
                      <w:rFonts w:ascii="宋体" w:hAnsi="宋体" w:cs="宋体" w:eastAsia="宋体"/>
                      <w:b/>
                      <w:sz w:val="20"/>
                    </w:rPr>
                    <w:t>开发</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HIS/EMR接口对接开发</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完成</w:t>
                  </w:r>
                  <w:r>
                    <w:rPr>
                      <w:rFonts w:ascii="宋体" w:hAnsi="宋体" w:cs="宋体" w:eastAsia="宋体"/>
                      <w:sz w:val="20"/>
                    </w:rPr>
                    <w:t>HIS\EMR的对接研发工作，抓取患者360所需展示条目如患者既往病史，医嘱，用药，手术等情况。</w:t>
                  </w:r>
                </w:p>
              </w:tc>
            </w:tr>
          </w:tbl>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rPr>
              <w:t>四</w:t>
            </w:r>
            <w:r>
              <w:rPr>
                <w:rFonts w:ascii="宋体" w:hAnsi="宋体" w:cs="宋体" w:eastAsia="宋体"/>
              </w:rPr>
              <w:t>、商务要求</w:t>
            </w:r>
          </w:p>
          <w:p>
            <w:pPr>
              <w:pStyle w:val="null3"/>
              <w:jc w:val="both"/>
            </w:pPr>
            <w:r>
              <w:rPr>
                <w:rFonts w:ascii="宋体" w:hAnsi="宋体" w:cs="宋体" w:eastAsia="宋体"/>
                <w:b/>
                <w:sz w:val="20"/>
              </w:rPr>
              <w:t>1、安全要求</w:t>
            </w:r>
          </w:p>
          <w:p>
            <w:pPr>
              <w:pStyle w:val="null3"/>
              <w:ind w:firstLine="200"/>
              <w:jc w:val="both"/>
            </w:pPr>
            <w:r>
              <w:rPr>
                <w:rFonts w:ascii="宋体" w:hAnsi="宋体" w:cs="宋体" w:eastAsia="宋体"/>
                <w:color w:val="000000"/>
                <w:sz w:val="20"/>
              </w:rPr>
              <w:t>（</w:t>
            </w:r>
            <w:r>
              <w:rPr>
                <w:rFonts w:ascii="宋体" w:hAnsi="宋体" w:cs="宋体" w:eastAsia="宋体"/>
                <w:color w:val="000000"/>
                <w:sz w:val="20"/>
              </w:rPr>
              <w:t>1）软件安全性必须按照《信息系统安全等级保护基本要求》三级进行设计，</w:t>
            </w:r>
            <w:r>
              <w:rPr>
                <w:rFonts w:ascii="宋体" w:hAnsi="宋体" w:cs="宋体" w:eastAsia="宋体"/>
                <w:color w:val="000000"/>
                <w:sz w:val="20"/>
              </w:rPr>
              <w:t>对口令、密码必须规范设计，</w:t>
            </w:r>
            <w:r>
              <w:rPr>
                <w:rFonts w:ascii="宋体" w:hAnsi="宋体" w:cs="宋体" w:eastAsia="宋体"/>
                <w:color w:val="000000"/>
                <w:sz w:val="20"/>
              </w:rPr>
              <w:t>并配合院方完成三级等保测评和备案</w:t>
            </w:r>
          </w:p>
          <w:p>
            <w:pPr>
              <w:pStyle w:val="null3"/>
              <w:ind w:firstLine="200"/>
              <w:jc w:val="left"/>
            </w:pPr>
            <w:r>
              <w:rPr>
                <w:rFonts w:ascii="宋体" w:hAnsi="宋体" w:cs="宋体" w:eastAsia="宋体"/>
                <w:color w:val="000000"/>
                <w:sz w:val="20"/>
              </w:rPr>
              <w:t>（</w:t>
            </w:r>
            <w:r>
              <w:rPr>
                <w:rFonts w:ascii="宋体" w:hAnsi="宋体" w:cs="宋体" w:eastAsia="宋体"/>
                <w:color w:val="000000"/>
                <w:sz w:val="20"/>
              </w:rPr>
              <w:t>2）供应商需保证所投软件无版权纠纷（需提供承诺书，并加盖公章）</w:t>
            </w:r>
          </w:p>
          <w:p>
            <w:pPr>
              <w:pStyle w:val="null3"/>
              <w:spacing w:before="210"/>
              <w:jc w:val="both"/>
            </w:pPr>
            <w:r>
              <w:rPr>
                <w:rFonts w:ascii="宋体" w:hAnsi="宋体" w:cs="宋体" w:eastAsia="宋体"/>
                <w:b/>
                <w:color w:val="000000"/>
                <w:sz w:val="20"/>
              </w:rPr>
              <w:t>2、项目实施：</w:t>
            </w:r>
          </w:p>
          <w:p>
            <w:pPr>
              <w:pStyle w:val="null3"/>
              <w:spacing w:before="210"/>
              <w:ind w:firstLine="190"/>
              <w:jc w:val="both"/>
            </w:pPr>
            <w:r>
              <w:rPr>
                <w:rFonts w:ascii="宋体" w:hAnsi="宋体" w:cs="宋体" w:eastAsia="宋体"/>
                <w:color w:val="000000"/>
                <w:sz w:val="20"/>
              </w:rPr>
              <w:t>（</w:t>
            </w:r>
            <w:r>
              <w:rPr>
                <w:rFonts w:ascii="宋体" w:hAnsi="宋体" w:cs="宋体" w:eastAsia="宋体"/>
                <w:color w:val="000000"/>
                <w:sz w:val="20"/>
              </w:rPr>
              <w:t>1）建设周期：合同签订</w:t>
            </w:r>
            <w:r>
              <w:rPr>
                <w:rFonts w:ascii="宋体" w:hAnsi="宋体" w:cs="宋体" w:eastAsia="宋体"/>
                <w:color w:val="000000"/>
                <w:sz w:val="20"/>
              </w:rPr>
              <w:t>且</w:t>
            </w:r>
            <w:r>
              <w:rPr>
                <w:rFonts w:ascii="宋体" w:hAnsi="宋体" w:cs="宋体" w:eastAsia="宋体"/>
                <w:color w:val="000000"/>
                <w:sz w:val="20"/>
              </w:rPr>
              <w:t>符合入场条件后，</w:t>
            </w:r>
            <w:r>
              <w:rPr>
                <w:rFonts w:ascii="宋体" w:hAnsi="宋体" w:cs="宋体" w:eastAsia="宋体"/>
                <w:color w:val="000000"/>
                <w:sz w:val="20"/>
              </w:rPr>
              <w:t>90</w:t>
            </w:r>
            <w:r>
              <w:rPr>
                <w:rFonts w:ascii="宋体" w:hAnsi="宋体" w:cs="宋体" w:eastAsia="宋体"/>
                <w:color w:val="000000"/>
                <w:sz w:val="20"/>
              </w:rPr>
              <w:t>天</w:t>
            </w:r>
            <w:r>
              <w:rPr>
                <w:rFonts w:ascii="宋体" w:hAnsi="宋体" w:cs="宋体" w:eastAsia="宋体"/>
                <w:color w:val="000000"/>
                <w:sz w:val="20"/>
              </w:rPr>
              <w:t>内完成安装、调试、试运行并通过验收。</w:t>
            </w:r>
          </w:p>
          <w:p>
            <w:pPr>
              <w:pStyle w:val="null3"/>
              <w:spacing w:before="210"/>
              <w:ind w:firstLine="190"/>
              <w:jc w:val="both"/>
            </w:pPr>
            <w:r>
              <w:rPr>
                <w:rFonts w:ascii="宋体" w:hAnsi="宋体" w:cs="宋体" w:eastAsia="宋体"/>
                <w:color w:val="000000"/>
                <w:sz w:val="20"/>
              </w:rPr>
              <w:t>（</w:t>
            </w:r>
            <w:r>
              <w:rPr>
                <w:rFonts w:ascii="宋体" w:hAnsi="宋体" w:cs="宋体" w:eastAsia="宋体"/>
                <w:color w:val="000000"/>
                <w:sz w:val="20"/>
              </w:rPr>
              <w:t>2）供应商需提供项目详尽的实施方案和实施进度表。</w:t>
            </w:r>
          </w:p>
          <w:p>
            <w:pPr>
              <w:pStyle w:val="null3"/>
              <w:spacing w:before="210"/>
              <w:ind w:firstLine="190"/>
              <w:jc w:val="both"/>
            </w:pPr>
            <w:r>
              <w:rPr>
                <w:rFonts w:ascii="宋体" w:hAnsi="宋体" w:cs="宋体" w:eastAsia="宋体"/>
                <w:color w:val="000000"/>
                <w:sz w:val="20"/>
              </w:rPr>
              <w:t>（</w:t>
            </w:r>
            <w:r>
              <w:rPr>
                <w:rFonts w:ascii="宋体" w:hAnsi="宋体" w:cs="宋体" w:eastAsia="宋体"/>
                <w:color w:val="000000"/>
                <w:sz w:val="20"/>
              </w:rPr>
              <w:t>3）</w:t>
            </w:r>
            <w:r>
              <w:rPr>
                <w:rFonts w:ascii="宋体" w:hAnsi="宋体" w:cs="宋体" w:eastAsia="宋体"/>
                <w:color w:val="000000"/>
                <w:sz w:val="20"/>
              </w:rPr>
              <w:t>供应商在实施时，必须满足医院因工作需要的现场二次开发任务</w:t>
            </w:r>
          </w:p>
          <w:p>
            <w:pPr>
              <w:pStyle w:val="null3"/>
              <w:ind w:firstLine="190"/>
              <w:jc w:val="left"/>
            </w:pPr>
            <w:r>
              <w:rPr>
                <w:rFonts w:ascii="宋体" w:hAnsi="宋体" w:cs="宋体" w:eastAsia="宋体"/>
                <w:color w:val="000000"/>
                <w:sz w:val="20"/>
              </w:rPr>
              <w:t>（</w:t>
            </w:r>
            <w:r>
              <w:rPr>
                <w:rFonts w:ascii="宋体" w:hAnsi="宋体" w:cs="宋体" w:eastAsia="宋体"/>
                <w:color w:val="000000"/>
                <w:sz w:val="20"/>
              </w:rPr>
              <w:t>4）完成本项目涉及与院内现有系统（如：HIS、集成平台、CDR、EMR</w:t>
            </w:r>
            <w:r>
              <w:rPr>
                <w:rFonts w:ascii="宋体" w:hAnsi="宋体" w:cs="宋体" w:eastAsia="宋体"/>
                <w:color w:val="000000"/>
                <w:sz w:val="20"/>
              </w:rPr>
              <w:t>、</w:t>
            </w:r>
            <w:r>
              <w:rPr>
                <w:rFonts w:ascii="宋体" w:hAnsi="宋体" w:cs="宋体" w:eastAsia="宋体"/>
                <w:color w:val="000000"/>
                <w:sz w:val="20"/>
              </w:rPr>
              <w:t>CA</w:t>
            </w:r>
            <w:r>
              <w:rPr>
                <w:rFonts w:ascii="宋体" w:hAnsi="宋体" w:cs="宋体" w:eastAsia="宋体"/>
                <w:color w:val="000000"/>
                <w:sz w:val="20"/>
              </w:rPr>
              <w:t>等</w:t>
            </w:r>
            <w:r>
              <w:rPr>
                <w:rFonts w:ascii="宋体" w:hAnsi="宋体" w:cs="宋体" w:eastAsia="宋体"/>
                <w:color w:val="000000"/>
                <w:sz w:val="20"/>
              </w:rPr>
              <w:t>的对接，且所含的所有接口费用包含在本项目之内）</w:t>
            </w:r>
          </w:p>
          <w:p>
            <w:pPr>
              <w:pStyle w:val="null3"/>
              <w:spacing w:before="210"/>
              <w:jc w:val="both"/>
            </w:pPr>
            <w:r>
              <w:rPr>
                <w:rFonts w:ascii="宋体" w:hAnsi="宋体" w:cs="宋体" w:eastAsia="宋体"/>
                <w:color w:val="000000"/>
                <w:sz w:val="20"/>
              </w:rPr>
              <w:t>3、</w:t>
            </w:r>
            <w:r>
              <w:rPr>
                <w:rFonts w:ascii="宋体" w:hAnsi="宋体" w:cs="宋体" w:eastAsia="宋体"/>
                <w:b/>
                <w:color w:val="000000"/>
                <w:sz w:val="20"/>
              </w:rPr>
              <w:t>项目交付文件：</w:t>
            </w:r>
            <w:r>
              <w:rPr>
                <w:rFonts w:ascii="宋体" w:hAnsi="宋体" w:cs="宋体" w:eastAsia="宋体"/>
                <w:color w:val="000000"/>
                <w:sz w:val="20"/>
              </w:rPr>
              <w:t>包含不限于</w:t>
            </w:r>
            <w:r>
              <w:rPr>
                <w:rFonts w:ascii="宋体" w:hAnsi="宋体" w:cs="宋体" w:eastAsia="宋体"/>
                <w:color w:val="000000"/>
                <w:sz w:val="20"/>
              </w:rPr>
              <w:t>全部系统相关</w:t>
            </w:r>
            <w:r>
              <w:rPr>
                <w:rFonts w:ascii="宋体" w:hAnsi="宋体" w:cs="宋体" w:eastAsia="宋体"/>
                <w:sz w:val="20"/>
              </w:rPr>
              <w:t>说明书、技术文件、资料、测试、试运行、验收报告等文档汇集成册交付</w:t>
            </w:r>
            <w:r>
              <w:rPr>
                <w:rFonts w:ascii="宋体" w:hAnsi="宋体" w:cs="宋体" w:eastAsia="宋体"/>
                <w:sz w:val="20"/>
              </w:rPr>
              <w:t>。</w:t>
            </w:r>
          </w:p>
          <w:p>
            <w:pPr>
              <w:pStyle w:val="null3"/>
              <w:spacing w:before="210"/>
              <w:jc w:val="both"/>
            </w:pPr>
            <w:r>
              <w:rPr>
                <w:rFonts w:ascii="宋体" w:hAnsi="宋体" w:cs="宋体" w:eastAsia="宋体"/>
                <w:sz w:val="20"/>
              </w:rPr>
              <w:t>4、</w:t>
            </w:r>
            <w:r>
              <w:rPr>
                <w:rFonts w:ascii="宋体" w:hAnsi="宋体" w:cs="宋体" w:eastAsia="宋体"/>
                <w:b/>
                <w:sz w:val="20"/>
              </w:rPr>
              <w:t>项目验收：</w:t>
            </w:r>
          </w:p>
          <w:p>
            <w:pPr>
              <w:pStyle w:val="null3"/>
              <w:spacing w:before="210"/>
              <w:ind w:firstLine="361"/>
              <w:jc w:val="both"/>
            </w:pPr>
            <w:r>
              <w:rPr>
                <w:rFonts w:ascii="宋体" w:hAnsi="宋体" w:cs="宋体" w:eastAsia="宋体"/>
                <w:sz w:val="20"/>
              </w:rPr>
              <w:t>中标人在完成</w:t>
            </w:r>
            <w:r>
              <w:rPr>
                <w:rFonts w:ascii="宋体" w:hAnsi="宋体" w:cs="宋体" w:eastAsia="宋体"/>
                <w:color w:val="000000"/>
                <w:sz w:val="20"/>
              </w:rPr>
              <w:t>本项目全部内容后，上线试运行</w:t>
            </w:r>
            <w:r>
              <w:rPr>
                <w:rFonts w:ascii="宋体" w:hAnsi="宋体" w:cs="宋体" w:eastAsia="宋体"/>
                <w:color w:val="000000"/>
                <w:sz w:val="20"/>
              </w:rPr>
              <w:t>3</w:t>
            </w:r>
            <w:r>
              <w:rPr>
                <w:rFonts w:ascii="宋体" w:hAnsi="宋体" w:cs="宋体" w:eastAsia="宋体"/>
                <w:color w:val="000000"/>
                <w:sz w:val="20"/>
              </w:rPr>
              <w:t>0天无问题后，按《西安市第一医院信息科项目验收制度》提请验收</w:t>
            </w:r>
            <w:r>
              <w:rPr>
                <w:rFonts w:ascii="宋体" w:hAnsi="宋体" w:cs="宋体" w:eastAsia="宋体"/>
                <w:color w:val="000000"/>
                <w:sz w:val="20"/>
              </w:rPr>
              <w:t>，</w:t>
            </w:r>
            <w:r>
              <w:rPr>
                <w:rFonts w:ascii="宋体" w:hAnsi="宋体" w:cs="宋体" w:eastAsia="宋体"/>
                <w:color w:val="000000"/>
                <w:sz w:val="20"/>
              </w:rPr>
              <w:t>并提供项目源代码</w:t>
            </w:r>
            <w:r>
              <w:rPr>
                <w:rFonts w:ascii="宋体" w:hAnsi="宋体" w:cs="宋体" w:eastAsia="宋体"/>
                <w:color w:val="000000"/>
                <w:sz w:val="20"/>
              </w:rPr>
              <w:t>（开发）</w:t>
            </w:r>
            <w:r>
              <w:rPr>
                <w:rFonts w:ascii="宋体" w:hAnsi="宋体" w:cs="宋体" w:eastAsia="宋体"/>
                <w:i/>
                <w:color w:val="000000"/>
                <w:sz w:val="20"/>
              </w:rPr>
              <w:t>。</w:t>
            </w:r>
          </w:p>
          <w:p>
            <w:pPr>
              <w:pStyle w:val="null3"/>
              <w:spacing w:before="210"/>
              <w:ind w:firstLine="361"/>
              <w:jc w:val="both"/>
            </w:pPr>
            <w:r>
              <w:rPr>
                <w:rFonts w:ascii="宋体" w:hAnsi="宋体" w:cs="宋体" w:eastAsia="宋体"/>
                <w:sz w:val="20"/>
              </w:rPr>
              <w:t>验收依据：招、投标文件、合同</w:t>
            </w:r>
          </w:p>
          <w:p>
            <w:pPr>
              <w:pStyle w:val="null3"/>
              <w:jc w:val="both"/>
            </w:pPr>
            <w:r>
              <w:rPr>
                <w:rFonts w:ascii="宋体" w:hAnsi="宋体" w:cs="宋体" w:eastAsia="宋体"/>
                <w:color w:val="000000"/>
                <w:sz w:val="20"/>
              </w:rPr>
              <w:t>5</w:t>
            </w:r>
            <w:r>
              <w:rPr>
                <w:rFonts w:ascii="宋体" w:hAnsi="宋体" w:cs="宋体" w:eastAsia="宋体"/>
                <w:b/>
                <w:color w:val="000000"/>
                <w:sz w:val="20"/>
              </w:rPr>
              <w:t>.</w:t>
            </w:r>
            <w:r>
              <w:rPr>
                <w:rFonts w:ascii="宋体" w:hAnsi="宋体" w:cs="宋体" w:eastAsia="宋体"/>
                <w:b/>
                <w:color w:val="000000"/>
                <w:sz w:val="20"/>
              </w:rPr>
              <w:t>履约保证金的交付和退还</w:t>
            </w:r>
          </w:p>
          <w:p>
            <w:pPr>
              <w:pStyle w:val="null3"/>
              <w:jc w:val="both"/>
            </w:pPr>
            <w:r>
              <w:rPr>
                <w:rFonts w:ascii="宋体" w:hAnsi="宋体" w:cs="宋体" w:eastAsia="宋体"/>
                <w:color w:val="000000"/>
                <w:sz w:val="20"/>
              </w:rPr>
              <w:t>（</w:t>
            </w:r>
            <w:r>
              <w:rPr>
                <w:rFonts w:ascii="宋体" w:hAnsi="宋体" w:cs="宋体" w:eastAsia="宋体"/>
                <w:color w:val="000000"/>
                <w:sz w:val="20"/>
              </w:rPr>
              <w:t>1）</w:t>
            </w:r>
            <w:r>
              <w:rPr>
                <w:rFonts w:ascii="宋体" w:hAnsi="宋体" w:cs="宋体" w:eastAsia="宋体"/>
                <w:color w:val="000000"/>
                <w:sz w:val="20"/>
              </w:rPr>
              <w:t>投标人应当按照中标合同总金额的</w:t>
            </w:r>
            <w:r>
              <w:rPr>
                <w:rFonts w:ascii="宋体" w:hAnsi="宋体" w:cs="宋体" w:eastAsia="宋体"/>
                <w:color w:val="000000"/>
                <w:sz w:val="20"/>
              </w:rPr>
              <w:t>5%作为履约保证金交付给采购人。</w:t>
            </w:r>
          </w:p>
          <w:p>
            <w:pPr>
              <w:pStyle w:val="null3"/>
              <w:jc w:val="both"/>
            </w:pPr>
            <w:r>
              <w:rPr>
                <w:rFonts w:ascii="宋体" w:hAnsi="宋体" w:cs="宋体" w:eastAsia="宋体"/>
                <w:color w:val="000000"/>
                <w:sz w:val="20"/>
              </w:rPr>
              <w:t>（</w:t>
            </w:r>
            <w:r>
              <w:rPr>
                <w:rFonts w:ascii="宋体" w:hAnsi="宋体" w:cs="宋体" w:eastAsia="宋体"/>
                <w:color w:val="000000"/>
                <w:sz w:val="20"/>
              </w:rPr>
              <w:t>2</w:t>
            </w:r>
            <w:r>
              <w:rPr>
                <w:rFonts w:ascii="宋体" w:hAnsi="宋体" w:cs="宋体" w:eastAsia="宋体"/>
                <w:color w:val="000000"/>
                <w:sz w:val="20"/>
              </w:rPr>
              <w:t>）</w:t>
            </w:r>
            <w:r>
              <w:rPr>
                <w:rFonts w:ascii="宋体" w:hAnsi="宋体" w:cs="宋体" w:eastAsia="宋体"/>
                <w:color w:val="000000"/>
                <w:sz w:val="20"/>
              </w:rPr>
              <w:t>保证期为中标（成交）通知书到达中标投标人之日起至项目质保期结束日。</w:t>
            </w:r>
          </w:p>
          <w:p>
            <w:pPr>
              <w:pStyle w:val="null3"/>
              <w:jc w:val="both"/>
            </w:pPr>
            <w:r>
              <w:rPr>
                <w:rFonts w:ascii="宋体" w:hAnsi="宋体" w:cs="宋体" w:eastAsia="宋体"/>
                <w:color w:val="000000"/>
                <w:sz w:val="20"/>
              </w:rPr>
              <w:t>（</w:t>
            </w:r>
            <w:r>
              <w:rPr>
                <w:rFonts w:ascii="宋体" w:hAnsi="宋体" w:cs="宋体" w:eastAsia="宋体"/>
                <w:color w:val="000000"/>
                <w:sz w:val="20"/>
              </w:rPr>
              <w:t>3</w:t>
            </w:r>
            <w:r>
              <w:rPr>
                <w:rFonts w:ascii="宋体" w:hAnsi="宋体" w:cs="宋体" w:eastAsia="宋体"/>
                <w:color w:val="000000"/>
                <w:sz w:val="20"/>
              </w:rPr>
              <w:t>）</w:t>
            </w:r>
            <w:r>
              <w:rPr>
                <w:rFonts w:ascii="宋体" w:hAnsi="宋体" w:cs="宋体" w:eastAsia="宋体"/>
                <w:color w:val="000000"/>
                <w:sz w:val="20"/>
              </w:rPr>
              <w:t>保证期满投标人如约履行合同的，采购人在合同服务期结束之日起</w:t>
            </w:r>
            <w:r>
              <w:rPr>
                <w:rFonts w:ascii="宋体" w:hAnsi="宋体" w:cs="宋体" w:eastAsia="宋体"/>
                <w:color w:val="000000"/>
                <w:sz w:val="20"/>
              </w:rPr>
              <w:t>30日内退还履约保证金（无息）。</w:t>
            </w:r>
          </w:p>
          <w:p>
            <w:pPr>
              <w:pStyle w:val="null3"/>
              <w:jc w:val="both"/>
            </w:pPr>
            <w:r>
              <w:rPr>
                <w:rFonts w:ascii="宋体" w:hAnsi="宋体" w:cs="宋体" w:eastAsia="宋体"/>
                <w:b/>
                <w:color w:val="000000"/>
                <w:sz w:val="20"/>
              </w:rPr>
              <w:t>6</w:t>
            </w:r>
            <w:r>
              <w:rPr>
                <w:rFonts w:ascii="宋体" w:hAnsi="宋体" w:cs="宋体" w:eastAsia="宋体"/>
                <w:b/>
                <w:color w:val="000000"/>
                <w:sz w:val="20"/>
              </w:rPr>
              <w:t>、付款方式</w:t>
            </w:r>
            <w:r>
              <w:rPr>
                <w:rFonts w:ascii="宋体" w:hAnsi="宋体" w:cs="宋体" w:eastAsia="宋体"/>
                <w:b/>
                <w:color w:val="000000"/>
                <w:sz w:val="20"/>
              </w:rPr>
              <w:t>：</w:t>
            </w:r>
          </w:p>
          <w:p>
            <w:pPr>
              <w:pStyle w:val="null3"/>
              <w:spacing w:before="210"/>
              <w:ind w:firstLine="361"/>
              <w:jc w:val="both"/>
            </w:pPr>
            <w:r>
              <w:rPr>
                <w:rFonts w:ascii="宋体" w:hAnsi="宋体" w:cs="宋体" w:eastAsia="宋体"/>
                <w:sz w:val="20"/>
              </w:rPr>
              <w:t>第一阶段付款：双方签订合同正式生效后，</w:t>
            </w:r>
            <w:r>
              <w:rPr>
                <w:rFonts w:ascii="宋体" w:hAnsi="宋体" w:cs="宋体" w:eastAsia="宋体"/>
                <w:sz w:val="20"/>
              </w:rPr>
              <w:t>乙方开具合同全额发票，甲方收到发票后</w:t>
            </w:r>
            <w:r>
              <w:rPr>
                <w:rFonts w:ascii="宋体" w:hAnsi="宋体" w:cs="宋体" w:eastAsia="宋体"/>
                <w:sz w:val="20"/>
              </w:rPr>
              <w:t>7个工作日内向乙方支付合同总金额30%货款；</w:t>
            </w:r>
          </w:p>
          <w:p>
            <w:pPr>
              <w:pStyle w:val="null3"/>
              <w:spacing w:before="210"/>
              <w:ind w:firstLine="361"/>
              <w:jc w:val="both"/>
            </w:pPr>
            <w:r>
              <w:rPr>
                <w:rFonts w:ascii="宋体" w:hAnsi="宋体" w:cs="宋体" w:eastAsia="宋体"/>
                <w:sz w:val="20"/>
              </w:rPr>
              <w:t>第二阶段付款：乙方完成设备安装调试，并经甲方验收合格后，</w:t>
            </w:r>
            <w:r>
              <w:rPr>
                <w:rFonts w:ascii="宋体" w:hAnsi="宋体" w:cs="宋体" w:eastAsia="宋体"/>
                <w:sz w:val="20"/>
              </w:rPr>
              <w:t>7个工作日内，甲方应向乙方支付合同</w:t>
            </w:r>
            <w:r>
              <w:rPr>
                <w:rFonts w:ascii="宋体" w:hAnsi="宋体" w:cs="宋体" w:eastAsia="宋体"/>
                <w:sz w:val="20"/>
              </w:rPr>
              <w:t>余</w:t>
            </w:r>
            <w:r>
              <w:rPr>
                <w:rFonts w:ascii="宋体" w:hAnsi="宋体" w:cs="宋体" w:eastAsia="宋体"/>
                <w:sz w:val="20"/>
              </w:rPr>
              <w:t>款</w:t>
            </w:r>
            <w:r>
              <w:rPr>
                <w:rFonts w:ascii="宋体" w:hAnsi="宋体" w:cs="宋体" w:eastAsia="宋体"/>
                <w:sz w:val="20"/>
              </w:rPr>
              <w:t>。</w:t>
            </w:r>
          </w:p>
          <w:p>
            <w:pPr>
              <w:pStyle w:val="null3"/>
              <w:spacing w:before="210"/>
              <w:jc w:val="both"/>
            </w:pPr>
            <w:r>
              <w:rPr>
                <w:rFonts w:ascii="宋体" w:hAnsi="宋体" w:cs="宋体" w:eastAsia="宋体"/>
                <w:b/>
                <w:sz w:val="20"/>
              </w:rPr>
              <w:t>7</w:t>
            </w:r>
            <w:r>
              <w:rPr>
                <w:rFonts w:ascii="宋体" w:hAnsi="宋体" w:cs="宋体" w:eastAsia="宋体"/>
                <w:b/>
                <w:sz w:val="20"/>
              </w:rPr>
              <w:t>、质量保证及售后服务：</w:t>
            </w:r>
          </w:p>
          <w:p>
            <w:pPr>
              <w:pStyle w:val="null3"/>
              <w:ind w:firstLine="420"/>
              <w:jc w:val="both"/>
            </w:pPr>
            <w:r>
              <w:rPr>
                <w:rFonts w:ascii="宋体" w:hAnsi="宋体" w:cs="宋体" w:eastAsia="宋体"/>
                <w:b/>
                <w:sz w:val="20"/>
              </w:rPr>
              <w:t xml:space="preserve"> </w:t>
            </w:r>
            <w:r>
              <w:rPr>
                <w:rFonts w:ascii="宋体" w:hAnsi="宋体" w:cs="宋体" w:eastAsia="宋体"/>
                <w:b/>
                <w:sz w:val="20"/>
              </w:rPr>
              <w:t>（</w:t>
            </w:r>
            <w:r>
              <w:rPr>
                <w:rFonts w:ascii="宋体" w:hAnsi="宋体" w:cs="宋体" w:eastAsia="宋体"/>
                <w:b/>
                <w:sz w:val="20"/>
              </w:rPr>
              <w:t>1）产品质量保证要求</w:t>
            </w:r>
          </w:p>
          <w:p>
            <w:pPr>
              <w:pStyle w:val="null3"/>
              <w:spacing w:before="210"/>
              <w:ind w:firstLine="380"/>
              <w:jc w:val="both"/>
            </w:pPr>
            <w:r>
              <w:rPr>
                <w:rFonts w:ascii="宋体" w:hAnsi="宋体" w:cs="宋体" w:eastAsia="宋体"/>
                <w:sz w:val="20"/>
              </w:rPr>
              <w:t>中标方应具备与本项目匹配的服务能力，以响应招标人的技术服务要求。</w:t>
            </w:r>
          </w:p>
          <w:p>
            <w:pPr>
              <w:pStyle w:val="null3"/>
              <w:spacing w:before="210"/>
              <w:ind w:firstLine="380"/>
              <w:jc w:val="both"/>
            </w:pPr>
            <w:r>
              <w:rPr>
                <w:rFonts w:ascii="宋体" w:hAnsi="宋体" w:cs="宋体" w:eastAsia="宋体"/>
                <w:sz w:val="20"/>
              </w:rPr>
              <w:t>所有产品的质</w:t>
            </w:r>
            <w:r>
              <w:rPr>
                <w:rFonts w:ascii="宋体" w:hAnsi="宋体" w:cs="宋体" w:eastAsia="宋体"/>
                <w:color w:val="000000"/>
                <w:sz w:val="20"/>
              </w:rPr>
              <w:t>保期自</w:t>
            </w:r>
            <w:r>
              <w:rPr>
                <w:rFonts w:ascii="宋体" w:hAnsi="宋体" w:cs="宋体" w:eastAsia="宋体"/>
                <w:color w:val="000000"/>
                <w:sz w:val="20"/>
              </w:rPr>
              <w:t>最终</w:t>
            </w:r>
            <w:r>
              <w:rPr>
                <w:rFonts w:ascii="宋体" w:hAnsi="宋体" w:cs="宋体" w:eastAsia="宋体"/>
                <w:color w:val="000000"/>
                <w:sz w:val="20"/>
              </w:rPr>
              <w:t>验收合格书签订之日起开始计算，提供不少于</w:t>
            </w:r>
            <w:r>
              <w:rPr>
                <w:rFonts w:ascii="宋体" w:hAnsi="宋体" w:cs="宋体" w:eastAsia="宋体"/>
                <w:color w:val="000000"/>
                <w:sz w:val="20"/>
              </w:rPr>
              <w:t>叁</w:t>
            </w:r>
            <w:r>
              <w:rPr>
                <w:rFonts w:ascii="宋体" w:hAnsi="宋体" w:cs="宋体" w:eastAsia="宋体"/>
                <w:color w:val="000000"/>
                <w:sz w:val="20"/>
              </w:rPr>
              <w:t>年的免费维护。保证技术指标先进、质量性能可靠、功能齐全、配置合理，全面满足招标要求。</w:t>
            </w:r>
          </w:p>
          <w:p>
            <w:pPr>
              <w:pStyle w:val="null3"/>
              <w:spacing w:before="210"/>
              <w:ind w:firstLine="380"/>
              <w:jc w:val="both"/>
            </w:pPr>
            <w:r>
              <w:rPr>
                <w:rFonts w:ascii="宋体" w:hAnsi="宋体" w:cs="宋体" w:eastAsia="宋体"/>
                <w:color w:val="000000"/>
                <w:sz w:val="20"/>
              </w:rPr>
              <w:t>供应商在质保期，适当满足医院因工作或政策原因需要的现场二次开发。</w:t>
            </w:r>
          </w:p>
          <w:p>
            <w:pPr>
              <w:pStyle w:val="null3"/>
              <w:jc w:val="left"/>
              <w:outlineLvl w:val="3"/>
            </w:pPr>
            <w:r>
              <w:rPr>
                <w:rFonts w:ascii="宋体" w:hAnsi="宋体" w:cs="宋体" w:eastAsia="宋体"/>
                <w:b/>
                <w:color w:val="000000"/>
                <w:sz w:val="20"/>
              </w:rPr>
              <w:t>（</w:t>
            </w:r>
            <w:r>
              <w:rPr>
                <w:rFonts w:ascii="宋体" w:hAnsi="宋体" w:cs="宋体" w:eastAsia="宋体"/>
                <w:b/>
                <w:color w:val="000000"/>
                <w:sz w:val="20"/>
              </w:rPr>
              <w:t>2</w:t>
            </w:r>
            <w:r>
              <w:rPr>
                <w:rFonts w:ascii="宋体" w:hAnsi="宋体" w:cs="宋体" w:eastAsia="宋体"/>
                <w:b/>
                <w:color w:val="000000"/>
                <w:sz w:val="20"/>
              </w:rPr>
              <w:t>）</w:t>
            </w:r>
            <w:r>
              <w:rPr>
                <w:rFonts w:ascii="宋体" w:hAnsi="宋体" w:cs="宋体" w:eastAsia="宋体"/>
                <w:b/>
                <w:color w:val="000000"/>
                <w:sz w:val="20"/>
              </w:rPr>
              <w:t>售后服务要求</w:t>
            </w:r>
          </w:p>
          <w:p>
            <w:pPr>
              <w:pStyle w:val="null3"/>
              <w:jc w:val="left"/>
              <w:outlineLvl w:val="3"/>
            </w:pPr>
            <w:r>
              <w:rPr>
                <w:rFonts w:ascii="宋体" w:hAnsi="宋体" w:cs="宋体" w:eastAsia="宋体"/>
                <w:b/>
                <w:color w:val="000000"/>
                <w:sz w:val="20"/>
              </w:rPr>
              <w:t>保障</w:t>
            </w:r>
            <w:r>
              <w:rPr>
                <w:rFonts w:ascii="宋体" w:hAnsi="宋体" w:cs="宋体" w:eastAsia="宋体"/>
                <w:b/>
                <w:color w:val="000000"/>
                <w:sz w:val="20"/>
              </w:rPr>
              <w:t>至少</w:t>
            </w:r>
            <w:r>
              <w:rPr>
                <w:rFonts w:ascii="宋体" w:hAnsi="宋体" w:cs="宋体" w:eastAsia="宋体"/>
                <w:b/>
                <w:color w:val="000000"/>
                <w:sz w:val="20"/>
              </w:rPr>
              <w:t>1人能及时</w:t>
            </w:r>
            <w:r>
              <w:rPr>
                <w:rFonts w:ascii="宋体" w:hAnsi="宋体" w:cs="宋体" w:eastAsia="宋体"/>
                <w:b/>
                <w:color w:val="000000"/>
                <w:sz w:val="20"/>
              </w:rPr>
              <w:t>处理软件系统的日常问题，</w:t>
            </w:r>
            <w:r>
              <w:rPr>
                <w:rFonts w:ascii="宋体" w:hAnsi="宋体" w:cs="宋体" w:eastAsia="宋体"/>
                <w:b/>
                <w:color w:val="000000"/>
                <w:sz w:val="20"/>
              </w:rPr>
              <w:t>售后运维人员需具备具体维护能力与资质（工作年限、实施案例），</w:t>
            </w:r>
            <w:r>
              <w:rPr>
                <w:rFonts w:ascii="宋体" w:hAnsi="宋体" w:cs="宋体" w:eastAsia="宋体"/>
                <w:b/>
                <w:color w:val="000000"/>
                <w:sz w:val="20"/>
              </w:rPr>
              <w:t>确保核心业务系统零宕机。中标人需设有售后服务机构</w:t>
            </w:r>
            <w:r>
              <w:rPr>
                <w:rFonts w:ascii="宋体" w:hAnsi="宋体" w:cs="宋体" w:eastAsia="宋体"/>
                <w:b/>
                <w:color w:val="000000"/>
                <w:sz w:val="20"/>
              </w:rPr>
              <w:t>/办事处，以便提供及时有效的技术服务支持。</w:t>
            </w:r>
          </w:p>
          <w:p>
            <w:pPr>
              <w:pStyle w:val="null3"/>
              <w:jc w:val="left"/>
              <w:outlineLvl w:val="3"/>
            </w:pPr>
            <w:r>
              <w:rPr>
                <w:rFonts w:ascii="宋体" w:hAnsi="宋体" w:cs="宋体" w:eastAsia="宋体"/>
                <w:b/>
                <w:color w:val="000000"/>
                <w:sz w:val="20"/>
              </w:rPr>
              <w:t>（</w:t>
            </w:r>
            <w:r>
              <w:rPr>
                <w:rFonts w:ascii="宋体" w:hAnsi="宋体" w:cs="宋体" w:eastAsia="宋体"/>
                <w:b/>
                <w:color w:val="000000"/>
                <w:sz w:val="20"/>
              </w:rPr>
              <w:t>3</w:t>
            </w:r>
            <w:r>
              <w:rPr>
                <w:rFonts w:ascii="宋体" w:hAnsi="宋体" w:cs="宋体" w:eastAsia="宋体"/>
                <w:b/>
                <w:color w:val="000000"/>
                <w:sz w:val="20"/>
              </w:rPr>
              <w:t>）</w:t>
            </w:r>
            <w:r>
              <w:rPr>
                <w:rFonts w:ascii="宋体" w:hAnsi="宋体" w:cs="宋体" w:eastAsia="宋体"/>
                <w:b/>
                <w:color w:val="000000"/>
                <w:sz w:val="20"/>
              </w:rPr>
              <w:t>质保期内要求</w:t>
            </w:r>
          </w:p>
          <w:p>
            <w:pPr>
              <w:pStyle w:val="null3"/>
              <w:spacing w:before="210"/>
              <w:ind w:firstLine="380"/>
              <w:jc w:val="both"/>
            </w:pPr>
            <w:r>
              <w:rPr>
                <w:rFonts w:ascii="宋体" w:hAnsi="宋体" w:cs="宋体" w:eastAsia="宋体"/>
                <w:color w:val="000000"/>
                <w:sz w:val="20"/>
              </w:rPr>
              <w:t>①工程建设期间及质保期均属于免费服务期</w:t>
            </w:r>
            <w:r>
              <w:rPr>
                <w:rFonts w:ascii="宋体" w:hAnsi="宋体" w:cs="宋体" w:eastAsia="宋体"/>
                <w:sz w:val="20"/>
              </w:rPr>
              <w:t>，该期限内的所有售后服务，包括软件维护所产生的费用均由中标方承担。</w:t>
            </w:r>
          </w:p>
          <w:p>
            <w:pPr>
              <w:pStyle w:val="null3"/>
              <w:spacing w:before="210"/>
              <w:ind w:firstLine="380"/>
              <w:jc w:val="both"/>
            </w:pPr>
            <w:r>
              <w:rPr>
                <w:rFonts w:ascii="宋体" w:hAnsi="宋体" w:cs="宋体" w:eastAsia="宋体"/>
                <w:sz w:val="20"/>
              </w:rPr>
              <w:t>②响应时间：中</w:t>
            </w:r>
            <w:r>
              <w:rPr>
                <w:rFonts w:ascii="宋体" w:hAnsi="宋体" w:cs="宋体" w:eastAsia="宋体"/>
                <w:color w:val="000000"/>
                <w:sz w:val="20"/>
              </w:rPr>
              <w:t>标方在投标文件中必须明确承诺售后服务响应时间，并不得低于以下标准：提供</w:t>
            </w:r>
            <w:r>
              <w:rPr>
                <w:rFonts w:ascii="宋体" w:hAnsi="宋体" w:cs="宋体" w:eastAsia="宋体"/>
                <w:color w:val="000000"/>
                <w:sz w:val="20"/>
              </w:rPr>
              <w:t>7×24 电话或电子邮件服务，接到招标方报修通知 2 小时内做出明确响应和安排，8 小时内做出故障诊断报告。如需现场服务的，具有解决故障能力的工程师应在接到报修通知</w:t>
            </w:r>
            <w:r>
              <w:rPr>
                <w:rFonts w:ascii="宋体" w:hAnsi="宋体" w:cs="宋体" w:eastAsia="宋体"/>
                <w:color w:val="000000"/>
                <w:sz w:val="20"/>
              </w:rPr>
              <w:t>1小时内到达现场，如中标方有特殊原因无法安排人员</w:t>
            </w:r>
            <w:r>
              <w:rPr>
                <w:rFonts w:ascii="宋体" w:hAnsi="宋体" w:cs="宋体" w:eastAsia="宋体"/>
                <w:color w:val="000000"/>
                <w:sz w:val="20"/>
              </w:rPr>
              <w:t>到达现场</w:t>
            </w:r>
            <w:r>
              <w:rPr>
                <w:rFonts w:ascii="宋体" w:hAnsi="宋体" w:cs="宋体" w:eastAsia="宋体"/>
                <w:color w:val="000000"/>
                <w:sz w:val="20"/>
              </w:rPr>
              <w:t>的可通过与招标方协商通过远程等方式解决。</w:t>
            </w:r>
          </w:p>
          <w:p>
            <w:pPr>
              <w:pStyle w:val="null3"/>
              <w:ind w:firstLine="380"/>
              <w:jc w:val="both"/>
            </w:pPr>
            <w:r>
              <w:rPr>
                <w:rFonts w:ascii="宋体" w:hAnsi="宋体" w:cs="宋体" w:eastAsia="宋体"/>
                <w:color w:val="000000"/>
                <w:sz w:val="20"/>
              </w:rPr>
              <w:t>③每年提供12次系统巡检，不限次数的现场维护。并向最终用户提供12次巡检单（一式两份，由双方签字确认），内容包含但不限于巡检时间、巡检内容、巡检结果。</w:t>
            </w:r>
          </w:p>
          <w:p>
            <w:pPr>
              <w:pStyle w:val="null3"/>
              <w:jc w:val="left"/>
              <w:outlineLvl w:val="3"/>
            </w:pPr>
            <w:r>
              <w:rPr>
                <w:rFonts w:ascii="宋体" w:hAnsi="宋体" w:cs="宋体" w:eastAsia="宋体"/>
                <w:b/>
                <w:color w:val="000000"/>
                <w:sz w:val="20"/>
              </w:rPr>
              <w:t>（</w:t>
            </w:r>
            <w:r>
              <w:rPr>
                <w:rFonts w:ascii="宋体" w:hAnsi="宋体" w:cs="宋体" w:eastAsia="宋体"/>
                <w:b/>
                <w:color w:val="000000"/>
                <w:sz w:val="20"/>
              </w:rPr>
              <w:t>4</w:t>
            </w:r>
            <w:r>
              <w:rPr>
                <w:rFonts w:ascii="宋体" w:hAnsi="宋体" w:cs="宋体" w:eastAsia="宋体"/>
                <w:b/>
                <w:color w:val="000000"/>
                <w:sz w:val="20"/>
              </w:rPr>
              <w:t>）</w:t>
            </w:r>
            <w:r>
              <w:rPr>
                <w:rFonts w:ascii="宋体" w:hAnsi="宋体" w:cs="宋体" w:eastAsia="宋体"/>
                <w:b/>
                <w:color w:val="000000"/>
                <w:sz w:val="20"/>
              </w:rPr>
              <w:t>质保期满后</w:t>
            </w:r>
          </w:p>
          <w:p>
            <w:pPr>
              <w:pStyle w:val="null3"/>
              <w:ind w:firstLine="380"/>
              <w:jc w:val="left"/>
            </w:pPr>
            <w:r>
              <w:rPr>
                <w:rFonts w:ascii="宋体" w:hAnsi="宋体" w:cs="宋体" w:eastAsia="宋体"/>
                <w:color w:val="000000"/>
                <w:sz w:val="20"/>
              </w:rPr>
              <w:t>中标人应保证以合理优惠的价格提供维护和升级服务，</w:t>
            </w:r>
            <w:r>
              <w:rPr>
                <w:rFonts w:ascii="宋体" w:hAnsi="宋体" w:cs="宋体" w:eastAsia="宋体"/>
                <w:color w:val="000000"/>
                <w:sz w:val="20"/>
              </w:rPr>
              <w:t>年度运维服务费限定合同总金额</w:t>
            </w:r>
            <w:r>
              <w:rPr>
                <w:rFonts w:ascii="宋体" w:hAnsi="宋体" w:cs="宋体" w:eastAsia="宋体"/>
                <w:color w:val="000000"/>
                <w:sz w:val="20"/>
              </w:rPr>
              <w:t>8%以内，具体金额以双方协商确定为准，</w:t>
            </w:r>
            <w:r>
              <w:rPr>
                <w:rFonts w:ascii="宋体" w:hAnsi="宋体" w:cs="宋体" w:eastAsia="宋体"/>
                <w:color w:val="000000"/>
                <w:sz w:val="20"/>
              </w:rPr>
              <w:t>当发生故障时，中标服务商应按质保期内相同的服务标准进行维护处理。</w:t>
            </w:r>
          </w:p>
          <w:p>
            <w:pPr>
              <w:pStyle w:val="null3"/>
              <w:spacing w:before="210"/>
              <w:ind w:firstLine="54"/>
              <w:jc w:val="both"/>
            </w:pPr>
            <w:r>
              <w:rPr>
                <w:rFonts w:ascii="宋体" w:hAnsi="宋体" w:cs="宋体" w:eastAsia="宋体"/>
                <w:b/>
                <w:sz w:val="20"/>
              </w:rPr>
              <w:t>8</w:t>
            </w:r>
            <w:r>
              <w:rPr>
                <w:rFonts w:ascii="宋体" w:hAnsi="宋体" w:cs="宋体" w:eastAsia="宋体"/>
                <w:b/>
                <w:sz w:val="20"/>
              </w:rPr>
              <w:t>、培训要求：</w:t>
            </w:r>
          </w:p>
          <w:p>
            <w:pPr>
              <w:pStyle w:val="null3"/>
              <w:jc w:val="both"/>
            </w:pPr>
            <w:r>
              <w:rPr>
                <w:rFonts w:ascii="宋体" w:hAnsi="宋体" w:cs="宋体" w:eastAsia="宋体"/>
                <w:sz w:val="20"/>
              </w:rPr>
              <w:t>中标方必须向招标方提供免费培训，提供完整的人员培训计划，培训内容充实，安排合理；对使用单位所有使用人员和系统管理员进行软件系统使用及维护免费培训，使采购单位相关操作人员了解系统软件模块、工作原理，并能熟练应用软件，具有能排除一般故障的能力。</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标的名称：新院区眼科PACS（扩容）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一</w:t>
            </w:r>
            <w:r>
              <w:rPr>
                <w:rFonts w:ascii="宋体" w:hAnsi="宋体" w:cs="宋体" w:eastAsia="宋体"/>
                <w:sz w:val="20"/>
              </w:rPr>
              <w:t>、采购内容</w:t>
            </w:r>
          </w:p>
          <w:p>
            <w:pPr>
              <w:pStyle w:val="null3"/>
              <w:jc w:val="both"/>
            </w:pPr>
            <w:r>
              <w:rPr>
                <w:rFonts w:ascii="宋体" w:hAnsi="宋体" w:cs="宋体" w:eastAsia="宋体"/>
                <w:sz w:val="20"/>
              </w:rPr>
              <w:t>新院区眼科</w:t>
            </w:r>
            <w:r>
              <w:rPr>
                <w:rFonts w:ascii="calibri" w:hAnsi="calibri" w:cs="calibri" w:eastAsia="calibri"/>
                <w:sz w:val="20"/>
              </w:rPr>
              <w:t>PACS</w:t>
            </w:r>
            <w:r>
              <w:rPr>
                <w:rFonts w:ascii="宋体" w:hAnsi="宋体" w:cs="宋体" w:eastAsia="宋体"/>
                <w:sz w:val="20"/>
              </w:rPr>
              <w:t>（扩容）</w:t>
            </w:r>
            <w:r>
              <w:rPr>
                <w:rFonts w:ascii="&quot;times new roman&quot;" w:hAnsi="&quot;times new roman&quot;" w:cs="&quot;times new roman&quot;" w:eastAsia="&quot;times new roman&quot;"/>
                <w:sz w:val="21"/>
              </w:rPr>
              <w:t xml:space="preserve">  </w:t>
            </w:r>
            <w:r>
              <w:rPr>
                <w:rFonts w:ascii="calibri" w:hAnsi="calibri" w:cs="calibri" w:eastAsia="calibri"/>
                <w:sz w:val="20"/>
              </w:rPr>
              <w:t>1</w:t>
            </w:r>
            <w:r>
              <w:rPr>
                <w:rFonts w:ascii="宋体" w:hAnsi="宋体" w:cs="宋体" w:eastAsia="宋体"/>
                <w:sz w:val="20"/>
              </w:rPr>
              <w:t>套</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二</w:t>
            </w:r>
            <w:r>
              <w:rPr>
                <w:rFonts w:ascii="宋体" w:hAnsi="宋体" w:cs="宋体" w:eastAsia="宋体"/>
                <w:sz w:val="21"/>
              </w:rPr>
              <w:t>、采购要求</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w:t>
            </w:r>
            <w:r>
              <w:rPr>
                <w:rFonts w:ascii="宋体" w:hAnsi="宋体" w:cs="宋体" w:eastAsia="宋体"/>
              </w:rPr>
              <w:t>项目概况</w:t>
            </w:r>
          </w:p>
          <w:p>
            <w:pPr>
              <w:pStyle w:val="null3"/>
              <w:jc w:val="both"/>
            </w:pPr>
            <w:r>
              <w:rPr>
                <w:rFonts w:ascii="宋体" w:hAnsi="宋体" w:cs="宋体" w:eastAsia="宋体"/>
                <w:sz w:val="21"/>
              </w:rPr>
              <w:t>为了更好的服务眼科科室的诊疗信息管理、科研分析、数据统计等相关医疗需求，我院新院区需要建设符合眼科临床需求并且具有眼科特色的眼科辅助检查及影像检查结果平台，简化检查流程，提高眼科工作效率和质量；统一数据存储，提升数据的安全性和可利用性；平台数据应用，为辅助临床诊疗，提供科学依据，为业务科室管理，提供数据支持。在院内数据汇总的基础上进一步做到两院区数据的交互及互联互通，让医生无论在哪个院区均可以看到所有患者的数据信息，方便双向转诊等服务。</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w:t>
            </w:r>
            <w:r>
              <w:rPr>
                <w:rFonts w:ascii="宋体" w:hAnsi="宋体" w:cs="宋体" w:eastAsia="宋体"/>
              </w:rPr>
              <w:t>项目背景</w:t>
            </w:r>
          </w:p>
          <w:p>
            <w:pPr>
              <w:pStyle w:val="null3"/>
              <w:jc w:val="both"/>
            </w:pPr>
            <w:r>
              <w:rPr>
                <w:rFonts w:ascii="宋体" w:hAnsi="宋体" w:cs="宋体" w:eastAsia="宋体"/>
                <w:sz w:val="21"/>
              </w:rPr>
              <w:t>目前我院在粉巷院区已经使用了眼科检查信息系统并取得了一定的成效，粉巷院区的所有眼科检查设备均已联网，数据统一汇总存储在医院机房服务器内，临床医院可以通过电脑调阅病人的全生命周期的眼科检查数据，且通过系统简化检查流程，提高了眼科工作效率和质量。目前新院区一样面临之前粉巷院区上系统前所存在问题，新院区拥有数台眼科检查设备，各检查设备均为单机运行，并没有信息化系统完成整个检查业务，以及检查结果的信息化共享。</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）软件总体要求</w:t>
            </w:r>
          </w:p>
          <w:p>
            <w:pPr>
              <w:pStyle w:val="null3"/>
              <w:jc w:val="both"/>
            </w:pPr>
            <w:r>
              <w:rPr>
                <w:rFonts w:ascii="宋体" w:hAnsi="宋体" w:cs="宋体" w:eastAsia="宋体"/>
                <w:sz w:val="21"/>
              </w:rPr>
              <w:t>①</w:t>
            </w:r>
            <w:r>
              <w:rPr>
                <w:rFonts w:ascii="宋体" w:hAnsi="宋体" w:cs="宋体" w:eastAsia="宋体"/>
              </w:rPr>
              <w:t>支持通过标准</w:t>
            </w:r>
            <w:r>
              <w:rPr>
                <w:rFonts w:ascii="calibri" w:hAnsi="calibri" w:cs="calibri" w:eastAsia="calibri"/>
              </w:rPr>
              <w:t>WEBService</w:t>
            </w:r>
            <w:r>
              <w:rPr>
                <w:rFonts w:ascii="宋体" w:hAnsi="宋体" w:cs="宋体" w:eastAsia="宋体"/>
              </w:rPr>
              <w:t>接口与院内</w:t>
            </w:r>
            <w:r>
              <w:rPr>
                <w:rFonts w:ascii="calibri" w:hAnsi="calibri" w:cs="calibri" w:eastAsia="calibri"/>
              </w:rPr>
              <w:t>HIS/EMR</w:t>
            </w:r>
            <w:r>
              <w:rPr>
                <w:rFonts w:ascii="宋体" w:hAnsi="宋体" w:cs="宋体" w:eastAsia="宋体"/>
              </w:rPr>
              <w:t>等其他系统交互数据；支持通过视图方式与院内</w:t>
            </w:r>
            <w:r>
              <w:rPr>
                <w:rFonts w:ascii="calibri" w:hAnsi="calibri" w:cs="calibri" w:eastAsia="calibri"/>
              </w:rPr>
              <w:t>HIS/EMR</w:t>
            </w:r>
            <w:r>
              <w:rPr>
                <w:rFonts w:ascii="宋体" w:hAnsi="宋体" w:cs="宋体" w:eastAsia="宋体"/>
              </w:rPr>
              <w:t>等其他系统交互数据；</w:t>
            </w:r>
          </w:p>
          <w:p>
            <w:pPr>
              <w:pStyle w:val="null3"/>
              <w:jc w:val="both"/>
            </w:pPr>
            <w:r>
              <w:rPr>
                <w:rFonts w:ascii="宋体" w:hAnsi="宋体" w:cs="宋体" w:eastAsia="宋体"/>
                <w:sz w:val="21"/>
              </w:rPr>
              <w:t>②</w:t>
            </w:r>
            <w:r>
              <w:rPr>
                <w:rFonts w:ascii="宋体" w:hAnsi="宋体" w:cs="宋体" w:eastAsia="宋体"/>
              </w:rPr>
              <w:t>支持通过患者提供的就诊卡或其它检查凭证自动获取与设备相关的检查信息；根据患者</w:t>
            </w:r>
            <w:r>
              <w:rPr>
                <w:rFonts w:ascii="calibri" w:hAnsi="calibri" w:cs="calibri" w:eastAsia="calibri"/>
              </w:rPr>
              <w:t>ID</w:t>
            </w:r>
            <w:r>
              <w:rPr>
                <w:rFonts w:ascii="宋体" w:hAnsi="宋体" w:cs="宋体" w:eastAsia="宋体"/>
              </w:rPr>
              <w:t>，患者姓名，检查状态，检查项目等条件进行查询获取查询结果；支持根据多个检查项目进行查询过滤。</w:t>
            </w:r>
          </w:p>
          <w:p>
            <w:pPr>
              <w:pStyle w:val="null3"/>
              <w:jc w:val="both"/>
            </w:pPr>
            <w:r>
              <w:rPr>
                <w:rFonts w:ascii="宋体" w:hAnsi="宋体" w:cs="宋体" w:eastAsia="宋体"/>
                <w:sz w:val="21"/>
              </w:rPr>
              <w:t>③</w:t>
            </w:r>
            <w:r>
              <w:rPr>
                <w:rFonts w:ascii="宋体" w:hAnsi="宋体" w:cs="宋体" w:eastAsia="宋体"/>
              </w:rPr>
              <w:t>支持定位后，自动将检查登记的患者信息传送给工作站设备软件，无需人工在工作站设备软件上手工录入登记患者信息，并保持工作站设备如那件后续的工作不变；支持设备报告内容自动获取，无需人工干预操作；支持检查完成后系统自动发送消息，使院内其它系统及时实现扣费、查看、统计等操作。</w:t>
            </w:r>
          </w:p>
          <w:p>
            <w:pPr>
              <w:pStyle w:val="null3"/>
              <w:jc w:val="both"/>
            </w:pPr>
            <w:r>
              <w:rPr>
                <w:rFonts w:ascii="宋体" w:hAnsi="宋体" w:cs="宋体" w:eastAsia="宋体"/>
                <w:sz w:val="21"/>
              </w:rPr>
              <w:t>④</w:t>
            </w:r>
            <w:r>
              <w:rPr>
                <w:rFonts w:ascii="&quot;times new roman&quot;" w:hAnsi="&quot;times new roman&quot;" w:cs="&quot;times new roman&quot;" w:eastAsia="&quot;times new roman&quot;"/>
                <w:sz w:val="21"/>
              </w:rPr>
              <w:t xml:space="preserve"> </w:t>
            </w:r>
            <w:r>
              <w:rPr>
                <w:rFonts w:ascii="宋体" w:hAnsi="宋体" w:cs="宋体" w:eastAsia="宋体"/>
              </w:rPr>
              <w:t>支持图像、视频、</w:t>
            </w:r>
            <w:r>
              <w:rPr>
                <w:rFonts w:ascii="calibri" w:hAnsi="calibri" w:cs="calibri" w:eastAsia="calibri"/>
              </w:rPr>
              <w:t>PDF</w:t>
            </w:r>
            <w:r>
              <w:rPr>
                <w:rFonts w:ascii="宋体" w:hAnsi="宋体" w:cs="宋体" w:eastAsia="宋体"/>
              </w:rPr>
              <w:t>、</w:t>
            </w:r>
            <w:r>
              <w:rPr>
                <w:rFonts w:ascii="calibri" w:hAnsi="calibri" w:cs="calibri" w:eastAsia="calibri"/>
              </w:rPr>
              <w:t>DICOM</w:t>
            </w:r>
            <w:r>
              <w:rPr>
                <w:rFonts w:ascii="宋体" w:hAnsi="宋体" w:cs="宋体" w:eastAsia="宋体"/>
              </w:rPr>
              <w:t>文件等多种检查结果采集方式。支持图像采集卡采集数据；支持对眼压、验光设备数据的连接采集；支持在设备通讯故障下或无数据接口情况下可以手动操作录入眼压、验光数据值；自动获取检查设备报告、原始图像，无需从患者检查信息中选择进行匹配关联的操作。</w:t>
            </w:r>
          </w:p>
          <w:p>
            <w:pPr>
              <w:pStyle w:val="null3"/>
              <w:jc w:val="both"/>
            </w:pPr>
            <w:r>
              <w:rPr>
                <w:rFonts w:ascii="宋体" w:hAnsi="宋体" w:cs="宋体" w:eastAsia="宋体"/>
                <w:sz w:val="21"/>
              </w:rPr>
              <w:t>⑤</w:t>
            </w:r>
            <w:r>
              <w:rPr>
                <w:rFonts w:ascii="&quot;times new roman&quot;" w:hAnsi="&quot;times new roman&quot;" w:cs="&quot;times new roman&quot;" w:eastAsia="&quot;times new roman&quot;"/>
                <w:sz w:val="21"/>
              </w:rPr>
              <w:t xml:space="preserve"> </w:t>
            </w:r>
            <w:r>
              <w:rPr>
                <w:rFonts w:ascii="宋体" w:hAnsi="宋体" w:cs="宋体" w:eastAsia="宋体"/>
              </w:rPr>
              <w:t>支持放大、缩小、灰度处理、</w:t>
            </w:r>
            <w:r>
              <w:rPr>
                <w:rFonts w:ascii="calibri" w:hAnsi="calibri" w:cs="calibri" w:eastAsia="calibri"/>
              </w:rPr>
              <w:t>RGB</w:t>
            </w:r>
            <w:r>
              <w:rPr>
                <w:rFonts w:ascii="宋体" w:hAnsi="宋体" w:cs="宋体" w:eastAsia="宋体"/>
              </w:rPr>
              <w:t>显示、局部放大、标记等图像处理功能。</w:t>
            </w:r>
          </w:p>
          <w:p>
            <w:pPr>
              <w:pStyle w:val="null3"/>
              <w:jc w:val="both"/>
            </w:pPr>
            <w:r>
              <w:rPr>
                <w:rFonts w:ascii="times new roman, times, serif" w:hAnsi="times new roman, times, serif" w:cs="times new roman, times, serif" w:eastAsia="times new roman, times, serif"/>
                <w:sz w:val="21"/>
              </w:rPr>
              <w:t>⑥</w:t>
            </w:r>
            <w:r>
              <w:rPr>
                <w:rFonts w:ascii="宋体" w:hAnsi="宋体" w:cs="宋体" w:eastAsia="宋体"/>
              </w:rPr>
              <w:t>提供自定义格式打印报告模板；支持自行维护打印报告模板；报告统一格式服务模式；对原有报告进行转换，包括医院</w:t>
            </w:r>
            <w:r>
              <w:rPr>
                <w:rFonts w:ascii="calibri" w:hAnsi="calibri" w:cs="calibri" w:eastAsia="calibri"/>
              </w:rPr>
              <w:t>LOGO</w:t>
            </w:r>
            <w:r>
              <w:rPr>
                <w:rFonts w:ascii="宋体" w:hAnsi="宋体" w:cs="宋体" w:eastAsia="宋体"/>
              </w:rPr>
              <w:t>，医院名称，患者信息，临床信息，报告内容，报告时间，报告医生，提示信息，科室联系方式等。并支持附加医生电子签名至统一格式报告。</w:t>
            </w:r>
          </w:p>
          <w:p>
            <w:pPr>
              <w:pStyle w:val="null3"/>
              <w:jc w:val="both"/>
            </w:pPr>
            <w:r>
              <w:rPr>
                <w:rFonts w:ascii="times new roman, times, serif" w:hAnsi="times new roman, times, serif" w:cs="times new roman, times, serif" w:eastAsia="times new roman, times, serif"/>
                <w:sz w:val="21"/>
              </w:rPr>
              <w:t>⑦</w:t>
            </w:r>
            <w:r>
              <w:rPr>
                <w:rFonts w:ascii="宋体" w:hAnsi="宋体" w:cs="宋体" w:eastAsia="宋体"/>
                <w:sz w:val="21"/>
              </w:rPr>
              <w:t>支持设备使用量统计，支持列表式和图形化方式展示；支持检查医生工作量统计，支持列表式和图形化方式展示；支持按不同权限医生查看不同工作量维度；支持按时间段、按医生工作量查询统计；支持医生具体检查名细如患者信息、检查日期等；支持工作量统计查询结果的导出。</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w:t>
            </w:r>
            <w:r>
              <w:rPr>
                <w:rFonts w:ascii="宋体" w:hAnsi="宋体" w:cs="宋体" w:eastAsia="宋体"/>
              </w:rPr>
              <w:t>建设目标</w:t>
            </w:r>
          </w:p>
          <w:p>
            <w:pPr>
              <w:pStyle w:val="null3"/>
              <w:jc w:val="both"/>
            </w:pPr>
            <w:r>
              <w:rPr>
                <w:rFonts w:ascii="宋体" w:hAnsi="宋体" w:cs="宋体" w:eastAsia="宋体"/>
                <w:sz w:val="21"/>
              </w:rPr>
              <w:t>①</w:t>
            </w:r>
            <w:r>
              <w:rPr>
                <w:rFonts w:ascii="宋体" w:hAnsi="宋体" w:cs="宋体" w:eastAsia="宋体"/>
              </w:rPr>
              <w:t>眼科设备全面覆盖</w:t>
            </w:r>
          </w:p>
          <w:p>
            <w:pPr>
              <w:pStyle w:val="null3"/>
              <w:jc w:val="both"/>
            </w:pPr>
            <w:r>
              <w:rPr>
                <w:rFonts w:ascii="宋体" w:hAnsi="宋体" w:cs="宋体" w:eastAsia="宋体"/>
              </w:rPr>
              <w:t>将现有医院特检、各个科室中的眼科检查设备一个不漏地联入网络（包含不限于清单内列举设备），全面获取各个设备中的数据进行集中归档保存，提高数据的安全性，为后续的数据利用打下坚实的基础。</w:t>
            </w:r>
          </w:p>
          <w:p>
            <w:pPr>
              <w:pStyle w:val="null3"/>
              <w:jc w:val="both"/>
            </w:pPr>
            <w:r>
              <w:rPr>
                <w:rFonts w:ascii="宋体" w:hAnsi="宋体" w:cs="宋体" w:eastAsia="宋体"/>
                <w:sz w:val="21"/>
              </w:rPr>
              <w:t>②</w:t>
            </w:r>
            <w:r>
              <w:rPr>
                <w:rFonts w:ascii="宋体" w:hAnsi="宋体" w:cs="宋体" w:eastAsia="宋体"/>
              </w:rPr>
              <w:t>规范检查过程全面纳入信息化管理</w:t>
            </w:r>
          </w:p>
          <w:p>
            <w:pPr>
              <w:pStyle w:val="null3"/>
              <w:jc w:val="both"/>
            </w:pPr>
            <w:r>
              <w:rPr>
                <w:rFonts w:ascii="宋体" w:hAnsi="宋体" w:cs="宋体" w:eastAsia="宋体"/>
              </w:rPr>
              <w:t>在眼科检查靠人工进行操作完成信息传递，通过自动化完成这一过程。避免差错，降低风险，有效地规范了检查的整个过程，且一旦出现问题也有数据可以进行追溯。检查数据统一格式、电子签名、多级审核全面纳入信息化管理。</w:t>
            </w:r>
          </w:p>
          <w:p>
            <w:pPr>
              <w:pStyle w:val="null3"/>
              <w:jc w:val="both"/>
            </w:pPr>
            <w:r>
              <w:rPr>
                <w:rFonts w:ascii="宋体" w:hAnsi="宋体" w:cs="宋体" w:eastAsia="宋体"/>
                <w:sz w:val="21"/>
              </w:rPr>
              <w:t xml:space="preserve">③ </w:t>
            </w:r>
            <w:r>
              <w:rPr>
                <w:rFonts w:ascii="宋体" w:hAnsi="宋体" w:cs="宋体" w:eastAsia="宋体"/>
              </w:rPr>
              <w:t>原始数据的统一归档</w:t>
            </w:r>
            <w:r>
              <w:rPr>
                <w:rFonts w:ascii="calibri" w:hAnsi="calibri" w:cs="calibri" w:eastAsia="calibri"/>
              </w:rPr>
              <w:t>,</w:t>
            </w:r>
            <w:r>
              <w:rPr>
                <w:rFonts w:ascii="宋体" w:hAnsi="宋体" w:cs="宋体" w:eastAsia="宋体"/>
              </w:rPr>
              <w:t>检查结果共享</w:t>
            </w:r>
          </w:p>
          <w:p>
            <w:pPr>
              <w:pStyle w:val="null3"/>
              <w:jc w:val="both"/>
            </w:pPr>
            <w:r>
              <w:rPr>
                <w:rFonts w:ascii="宋体" w:hAnsi="宋体" w:cs="宋体" w:eastAsia="宋体"/>
              </w:rPr>
              <w:t>医院内部患者历史的检查不管在哪家分支机构，都可以在统一平台上调阅检查结果。临床医生可以全面了解患者的历史检查情况，方便患者在门诊总院间快速转诊。改变了过去靠纸质文档传递信息的弊端。</w:t>
            </w:r>
          </w:p>
          <w:p>
            <w:pPr>
              <w:pStyle w:val="null3"/>
              <w:jc w:val="both"/>
            </w:pPr>
            <w:r>
              <w:rPr>
                <w:rFonts w:ascii="宋体" w:hAnsi="宋体" w:cs="宋体" w:eastAsia="宋体"/>
                <w:sz w:val="21"/>
              </w:rPr>
              <w:t>④</w:t>
            </w:r>
            <w:r>
              <w:rPr>
                <w:rFonts w:ascii="宋体" w:hAnsi="宋体" w:cs="宋体" w:eastAsia="宋体"/>
              </w:rPr>
              <w:t>优化检查业务流程</w:t>
            </w:r>
          </w:p>
          <w:p>
            <w:pPr>
              <w:pStyle w:val="null3"/>
              <w:jc w:val="both"/>
            </w:pPr>
            <w:r>
              <w:rPr>
                <w:rFonts w:ascii="宋体" w:hAnsi="宋体" w:cs="宋体" w:eastAsia="宋体"/>
              </w:rPr>
              <w:t>利用信息化系统将检查登记、分诊叫号、信息传递、检查结果获取、检查结果共享浏览进行业务优化，与现有</w:t>
            </w:r>
            <w:r>
              <w:rPr>
                <w:rFonts w:ascii="calibri" w:hAnsi="calibri" w:cs="calibri" w:eastAsia="calibri"/>
              </w:rPr>
              <w:t>HIS</w:t>
            </w:r>
            <w:r>
              <w:rPr>
                <w:rFonts w:ascii="宋体" w:hAnsi="宋体" w:cs="宋体" w:eastAsia="宋体"/>
              </w:rPr>
              <w:t>、叫号互联互通，提高工作效率。</w:t>
            </w:r>
          </w:p>
          <w:p>
            <w:pPr>
              <w:pStyle w:val="null3"/>
              <w:jc w:val="both"/>
            </w:pPr>
            <w:r>
              <w:rPr>
                <w:rFonts w:ascii="宋体" w:hAnsi="宋体" w:cs="宋体" w:eastAsia="宋体"/>
                <w:sz w:val="21"/>
              </w:rPr>
              <w:t>⑤</w:t>
            </w:r>
            <w:r>
              <w:rPr>
                <w:rFonts w:ascii="&quot;times new roman&quot;" w:hAnsi="&quot;times new roman&quot;" w:cs="&quot;times new roman&quot;" w:eastAsia="&quot;times new roman&quot;"/>
                <w:sz w:val="21"/>
              </w:rPr>
              <w:t xml:space="preserve"> </w:t>
            </w:r>
            <w:r>
              <w:rPr>
                <w:rFonts w:ascii="calibri" w:hAnsi="calibri" w:cs="calibri" w:eastAsia="calibri"/>
              </w:rPr>
              <w:t>HIS</w:t>
            </w:r>
            <w:r>
              <w:rPr>
                <w:rFonts w:ascii="宋体" w:hAnsi="宋体" w:cs="宋体" w:eastAsia="宋体"/>
              </w:rPr>
              <w:t>、电子病历、数据集成平台全面融合</w:t>
            </w:r>
          </w:p>
          <w:p>
            <w:pPr>
              <w:pStyle w:val="null3"/>
              <w:jc w:val="both"/>
            </w:pPr>
            <w:r>
              <w:rPr>
                <w:rFonts w:ascii="宋体" w:hAnsi="宋体" w:cs="宋体" w:eastAsia="宋体"/>
              </w:rPr>
              <w:t>打通与各个系统的数据流转，改变过去眼科检查设备单机运行的信息孤岛。与各个系统进行无缝对接，电子病历中浏览检查结果，使用检查结果数据，完整的医疗数据提升了电子病历等级。</w:t>
            </w:r>
          </w:p>
          <w:p>
            <w:pPr>
              <w:pStyle w:val="null3"/>
              <w:jc w:val="both"/>
            </w:pPr>
            <w:r>
              <w:rPr>
                <w:rFonts w:ascii="times new roman, times, serif" w:hAnsi="times new roman, times, serif" w:cs="times new roman, times, serif" w:eastAsia="times new roman, times, serif"/>
                <w:sz w:val="21"/>
              </w:rPr>
              <w:t>⑥</w:t>
            </w:r>
            <w:r>
              <w:rPr>
                <w:rFonts w:ascii="宋体" w:hAnsi="宋体" w:cs="宋体" w:eastAsia="宋体"/>
              </w:rPr>
              <w:t>原始图像的获取和处理</w:t>
            </w:r>
          </w:p>
          <w:p>
            <w:pPr>
              <w:pStyle w:val="null3"/>
              <w:jc w:val="both"/>
            </w:pPr>
            <w:r>
              <w:rPr>
                <w:rFonts w:ascii="宋体" w:hAnsi="宋体" w:cs="宋体" w:eastAsia="宋体"/>
              </w:rPr>
              <w:t>要求所获取的数据应该是原始图像，而非屏幕截图方式，只有原始图像才能保证数据的真实性，避免失真，只有原始数据才能进行后续如测量等处理。</w:t>
            </w:r>
          </w:p>
          <w:p>
            <w:pPr>
              <w:pStyle w:val="null3"/>
              <w:jc w:val="both"/>
            </w:pPr>
            <w:r>
              <w:rPr>
                <w:rFonts w:ascii="times new roman, times, serif" w:hAnsi="times new roman, times, serif" w:cs="times new roman, times, serif" w:eastAsia="times new roman, times, serif"/>
                <w:sz w:val="21"/>
              </w:rPr>
              <w:t>⑦</w:t>
            </w:r>
            <w:r>
              <w:rPr>
                <w:rFonts w:ascii="宋体" w:hAnsi="宋体" w:cs="宋体" w:eastAsia="宋体"/>
              </w:rPr>
              <w:t>获取数据的方便性</w:t>
            </w:r>
          </w:p>
          <w:p>
            <w:pPr>
              <w:pStyle w:val="null3"/>
              <w:jc w:val="both"/>
            </w:pPr>
            <w:r>
              <w:rPr>
                <w:rFonts w:ascii="宋体" w:hAnsi="宋体" w:cs="宋体" w:eastAsia="宋体"/>
              </w:rPr>
              <w:t>要求数据在获取过程中以计算机自动化方式收集，不能因为信息化而增加过多的人为操作。同时降低人为操作，保证了数据的真实性、准确性。</w:t>
            </w:r>
          </w:p>
          <w:p>
            <w:pPr>
              <w:pStyle w:val="null3"/>
              <w:jc w:val="both"/>
            </w:pPr>
          </w:p>
        </w:tc>
      </w:tr>
      <w:tr>
        <w:tc>
          <w:tcPr>
            <w:tcW w:type="dxa" w:w="2769"/>
          </w:tcPr>
          <w:p>
            <w:pPr>
              <w:pStyle w:val="null3"/>
            </w:pPr>
            <w:r>
              <w:rPr/>
              <w:t>★</w:t>
            </w:r>
          </w:p>
        </w:tc>
        <w:tc>
          <w:tcPr>
            <w:tcW w:type="dxa" w:w="2769"/>
          </w:tcPr>
          <w:p>
            <w:pPr>
              <w:pStyle w:val="null3"/>
            </w:pPr>
            <w:r>
              <w:rPr/>
              <w:t>6</w:t>
            </w:r>
          </w:p>
        </w:tc>
        <w:tc>
          <w:tcPr>
            <w:tcW w:type="dxa" w:w="2769"/>
          </w:tcPr>
          <w:p>
            <w:pPr>
              <w:pStyle w:val="null3"/>
              <w:jc w:val="both"/>
            </w:pPr>
            <w:r>
              <w:rPr>
                <w:rFonts w:ascii="宋体" w:hAnsi="宋体" w:cs="宋体" w:eastAsia="宋体"/>
              </w:rPr>
              <w:t>（</w:t>
            </w:r>
            <w:r>
              <w:rPr>
                <w:rFonts w:ascii="calibri" w:hAnsi="calibri" w:cs="calibri" w:eastAsia="calibri"/>
              </w:rPr>
              <w:t>5</w:t>
            </w:r>
            <w:r>
              <w:rPr>
                <w:rFonts w:ascii="宋体" w:hAnsi="宋体" w:cs="宋体" w:eastAsia="宋体"/>
              </w:rPr>
              <w:t>）</w:t>
            </w:r>
            <w:r>
              <w:rPr>
                <w:rFonts w:ascii="微软雅黑" w:hAnsi="微软雅黑" w:cs="微软雅黑" w:eastAsia="微软雅黑"/>
              </w:rPr>
              <w:t>★</w:t>
            </w:r>
            <w:r>
              <w:rPr>
                <w:rFonts w:ascii="宋体" w:hAnsi="宋体" w:cs="宋体" w:eastAsia="宋体"/>
              </w:rPr>
              <w:t>其他要求</w:t>
            </w:r>
          </w:p>
          <w:p>
            <w:pPr>
              <w:pStyle w:val="null3"/>
              <w:jc w:val="both"/>
            </w:pPr>
            <w:r>
              <w:rPr>
                <w:rFonts w:ascii="宋体" w:hAnsi="宋体" w:cs="宋体" w:eastAsia="宋体"/>
                <w:sz w:val="21"/>
              </w:rPr>
              <w:t>①</w:t>
            </w:r>
            <w:r>
              <w:rPr>
                <w:rFonts w:ascii="宋体" w:hAnsi="宋体" w:cs="宋体" w:eastAsia="宋体"/>
              </w:rPr>
              <w:t>必须满足一院多区使用，两院区数据互通共享，两院区医护操作需满足同质化；</w:t>
            </w:r>
            <w:r>
              <w:rPr>
                <w:rFonts w:ascii="宋体" w:hAnsi="宋体" w:cs="宋体" w:eastAsia="宋体"/>
              </w:rPr>
              <w:t>（</w:t>
            </w:r>
            <w:r>
              <w:rPr>
                <w:rFonts w:ascii="宋体" w:hAnsi="宋体" w:cs="宋体" w:eastAsia="宋体"/>
              </w:rPr>
              <w:t>提供承诺函</w:t>
            </w:r>
            <w:r>
              <w:rPr>
                <w:rFonts w:ascii="宋体" w:hAnsi="宋体" w:cs="宋体" w:eastAsia="宋体"/>
              </w:rPr>
              <w:t>）</w:t>
            </w:r>
          </w:p>
          <w:p>
            <w:pPr>
              <w:pStyle w:val="null3"/>
              <w:jc w:val="both"/>
            </w:pPr>
            <w:r>
              <w:rPr>
                <w:rFonts w:ascii="宋体" w:hAnsi="宋体" w:cs="宋体" w:eastAsia="宋体"/>
                <w:sz w:val="21"/>
              </w:rPr>
              <w:t xml:space="preserve">② </w:t>
            </w:r>
            <w:r>
              <w:rPr>
                <w:rFonts w:ascii="宋体" w:hAnsi="宋体" w:cs="宋体" w:eastAsia="宋体"/>
              </w:rPr>
              <w:t>必须在</w:t>
            </w:r>
            <w:r>
              <w:rPr>
                <w:rFonts w:ascii="宋体" w:hAnsi="宋体" w:cs="宋体" w:eastAsia="宋体"/>
              </w:rPr>
              <w:t>无条件</w:t>
            </w:r>
            <w:r>
              <w:rPr>
                <w:rFonts w:ascii="宋体" w:hAnsi="宋体" w:cs="宋体" w:eastAsia="宋体"/>
              </w:rPr>
              <w:t>配合医院电子病历</w:t>
            </w:r>
            <w:r>
              <w:rPr>
                <w:rFonts w:ascii="calibri" w:hAnsi="calibri" w:cs="calibri" w:eastAsia="calibri"/>
              </w:rPr>
              <w:t>5</w:t>
            </w:r>
            <w:r>
              <w:rPr>
                <w:rFonts w:ascii="宋体" w:hAnsi="宋体" w:cs="宋体" w:eastAsia="宋体"/>
              </w:rPr>
              <w:t>级评审，互联互通</w:t>
            </w:r>
            <w:r>
              <w:rPr>
                <w:rFonts w:ascii="calibri" w:hAnsi="calibri" w:cs="calibri" w:eastAsia="calibri"/>
              </w:rPr>
              <w:t>5</w:t>
            </w:r>
            <w:r>
              <w:rPr>
                <w:rFonts w:ascii="宋体" w:hAnsi="宋体" w:cs="宋体" w:eastAsia="宋体"/>
              </w:rPr>
              <w:t>乙的对标建设及改造工作；必须对照以上两个国家标准建设，使项目符合电子病历</w:t>
            </w:r>
            <w:r>
              <w:rPr>
                <w:rFonts w:ascii="calibri" w:hAnsi="calibri" w:cs="calibri" w:eastAsia="calibri"/>
              </w:rPr>
              <w:t>5</w:t>
            </w:r>
            <w:r>
              <w:rPr>
                <w:rFonts w:ascii="宋体" w:hAnsi="宋体" w:cs="宋体" w:eastAsia="宋体"/>
              </w:rPr>
              <w:t>级及互联互通</w:t>
            </w:r>
            <w:r>
              <w:rPr>
                <w:rFonts w:ascii="calibri" w:hAnsi="calibri" w:cs="calibri" w:eastAsia="calibri"/>
              </w:rPr>
              <w:t>5</w:t>
            </w:r>
            <w:r>
              <w:rPr>
                <w:rFonts w:ascii="宋体" w:hAnsi="宋体" w:cs="宋体" w:eastAsia="宋体"/>
              </w:rPr>
              <w:t>乙的要求；包含不限于对接智慧服务、智慧管理、公立医院绩效考核等国家相关规范要求；</w:t>
            </w:r>
            <w:r>
              <w:rPr>
                <w:rFonts w:ascii="宋体" w:hAnsi="宋体" w:cs="宋体" w:eastAsia="宋体"/>
              </w:rPr>
              <w:t>（</w:t>
            </w:r>
            <w:r>
              <w:rPr>
                <w:rFonts w:ascii="宋体" w:hAnsi="宋体" w:cs="宋体" w:eastAsia="宋体"/>
              </w:rPr>
              <w:t>提供承诺函</w:t>
            </w:r>
            <w:r>
              <w:rPr>
                <w:rFonts w:ascii="宋体" w:hAnsi="宋体" w:cs="宋体" w:eastAsia="宋体"/>
              </w:rPr>
              <w:t>）</w:t>
            </w:r>
          </w:p>
          <w:p>
            <w:pPr>
              <w:pStyle w:val="null3"/>
              <w:jc w:val="both"/>
            </w:pPr>
            <w:r>
              <w:rPr>
                <w:rFonts w:ascii="宋体" w:hAnsi="宋体" w:cs="宋体" w:eastAsia="宋体"/>
                <w:sz w:val="21"/>
              </w:rPr>
              <w:t xml:space="preserve">③ </w:t>
            </w:r>
            <w:r>
              <w:rPr>
                <w:rFonts w:ascii="宋体" w:hAnsi="宋体" w:cs="宋体" w:eastAsia="宋体"/>
              </w:rPr>
              <w:t>必须满足医院因工作需要的现场二次开发任务；</w:t>
            </w:r>
            <w:r>
              <w:rPr>
                <w:rFonts w:ascii="宋体" w:hAnsi="宋体" w:cs="宋体" w:eastAsia="宋体"/>
              </w:rPr>
              <w:t>（</w:t>
            </w:r>
            <w:r>
              <w:rPr>
                <w:rFonts w:ascii="宋体" w:hAnsi="宋体" w:cs="宋体" w:eastAsia="宋体"/>
              </w:rPr>
              <w:t>提供承诺函</w:t>
            </w:r>
            <w:r>
              <w:rPr>
                <w:rFonts w:ascii="宋体" w:hAnsi="宋体" w:cs="宋体" w:eastAsia="宋体"/>
              </w:rPr>
              <w:t>）</w:t>
            </w:r>
          </w:p>
          <w:p>
            <w:pPr>
              <w:pStyle w:val="null3"/>
              <w:jc w:val="both"/>
            </w:pPr>
            <w:r>
              <w:rPr>
                <w:rFonts w:ascii="宋体" w:hAnsi="宋体" w:cs="宋体" w:eastAsia="宋体"/>
                <w:sz w:val="21"/>
              </w:rPr>
              <w:t>④</w:t>
            </w:r>
            <w:r>
              <w:rPr>
                <w:rFonts w:ascii="&quot;times new roman&quot;" w:hAnsi="&quot;times new roman&quot;" w:cs="&quot;times new roman&quot;" w:eastAsia="&quot;times new roman&quot;"/>
                <w:sz w:val="21"/>
              </w:rPr>
              <w:t xml:space="preserve"> </w:t>
            </w:r>
            <w:r>
              <w:rPr>
                <w:rFonts w:ascii="宋体" w:hAnsi="宋体" w:cs="宋体" w:eastAsia="宋体"/>
              </w:rPr>
              <w:t>完成本项目涉及与院内现有系统（包含不限与</w:t>
            </w:r>
            <w:r>
              <w:rPr>
                <w:rFonts w:ascii="calibri" w:hAnsi="calibri" w:cs="calibri" w:eastAsia="calibri"/>
              </w:rPr>
              <w:t>HIS</w:t>
            </w:r>
            <w:r>
              <w:rPr>
                <w:rFonts w:ascii="宋体" w:hAnsi="宋体" w:cs="宋体" w:eastAsia="宋体"/>
              </w:rPr>
              <w:t>、集成平台、</w:t>
            </w:r>
            <w:r>
              <w:rPr>
                <w:rFonts w:ascii="calibri" w:hAnsi="calibri" w:cs="calibri" w:eastAsia="calibri"/>
              </w:rPr>
              <w:t>CDR</w:t>
            </w:r>
            <w:r>
              <w:rPr>
                <w:rFonts w:ascii="宋体" w:hAnsi="宋体" w:cs="宋体" w:eastAsia="宋体"/>
              </w:rPr>
              <w:t>、</w:t>
            </w:r>
            <w:r>
              <w:rPr>
                <w:rFonts w:ascii="calibri" w:hAnsi="calibri" w:cs="calibri" w:eastAsia="calibri"/>
              </w:rPr>
              <w:t>EMR</w:t>
            </w:r>
            <w:r>
              <w:rPr>
                <w:rFonts w:ascii="宋体" w:hAnsi="宋体" w:cs="宋体" w:eastAsia="宋体"/>
              </w:rPr>
              <w:t>，</w:t>
            </w:r>
            <w:r>
              <w:rPr>
                <w:rFonts w:ascii="calibri" w:hAnsi="calibri" w:cs="calibri" w:eastAsia="calibri"/>
              </w:rPr>
              <w:t>CA</w:t>
            </w:r>
            <w:r>
              <w:rPr>
                <w:rFonts w:ascii="宋体" w:hAnsi="宋体" w:cs="宋体" w:eastAsia="宋体"/>
              </w:rPr>
              <w:t>等）的对接，且所含的所有接口费均包含在本项目之内；</w:t>
            </w:r>
            <w:r>
              <w:rPr>
                <w:rFonts w:ascii="宋体" w:hAnsi="宋体" w:cs="宋体" w:eastAsia="宋体"/>
              </w:rPr>
              <w:t>（</w:t>
            </w:r>
            <w:r>
              <w:rPr>
                <w:rFonts w:ascii="宋体" w:hAnsi="宋体" w:cs="宋体" w:eastAsia="宋体"/>
              </w:rPr>
              <w:t>提供承诺函</w:t>
            </w:r>
            <w:r>
              <w:rPr>
                <w:rFonts w:ascii="宋体" w:hAnsi="宋体" w:cs="宋体" w:eastAsia="宋体"/>
              </w:rPr>
              <w:t>）</w:t>
            </w:r>
          </w:p>
          <w:p>
            <w:pPr>
              <w:pStyle w:val="null3"/>
              <w:jc w:val="both"/>
            </w:pPr>
            <w:r>
              <w:rPr>
                <w:rFonts w:ascii="宋体" w:hAnsi="宋体" w:cs="宋体" w:eastAsia="宋体"/>
                <w:sz w:val="21"/>
              </w:rPr>
              <w:t>⑤</w:t>
            </w:r>
            <w:r>
              <w:rPr>
                <w:rFonts w:ascii="&quot;times new roman&quot;" w:hAnsi="&quot;times new roman&quot;" w:cs="&quot;times new roman&quot;" w:eastAsia="&quot;times new roman&quot;"/>
                <w:sz w:val="21"/>
              </w:rPr>
              <w:t xml:space="preserve"> </w:t>
            </w:r>
            <w:r>
              <w:rPr>
                <w:rFonts w:ascii="宋体" w:hAnsi="宋体" w:cs="宋体" w:eastAsia="宋体"/>
                <w:sz w:val="21"/>
              </w:rPr>
              <w:t>质保期内与新增设备</w:t>
            </w:r>
            <w:r>
              <w:rPr>
                <w:rFonts w:ascii="宋体" w:hAnsi="宋体" w:cs="宋体" w:eastAsia="宋体"/>
                <w:sz w:val="21"/>
              </w:rPr>
              <w:t>无条件</w:t>
            </w:r>
            <w:r>
              <w:rPr>
                <w:rFonts w:ascii="宋体" w:hAnsi="宋体" w:cs="宋体" w:eastAsia="宋体"/>
                <w:sz w:val="21"/>
              </w:rPr>
              <w:t>对接，接入数量不少于</w:t>
            </w:r>
            <w:r>
              <w:rPr>
                <w:rFonts w:ascii="times new roman, times, serif" w:hAnsi="times new roman, times, serif" w:cs="times new roman, times, serif" w:eastAsia="times new roman, times, serif"/>
                <w:sz w:val="21"/>
              </w:rPr>
              <w:t>100</w:t>
            </w:r>
            <w:r>
              <w:rPr>
                <w:rFonts w:ascii="宋体" w:hAnsi="宋体" w:cs="宋体" w:eastAsia="宋体"/>
                <w:sz w:val="21"/>
              </w:rPr>
              <w:t>台</w:t>
            </w:r>
            <w:r>
              <w:rPr>
                <w:rFonts w:ascii="宋体" w:hAnsi="宋体" w:cs="宋体" w:eastAsia="宋体"/>
                <w:sz w:val="21"/>
              </w:rPr>
              <w:t>（</w:t>
            </w:r>
            <w:r>
              <w:rPr>
                <w:rFonts w:ascii="宋体" w:hAnsi="宋体" w:cs="宋体" w:eastAsia="宋体"/>
                <w:sz w:val="21"/>
              </w:rPr>
              <w:t>提供承诺函</w:t>
            </w:r>
            <w:r>
              <w:rPr>
                <w:rFonts w:ascii="宋体" w:hAnsi="宋体" w:cs="宋体" w:eastAsia="宋体"/>
                <w:sz w:val="21"/>
              </w:rPr>
              <w:t>）</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rPr>
              <w:t>（</w:t>
            </w:r>
            <w:r>
              <w:rPr>
                <w:rFonts w:ascii="calibri" w:hAnsi="calibri" w:cs="calibri" w:eastAsia="calibri"/>
              </w:rPr>
              <w:t>6</w:t>
            </w:r>
            <w:r>
              <w:rPr>
                <w:rFonts w:ascii="宋体" w:hAnsi="宋体" w:cs="宋体" w:eastAsia="宋体"/>
              </w:rPr>
              <w:t>）建设原则</w:t>
            </w:r>
            <w:r>
              <w:rPr>
                <w:rFonts w:ascii="宋体" w:hAnsi="宋体" w:cs="宋体" w:eastAsia="宋体"/>
              </w:rPr>
              <w:t>（如：先进性、标准化、易用性、安全性、开放性、扩展性等）</w:t>
            </w:r>
          </w:p>
          <w:p>
            <w:pPr>
              <w:pStyle w:val="null3"/>
              <w:jc w:val="both"/>
            </w:pPr>
            <w:r>
              <w:rPr>
                <w:rFonts w:ascii="宋体" w:hAnsi="宋体" w:cs="宋体" w:eastAsia="宋体"/>
                <w:sz w:val="21"/>
              </w:rPr>
              <w:t>①</w:t>
            </w:r>
            <w:r>
              <w:rPr>
                <w:rFonts w:ascii="宋体" w:hAnsi="宋体" w:cs="宋体" w:eastAsia="宋体"/>
              </w:rPr>
              <w:t>实用性</w:t>
            </w:r>
          </w:p>
          <w:p>
            <w:pPr>
              <w:pStyle w:val="null3"/>
              <w:ind w:firstLine="400"/>
              <w:jc w:val="both"/>
            </w:pPr>
            <w:r>
              <w:rPr>
                <w:rFonts w:ascii="宋体" w:hAnsi="宋体" w:cs="宋体" w:eastAsia="宋体"/>
              </w:rPr>
              <w:t>业务设计符合实际业务使用需求，流程在实际流程基础上进行优化，同时注重信息化工具的应用进行简化。</w:t>
            </w:r>
          </w:p>
          <w:p>
            <w:pPr>
              <w:pStyle w:val="null3"/>
              <w:jc w:val="both"/>
            </w:pPr>
            <w:r>
              <w:rPr>
                <w:rFonts w:ascii="宋体" w:hAnsi="宋体" w:cs="宋体" w:eastAsia="宋体"/>
                <w:sz w:val="21"/>
              </w:rPr>
              <w:t xml:space="preserve">② </w:t>
            </w:r>
            <w:r>
              <w:rPr>
                <w:rFonts w:ascii="宋体" w:hAnsi="宋体" w:cs="宋体" w:eastAsia="宋体"/>
              </w:rPr>
              <w:t>可靠性</w:t>
            </w:r>
          </w:p>
          <w:p>
            <w:pPr>
              <w:pStyle w:val="null3"/>
              <w:ind w:firstLine="400"/>
              <w:jc w:val="both"/>
            </w:pPr>
            <w:r>
              <w:rPr>
                <w:rFonts w:ascii="宋体" w:hAnsi="宋体" w:cs="宋体" w:eastAsia="宋体"/>
              </w:rPr>
              <w:t>系统部署，应急措施，实际环境限制等诸多方面考虑系统稳定运行，在硬件底层使用上采用冗余技术，充分考虑到大数据，足够并发数量的使用场景。</w:t>
            </w:r>
          </w:p>
          <w:p>
            <w:pPr>
              <w:pStyle w:val="null3"/>
              <w:jc w:val="both"/>
            </w:pPr>
            <w:r>
              <w:rPr>
                <w:rFonts w:ascii="宋体" w:hAnsi="宋体" w:cs="宋体" w:eastAsia="宋体"/>
                <w:sz w:val="21"/>
              </w:rPr>
              <w:t xml:space="preserve">③ </w:t>
            </w:r>
            <w:r>
              <w:rPr>
                <w:rFonts w:ascii="宋体" w:hAnsi="宋体" w:cs="宋体" w:eastAsia="宋体"/>
              </w:rPr>
              <w:t>可持续性</w:t>
            </w:r>
          </w:p>
          <w:p>
            <w:pPr>
              <w:pStyle w:val="null3"/>
              <w:ind w:firstLine="400"/>
              <w:jc w:val="both"/>
            </w:pPr>
            <w:r>
              <w:rPr>
                <w:rFonts w:ascii="宋体" w:hAnsi="宋体" w:cs="宋体" w:eastAsia="宋体"/>
              </w:rPr>
              <w:t>技术构架应采用可扩展的方案，有效地支持业务的不断发展扩充，相关业务设计要考虑各种数据管理应用的可持续性，以保障业务开展的持续性。</w:t>
            </w:r>
          </w:p>
          <w:p>
            <w:pPr>
              <w:pStyle w:val="null3"/>
              <w:jc w:val="both"/>
            </w:pPr>
            <w:r>
              <w:rPr>
                <w:rFonts w:ascii="宋体" w:hAnsi="宋体" w:cs="宋体" w:eastAsia="宋体"/>
                <w:sz w:val="21"/>
              </w:rPr>
              <w:t>④</w:t>
            </w:r>
            <w:r>
              <w:rPr>
                <w:rFonts w:ascii="&quot;times new roman&quot;" w:hAnsi="&quot;times new roman&quot;" w:cs="&quot;times new roman&quot;" w:eastAsia="&quot;times new roman&quot;"/>
                <w:sz w:val="21"/>
              </w:rPr>
              <w:t xml:space="preserve"> </w:t>
            </w:r>
            <w:r>
              <w:rPr>
                <w:rFonts w:ascii="宋体" w:hAnsi="宋体" w:cs="宋体" w:eastAsia="宋体"/>
              </w:rPr>
              <w:t>便捷性</w:t>
            </w:r>
          </w:p>
          <w:p>
            <w:pPr>
              <w:pStyle w:val="null3"/>
              <w:ind w:firstLine="400"/>
              <w:jc w:val="both"/>
            </w:pPr>
            <w:r>
              <w:rPr>
                <w:rFonts w:ascii="宋体" w:hAnsi="宋体" w:cs="宋体" w:eastAsia="宋体"/>
              </w:rPr>
              <w:t>在业务内部使用，公众使用应采用友好界面，消息推送，功能转向连接、移动端便捷操作等多种便捷性的方式进行使用。</w:t>
            </w:r>
          </w:p>
          <w:p>
            <w:pPr>
              <w:pStyle w:val="null3"/>
              <w:jc w:val="both"/>
            </w:pPr>
            <w:r>
              <w:rPr>
                <w:rFonts w:ascii="宋体" w:hAnsi="宋体" w:cs="宋体" w:eastAsia="宋体"/>
                <w:sz w:val="21"/>
              </w:rPr>
              <w:t>⑤</w:t>
            </w:r>
            <w:r>
              <w:rPr>
                <w:rFonts w:ascii="宋体" w:hAnsi="宋体" w:cs="宋体" w:eastAsia="宋体"/>
              </w:rPr>
              <w:t>专业性</w:t>
            </w:r>
          </w:p>
          <w:p>
            <w:pPr>
              <w:pStyle w:val="null3"/>
              <w:ind w:firstLine="400"/>
              <w:jc w:val="both"/>
            </w:pPr>
            <w:r>
              <w:rPr>
                <w:rFonts w:ascii="宋体" w:hAnsi="宋体" w:cs="宋体" w:eastAsia="宋体"/>
              </w:rPr>
              <w:t>突出眼科专科医疗健康的专业性，在屈光档案、眼健康档案数据项目以及数据应用应具备眼科专科特色，并在知识库建立应采用眼科专业权威知识库。</w:t>
            </w:r>
          </w:p>
          <w:p>
            <w:pPr>
              <w:pStyle w:val="null3"/>
              <w:jc w:val="both"/>
            </w:pPr>
            <w:r>
              <w:rPr>
                <w:rFonts w:ascii="times new roman, times, serif" w:hAnsi="times new roman, times, serif" w:cs="times new roman, times, serif" w:eastAsia="times new roman, times, serif"/>
                <w:sz w:val="21"/>
              </w:rPr>
              <w:t>⑥</w:t>
            </w:r>
            <w:r>
              <w:rPr>
                <w:rFonts w:ascii="宋体" w:hAnsi="宋体" w:cs="宋体" w:eastAsia="宋体"/>
              </w:rPr>
              <w:t>标准化</w:t>
            </w:r>
          </w:p>
          <w:p>
            <w:pPr>
              <w:pStyle w:val="null3"/>
              <w:ind w:firstLine="400"/>
              <w:jc w:val="both"/>
            </w:pPr>
            <w:r>
              <w:rPr>
                <w:rFonts w:ascii="宋体" w:hAnsi="宋体" w:cs="宋体" w:eastAsia="宋体"/>
              </w:rPr>
              <w:t>在眼科数值、影像、报告应遵照国家相关标准、规范或者国际标准、规范进行建设，提供非标准化数据规范为标准化数据的解决方案。</w:t>
            </w:r>
          </w:p>
          <w:p>
            <w:pPr>
              <w:pStyle w:val="null3"/>
              <w:jc w:val="both"/>
            </w:pPr>
            <w:r>
              <w:rPr>
                <w:rFonts w:ascii="times new roman, times, serif" w:hAnsi="times new roman, times, serif" w:cs="times new roman, times, serif" w:eastAsia="times new roman, times, serif"/>
                <w:sz w:val="21"/>
              </w:rPr>
              <w:t>⑦</w:t>
            </w:r>
            <w:r>
              <w:rPr>
                <w:rFonts w:ascii="宋体" w:hAnsi="宋体" w:cs="宋体" w:eastAsia="宋体"/>
              </w:rPr>
              <w:t>开放性</w:t>
            </w:r>
          </w:p>
          <w:p>
            <w:pPr>
              <w:pStyle w:val="null3"/>
              <w:ind w:firstLine="400"/>
              <w:jc w:val="both"/>
            </w:pPr>
            <w:r>
              <w:rPr>
                <w:rFonts w:ascii="宋体" w:hAnsi="宋体" w:cs="宋体" w:eastAsia="宋体"/>
              </w:rPr>
              <w:t>整个平台提供开发接口，提供第三方在限定权限内进行数据应用开发，发挥平台数据的优势，为更大范围内的数据应用提供开放能力。</w:t>
            </w:r>
          </w:p>
          <w:p>
            <w:pPr>
              <w:pStyle w:val="null3"/>
              <w:jc w:val="both"/>
            </w:pPr>
            <w:r>
              <w:rPr>
                <w:rFonts w:ascii="times new roman, times, serif" w:hAnsi="times new roman, times, serif" w:cs="times new roman, times, serif" w:eastAsia="times new roman, times, serif"/>
                <w:sz w:val="21"/>
              </w:rPr>
              <w:t>⑧</w:t>
            </w:r>
            <w:r>
              <w:rPr>
                <w:rFonts w:ascii="宋体" w:hAnsi="宋体" w:cs="宋体" w:eastAsia="宋体"/>
              </w:rPr>
              <w:t>安全性</w:t>
            </w:r>
          </w:p>
          <w:p>
            <w:pPr>
              <w:pStyle w:val="null3"/>
              <w:jc w:val="both"/>
            </w:pPr>
            <w:r>
              <w:rPr>
                <w:rFonts w:ascii="宋体" w:hAnsi="宋体" w:cs="宋体" w:eastAsia="宋体"/>
                <w:sz w:val="21"/>
              </w:rPr>
              <w:t>在平台建设要充分考虑信息安全、网络安全、用户权限验证、提升平台防范攻击能力，防止数据窃取。同时考虑数据备份，充分保障数据安全。</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rPr>
              <w:t>三、技术要求</w:t>
            </w:r>
          </w:p>
          <w:p>
            <w:pPr>
              <w:pStyle w:val="null3"/>
              <w:ind w:firstLine="200"/>
              <w:jc w:val="both"/>
            </w:pPr>
            <w:r>
              <w:rPr>
                <w:rFonts w:ascii="宋体" w:hAnsi="宋体" w:cs="宋体" w:eastAsia="宋体"/>
                <w:sz w:val="20"/>
              </w:rPr>
              <w:t>1、详细参数内容</w:t>
            </w:r>
          </w:p>
          <w:tbl>
            <w:tblPr>
              <w:tblBorders>
                <w:top w:val="none" w:color="000000" w:sz="4"/>
                <w:left w:val="none" w:color="000000" w:sz="4"/>
                <w:bottom w:val="none" w:color="000000" w:sz="4"/>
                <w:right w:val="none" w:color="000000" w:sz="4"/>
                <w:insideH w:val="none"/>
                <w:insideV w:val="none"/>
              </w:tblBorders>
            </w:tblPr>
            <w:tblGrid>
              <w:gridCol w:w="429"/>
              <w:gridCol w:w="536"/>
              <w:gridCol w:w="1577"/>
            </w:tblGrid>
            <w:tr>
              <w:tc>
                <w:tcPr>
                  <w:tcW w:type="dxa" w:w="429"/>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宋体" w:hAnsi="宋体" w:cs="宋体" w:eastAsia="宋体"/>
                      <w:b/>
                      <w:sz w:val="20"/>
                    </w:rPr>
                    <w:t>模块</w:t>
                  </w:r>
                </w:p>
              </w:tc>
              <w:tc>
                <w:tcPr>
                  <w:tcW w:type="dxa" w:w="53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宋体" w:hAnsi="宋体" w:cs="宋体" w:eastAsia="宋体"/>
                      <w:b/>
                      <w:sz w:val="20"/>
                    </w:rPr>
                    <w:t>功能大类</w:t>
                  </w:r>
                </w:p>
              </w:tc>
              <w:tc>
                <w:tcPr>
                  <w:tcW w:type="dxa" w:w="1577"/>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宋体" w:hAnsi="宋体" w:cs="宋体" w:eastAsia="宋体"/>
                      <w:b/>
                      <w:sz w:val="20"/>
                    </w:rPr>
                    <w:t>功能描述</w:t>
                  </w: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1、系统应用平台软件</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数据库服务</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0"/>
                    </w:rPr>
                    <w:t>要求支持大型关系数据库；</w:t>
                  </w:r>
                  <w:r>
                    <w:rPr>
                      <w:rFonts w:ascii="宋体" w:hAnsi="宋体" w:cs="宋体" w:eastAsia="宋体"/>
                      <w:b/>
                      <w:sz w:val="20"/>
                    </w:rPr>
                    <w:t>▲</w:t>
                  </w:r>
                </w:p>
              </w:tc>
            </w:tr>
            <w:tr>
              <w:tc>
                <w:tcPr>
                  <w:tcW w:type="dxa" w:w="429"/>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内部通讯</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0"/>
                    </w:rPr>
                    <w:t>要求支持</w:t>
                  </w:r>
                  <w:r>
                    <w:rPr>
                      <w:rFonts w:ascii="宋体" w:hAnsi="宋体" w:cs="宋体" w:eastAsia="宋体"/>
                      <w:b/>
                      <w:sz w:val="20"/>
                    </w:rPr>
                    <w:t>WEB Service</w:t>
                  </w:r>
                  <w:r>
                    <w:rPr>
                      <w:rFonts w:ascii="宋体" w:hAnsi="宋体" w:cs="宋体" w:eastAsia="宋体"/>
                      <w:b/>
                      <w:sz w:val="20"/>
                    </w:rPr>
                    <w:t>、</w:t>
                  </w:r>
                  <w:r>
                    <w:rPr>
                      <w:rFonts w:ascii="宋体" w:hAnsi="宋体" w:cs="宋体" w:eastAsia="宋体"/>
                      <w:b/>
                      <w:sz w:val="20"/>
                    </w:rPr>
                    <w:t xml:space="preserve"> </w:t>
                  </w:r>
                  <w:r>
                    <w:rPr>
                      <w:rFonts w:ascii="宋体" w:hAnsi="宋体" w:cs="宋体" w:eastAsia="宋体"/>
                      <w:b/>
                      <w:sz w:val="20"/>
                    </w:rPr>
                    <w:t>HTTP通讯构架,客户端不直接连接数据库，由服务端连接数据库；▲</w:t>
                  </w:r>
                </w:p>
              </w:tc>
            </w:tr>
            <w:tr>
              <w:tc>
                <w:tcPr>
                  <w:tcW w:type="dxa" w:w="429"/>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报告自动识别关联服务</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0"/>
                    </w:rPr>
                    <w:t>后台自动进行识别文件并于数据库检查信息自动关联匹配，无需获取报告后通过人工查询检查信息才能进行关联；</w:t>
                  </w:r>
                  <w:r>
                    <w:rPr>
                      <w:rFonts w:ascii="宋体" w:hAnsi="宋体" w:cs="宋体" w:eastAsia="宋体"/>
                      <w:b/>
                      <w:sz w:val="20"/>
                    </w:rPr>
                    <w:t>▲</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要求根据不同眼科类型设备建立关联匹配规则；</w:t>
                  </w:r>
                </w:p>
                <w:p>
                  <w:pPr>
                    <w:pStyle w:val="null3"/>
                    <w:jc w:val="left"/>
                  </w:pPr>
                  <w:r>
                    <w:rPr>
                      <w:rFonts w:ascii="宋体" w:hAnsi="宋体" w:cs="宋体" w:eastAsia="宋体"/>
                      <w:sz w:val="20"/>
                    </w:rPr>
                    <w:t>要求自动关联含有状态记录，自动将检查信息标识为</w:t>
                  </w:r>
                  <w:r>
                    <w:rPr>
                      <w:rFonts w:ascii="宋体" w:hAnsi="宋体" w:cs="宋体" w:eastAsia="宋体"/>
                      <w:sz w:val="20"/>
                    </w:rPr>
                    <w:t>“完成检查”；</w:t>
                  </w:r>
                </w:p>
              </w:tc>
            </w:tr>
            <w:tr>
              <w:tc>
                <w:tcPr>
                  <w:tcW w:type="dxa" w:w="429"/>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影像文件存储模块</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w:t>
                  </w:r>
                  <w:r>
                    <w:rPr>
                      <w:rFonts w:ascii="宋体" w:hAnsi="宋体" w:cs="宋体" w:eastAsia="宋体"/>
                      <w:sz w:val="20"/>
                    </w:rPr>
                    <w:t>DICOM、HTTP、FTP传输协议进行接收文件；</w:t>
                  </w:r>
                </w:p>
                <w:p>
                  <w:pPr>
                    <w:pStyle w:val="null3"/>
                    <w:jc w:val="left"/>
                  </w:pPr>
                  <w:r>
                    <w:rPr>
                      <w:rFonts w:ascii="宋体" w:hAnsi="宋体" w:cs="宋体" w:eastAsia="宋体"/>
                      <w:sz w:val="20"/>
                    </w:rPr>
                    <w:t>要求文件接收后校验是否完整正确；</w:t>
                  </w:r>
                </w:p>
                <w:p>
                  <w:pPr>
                    <w:pStyle w:val="null3"/>
                    <w:jc w:val="left"/>
                  </w:pPr>
                  <w:r>
                    <w:rPr>
                      <w:rFonts w:ascii="宋体" w:hAnsi="宋体" w:cs="宋体" w:eastAsia="宋体"/>
                      <w:sz w:val="20"/>
                    </w:rPr>
                    <w:t>要求按照设备、日期进行存放文件以便文件查找；</w:t>
                  </w:r>
                </w:p>
                <w:p>
                  <w:pPr>
                    <w:pStyle w:val="null3"/>
                    <w:jc w:val="left"/>
                  </w:pPr>
                  <w:r>
                    <w:rPr>
                      <w:rFonts w:ascii="宋体" w:hAnsi="宋体" w:cs="宋体" w:eastAsia="宋体"/>
                      <w:sz w:val="20"/>
                    </w:rPr>
                    <w:t>要求存储路径的增加改变，且不影响原有文件的下载；</w:t>
                  </w:r>
                </w:p>
                <w:p>
                  <w:pPr>
                    <w:pStyle w:val="null3"/>
                    <w:jc w:val="left"/>
                  </w:pPr>
                  <w:r>
                    <w:rPr>
                      <w:rFonts w:ascii="宋体" w:hAnsi="宋体" w:cs="宋体" w:eastAsia="宋体"/>
                      <w:sz w:val="20"/>
                    </w:rPr>
                    <w:t>要求对接收文件进行建立数据库索引；</w:t>
                  </w:r>
                </w:p>
              </w:tc>
            </w:tr>
            <w:tr>
              <w:tc>
                <w:tcPr>
                  <w:tcW w:type="dxa" w:w="429"/>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接口服务</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支持从</w:t>
                  </w:r>
                  <w:r>
                    <w:rPr>
                      <w:rFonts w:ascii="宋体" w:hAnsi="宋体" w:cs="宋体" w:eastAsia="宋体"/>
                      <w:sz w:val="20"/>
                    </w:rPr>
                    <w:t>HIS\EMR\集成平台中获取病人基本信息、检查申请信息；</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支持以</w:t>
                  </w:r>
                  <w:r>
                    <w:rPr>
                      <w:rFonts w:ascii="宋体" w:hAnsi="宋体" w:cs="宋体" w:eastAsia="宋体"/>
                      <w:sz w:val="20"/>
                    </w:rPr>
                    <w:t>URL方式提供WEB页面调用给HIS\EMR\集成平台调用展现眼科检查结果；</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支持数据库对数据库方式；</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支持中间件程序方式；</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w:t>
                  </w:r>
                  <w:r>
                    <w:rPr>
                      <w:rFonts w:ascii="宋体" w:hAnsi="宋体" w:cs="宋体" w:eastAsia="宋体"/>
                      <w:sz w:val="20"/>
                    </w:rPr>
                    <w:t>WEB SERVICE</w:t>
                  </w:r>
                  <w:r>
                    <w:rPr>
                      <w:rFonts w:ascii="宋体" w:hAnsi="宋体" w:cs="宋体" w:eastAsia="宋体"/>
                      <w:sz w:val="20"/>
                    </w:rPr>
                    <w:t>、</w:t>
                  </w:r>
                  <w:r>
                    <w:rPr>
                      <w:rFonts w:ascii="宋体" w:hAnsi="宋体" w:cs="宋体" w:eastAsia="宋体"/>
                      <w:sz w:val="20"/>
                    </w:rPr>
                    <w:t>HTTP等</w:t>
                  </w:r>
                  <w:r>
                    <w:rPr>
                      <w:rFonts w:ascii="宋体" w:hAnsi="宋体" w:cs="宋体" w:eastAsia="宋体"/>
                      <w:sz w:val="20"/>
                    </w:rPr>
                    <w:t>方式。</w:t>
                  </w: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2、文件传输与解析服务模块</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DICOM接收</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要求支持多个设备同时并行接收图像能力；</w:t>
                  </w:r>
                </w:p>
              </w:tc>
            </w:tr>
            <w:tr>
              <w:tc>
                <w:tcPr>
                  <w:tcW w:type="dxa" w:w="429"/>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0"/>
                    </w:rPr>
                    <w:t>文件识别</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要求支持从</w:t>
                  </w:r>
                  <w:r>
                    <w:rPr>
                      <w:rFonts w:ascii="宋体" w:hAnsi="宋体" w:cs="宋体" w:eastAsia="宋体"/>
                      <w:sz w:val="20"/>
                    </w:rPr>
                    <w:t>DICOM文件中获取病人信息；</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w:t>
                  </w:r>
                  <w:r>
                    <w:rPr>
                      <w:rFonts w:ascii="宋体" w:hAnsi="宋体" w:cs="宋体" w:eastAsia="宋体"/>
                      <w:sz w:val="20"/>
                    </w:rPr>
                    <w:t>OCT、眼底照相、眼前节照相、眼底造影等眼科设备DICOM文件与非DICOM原始图像的识别解析，并获取图文信息进行转换显示；</w:t>
                  </w:r>
                </w:p>
              </w:tc>
            </w:tr>
            <w:tr>
              <w:tc>
                <w:tcPr>
                  <w:tcW w:type="dxa" w:w="429"/>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b/>
                      <w:sz w:val="20"/>
                    </w:rPr>
                    <w:t>文件索引建立</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要求接收图像建立病人</w:t>
                  </w:r>
                  <w:r>
                    <w:rPr>
                      <w:rFonts w:ascii="宋体" w:hAnsi="宋体" w:cs="宋体" w:eastAsia="宋体"/>
                      <w:sz w:val="20"/>
                    </w:rPr>
                    <w:t>/检查/序列/图像四层结构信息。</w:t>
                  </w: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3、报告转换统一格式服务模块</w:t>
                  </w: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转换配置</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要求可以配置转换方案，建立原始报告样式的匹配规则，设置转换后所需新的报告布局；</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支持设置对于转换后新布局中涉及到的各个新增数据项绑定数据库中患者基本信息及检查申请单数据；</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支持电子签名图插入报告；</w:t>
                  </w:r>
                </w:p>
              </w:tc>
            </w:tr>
            <w:tr>
              <w:tc>
                <w:tcPr>
                  <w:tcW w:type="dxa" w:w="429"/>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转换执行</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w:t>
                  </w:r>
                  <w:r>
                    <w:rPr>
                      <w:rFonts w:ascii="宋体" w:hAnsi="宋体" w:cs="宋体" w:eastAsia="宋体"/>
                      <w:sz w:val="20"/>
                    </w:rPr>
                    <w:t>对识别结果进行记录，以便备查处理；</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w:t>
                  </w:r>
                  <w:r>
                    <w:rPr>
                      <w:rFonts w:ascii="宋体" w:hAnsi="宋体" w:cs="宋体" w:eastAsia="宋体"/>
                      <w:sz w:val="20"/>
                    </w:rPr>
                    <w:t>根据匹配的转换方案，后台自动对原有报告进行转换，包括医院</w:t>
                  </w:r>
                  <w:r>
                    <w:rPr>
                      <w:rFonts w:ascii="宋体" w:hAnsi="宋体" w:cs="宋体" w:eastAsia="宋体"/>
                      <w:sz w:val="20"/>
                    </w:rPr>
                    <w:t>LOGO，医院名称，病人信息</w:t>
                  </w:r>
                  <w:r>
                    <w:rPr>
                      <w:rFonts w:ascii="宋体" w:hAnsi="宋体" w:cs="宋体" w:eastAsia="宋体"/>
                      <w:sz w:val="20"/>
                    </w:rPr>
                    <w:t>（</w:t>
                  </w:r>
                  <w:r>
                    <w:rPr>
                      <w:rFonts w:ascii="宋体" w:hAnsi="宋体" w:cs="宋体" w:eastAsia="宋体"/>
                      <w:sz w:val="20"/>
                    </w:rPr>
                    <w:t>含汉字</w:t>
                  </w:r>
                  <w:r>
                    <w:rPr>
                      <w:rFonts w:ascii="宋体" w:hAnsi="宋体" w:cs="宋体" w:eastAsia="宋体"/>
                      <w:sz w:val="20"/>
                    </w:rPr>
                    <w:t>）</w:t>
                  </w:r>
                  <w:r>
                    <w:rPr>
                      <w:rFonts w:ascii="宋体" w:hAnsi="宋体" w:cs="宋体" w:eastAsia="宋体"/>
                      <w:sz w:val="20"/>
                    </w:rPr>
                    <w:t>，临床信息，报告内容，报告时间，报告医生，提示信息，科室联系方式等；</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w:t>
                  </w:r>
                  <w:r>
                    <w:rPr>
                      <w:rFonts w:ascii="宋体" w:hAnsi="宋体" w:cs="宋体" w:eastAsia="宋体"/>
                      <w:sz w:val="20"/>
                    </w:rPr>
                    <w:t>将转换结果进行新增文件保存，原有报告保存不变。</w:t>
                  </w: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4、眼科电子数据采集模块</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数据识别</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支持对收集上传的数据，进行识别，含有数据类型识别、患者信息识别、数据元素识别、数据数值识别等一系列的识别，为各种数据解析提取功能做预处理。</w:t>
                  </w:r>
                </w:p>
              </w:tc>
            </w:tr>
            <w:tr>
              <w:tc>
                <w:tcPr>
                  <w:tcW w:type="dxa" w:w="429"/>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数据解析提取</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支持自动提取设备中的存放检查结果参数值，为后续数据引用和数据挖掘提供数据检索、统计分析等使用。</w:t>
                  </w: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5、检查登记模块</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自动登记</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要求根据接口服务提供的数据进行自动登记患者基本信息及检查申请单信息；</w:t>
                  </w:r>
                </w:p>
              </w:tc>
            </w:tr>
            <w:tr>
              <w:tc>
                <w:tcPr>
                  <w:tcW w:type="dxa" w:w="429"/>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手动登记</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要求手动登记患者基本信息及检查申请单信息；</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要求支持检查项目和检查项目套餐的选择；</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w:t>
                  </w:r>
                  <w:r>
                    <w:rPr>
                      <w:rFonts w:ascii="宋体" w:hAnsi="宋体" w:cs="宋体" w:eastAsia="宋体"/>
                      <w:sz w:val="20"/>
                    </w:rPr>
                    <w:t>支持在检查指引单上打印条码，以方便扫描识别。</w:t>
                  </w:r>
                </w:p>
              </w:tc>
            </w:tr>
          </w:tbl>
          <w:p/>
        </w:tc>
      </w:tr>
      <w:tr>
        <w:tc>
          <w:tcPr>
            <w:tcW w:type="dxa" w:w="2769"/>
          </w:tcPr>
          <w:p/>
        </w:tc>
        <w:tc>
          <w:tcPr>
            <w:tcW w:type="dxa" w:w="2769"/>
          </w:tcPr>
          <w:p>
            <w:pPr>
              <w:pStyle w:val="null3"/>
            </w:pPr>
            <w:r>
              <w:rPr/>
              <w:t>9</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429"/>
              <w:gridCol w:w="536"/>
              <w:gridCol w:w="1577"/>
            </w:tblGrid>
            <w:tr>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6、分诊叫号模块</w:t>
                  </w:r>
                </w:p>
              </w:tc>
              <w:tc>
                <w:tcPr>
                  <w:tcW w:type="dxa" w:w="5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分诊叫号</w:t>
                  </w:r>
                </w:p>
              </w:tc>
              <w:tc>
                <w:tcPr>
                  <w:tcW w:type="dxa" w:w="1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要求支持眼科已报到患者按照检查房间或者检查项目进行队列化；</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singl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要求支持医师在工作站上顺序呼叫、选择呼叫患者进入检查室；</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singl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要求支持眼科患者进行多个检查时自动锁定、解锁叫号；</w:t>
                  </w:r>
                </w:p>
              </w:tc>
            </w:tr>
            <w:tr>
              <w:tc>
                <w:tcPr>
                  <w:tcW w:type="dxa" w:w="429"/>
                  <w:vMerge/>
                  <w:tcBorders>
                    <w:top w:val="singl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大屏显示</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要求支持以显著方式显示呼叫的当前患者；</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要求支持显示已呼叫的患者；</w:t>
                  </w:r>
                </w:p>
              </w:tc>
            </w:tr>
            <w:tr>
              <w:tc>
                <w:tcPr>
                  <w:tcW w:type="dxa" w:w="429"/>
                  <w:vMerge/>
                  <w:tcBorders>
                    <w:top w:val="singl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语音播放</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要求将呼叫患者的信息语音播放出。</w:t>
                  </w: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7、眼科检查设备连接模块</w:t>
                  </w: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查询定位</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w:t>
                  </w:r>
                  <w:r>
                    <w:rPr>
                      <w:rFonts w:ascii="宋体" w:hAnsi="宋体" w:cs="宋体" w:eastAsia="宋体"/>
                      <w:sz w:val="20"/>
                    </w:rPr>
                    <w:t>支持根据病人</w:t>
                  </w:r>
                  <w:r>
                    <w:rPr>
                      <w:rFonts w:ascii="宋体" w:hAnsi="宋体" w:cs="宋体" w:eastAsia="宋体"/>
                      <w:sz w:val="20"/>
                    </w:rPr>
                    <w:t>ID,病人姓名，门诊号，住院号，检查项目等条件进行查询获取查询结果；</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w:t>
                  </w:r>
                  <w:r>
                    <w:rPr>
                      <w:rFonts w:ascii="宋体" w:hAnsi="宋体" w:cs="宋体" w:eastAsia="宋体"/>
                      <w:sz w:val="20"/>
                    </w:rPr>
                    <w:t>支持条形码、刷卡、</w:t>
                  </w:r>
                  <w:r>
                    <w:rPr>
                      <w:rFonts w:ascii="宋体" w:hAnsi="宋体" w:cs="宋体" w:eastAsia="宋体"/>
                      <w:sz w:val="20"/>
                    </w:rPr>
                    <w:t>RFID、身份证数据的获取进行检索查询；</w:t>
                  </w:r>
                </w:p>
              </w:tc>
            </w:tr>
            <w:tr>
              <w:tc>
                <w:tcPr>
                  <w:tcW w:type="dxa" w:w="429"/>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结果列表</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支持查询结果以列表形式显示；</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支持检查状态显示；</w:t>
                  </w:r>
                </w:p>
              </w:tc>
            </w:tr>
            <w:tr>
              <w:tc>
                <w:tcPr>
                  <w:tcW w:type="dxa" w:w="429"/>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数据传入设备</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要求所有眼科检查设备工作站软件原有的工作方式不变，不进行替换原有存在的设备工作站软件包含眼前节照相、眼底照相、</w:t>
                  </w:r>
                  <w:r>
                    <w:rPr>
                      <w:rFonts w:ascii="宋体" w:hAnsi="宋体" w:cs="宋体" w:eastAsia="宋体"/>
                      <w:sz w:val="20"/>
                    </w:rPr>
                    <w:t>UBM检查等设备，即保持原有工作操作方式不变；</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要求选择检查记录即可自动将检查登记数据传送给设备，无需人工在设备工作站软件上手工录入登记病人信息；</w:t>
                  </w:r>
                </w:p>
              </w:tc>
            </w:tr>
            <w:tr>
              <w:tc>
                <w:tcPr>
                  <w:tcW w:type="dxa" w:w="429"/>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图像自动获取</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要求支持影像后台自动获取文件；</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color w:val="000000"/>
                      <w:sz w:val="20"/>
                    </w:rPr>
                    <w:t>要求支持设备原始图像文件获取，不得采用屏幕截屏方式作为保存浏览使用图像的获取方式；</w:t>
                  </w:r>
                  <w:r>
                    <w:rPr>
                      <w:rFonts w:ascii="宋体" w:hAnsi="宋体" w:cs="宋体" w:eastAsia="宋体"/>
                      <w:b/>
                      <w:color w:val="000000"/>
                      <w:sz w:val="20"/>
                    </w:rPr>
                    <w:t>▲</w:t>
                  </w:r>
                </w:p>
              </w:tc>
            </w:tr>
            <w:tr>
              <w:tc>
                <w:tcPr>
                  <w:tcW w:type="dxa" w:w="429"/>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报告自动获取</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要求设备输出的报告内容自动获取，无需人工干预操作；</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支持获取</w:t>
                  </w:r>
                  <w:r>
                    <w:rPr>
                      <w:rFonts w:ascii="宋体" w:hAnsi="宋体" w:cs="宋体" w:eastAsia="宋体"/>
                      <w:sz w:val="20"/>
                    </w:rPr>
                    <w:t>PDF、DICOM格式报告文件；</w:t>
                  </w:r>
                </w:p>
              </w:tc>
            </w:tr>
            <w:tr>
              <w:tc>
                <w:tcPr>
                  <w:tcW w:type="dxa" w:w="429"/>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自动上传</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要求支持影像报告自动上传，无需人工干预选择关联操作；</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支持上传进行是否到达服务器的自动判断确认。</w:t>
                  </w: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8、检查影像格式转换与处理模块</w:t>
                  </w: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影像格式转换</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支持不同品牌</w:t>
                  </w:r>
                  <w:r>
                    <w:rPr>
                      <w:rFonts w:ascii="宋体" w:hAnsi="宋体" w:cs="宋体" w:eastAsia="宋体"/>
                      <w:sz w:val="20"/>
                    </w:rPr>
                    <w:t>OCT的原始影像获取；</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支持图像灰度</w:t>
                  </w:r>
                  <w:r>
                    <w:rPr>
                      <w:rFonts w:ascii="宋体" w:hAnsi="宋体" w:cs="宋体" w:eastAsia="宋体"/>
                      <w:sz w:val="20"/>
                    </w:rPr>
                    <w:t>DICOM格式的转换生成；</w:t>
                  </w:r>
                </w:p>
              </w:tc>
            </w:tr>
            <w:tr>
              <w:tc>
                <w:tcPr>
                  <w:tcW w:type="dxa" w:w="429"/>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影像处理</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支持图像的</w:t>
                  </w:r>
                  <w:r>
                    <w:rPr>
                      <w:rFonts w:ascii="宋体" w:hAnsi="宋体" w:cs="宋体" w:eastAsia="宋体"/>
                      <w:sz w:val="20"/>
                    </w:rPr>
                    <w:t>8位、16位灰度处理；</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支持灰度图像的大小、旋转的指定；</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支持灰度图像指定窗值。</w:t>
                  </w:r>
                </w:p>
              </w:tc>
            </w:tr>
          </w:tbl>
          <w:p/>
        </w:tc>
      </w:tr>
      <w:tr>
        <w:tc>
          <w:tcPr>
            <w:tcW w:type="dxa" w:w="2769"/>
          </w:tcPr>
          <w:p/>
        </w:tc>
        <w:tc>
          <w:tcPr>
            <w:tcW w:type="dxa" w:w="2769"/>
          </w:tcPr>
          <w:p>
            <w:pPr>
              <w:pStyle w:val="null3"/>
            </w:pPr>
            <w:r>
              <w:rPr/>
              <w:t>10</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9"/>
              <w:gridCol w:w="536"/>
              <w:gridCol w:w="1577"/>
            </w:tblGrid>
            <w:tr>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9、图像采集图文报告工作站</w:t>
                  </w:r>
                </w:p>
              </w:tc>
              <w:tc>
                <w:tcPr>
                  <w:tcW w:type="dxa" w:w="5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查询定位</w:t>
                  </w:r>
                </w:p>
              </w:tc>
              <w:tc>
                <w:tcPr>
                  <w:tcW w:type="dxa" w:w="1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要求根据病人</w:t>
                  </w:r>
                  <w:r>
                    <w:rPr>
                      <w:rFonts w:ascii="宋体" w:hAnsi="宋体" w:cs="宋体" w:eastAsia="宋体"/>
                      <w:sz w:val="20"/>
                    </w:rPr>
                    <w:t>ID,病人姓名，门诊号，住院号，检查项目等条件进行查询获取查询结果；</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singl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要求支持条形码、刷卡、</w:t>
                  </w:r>
                  <w:r>
                    <w:rPr>
                      <w:rFonts w:ascii="宋体" w:hAnsi="宋体" w:cs="宋体" w:eastAsia="宋体"/>
                      <w:sz w:val="20"/>
                    </w:rPr>
                    <w:t>RFID、身份证数据的获取进行检索查询；</w:t>
                  </w:r>
                </w:p>
              </w:tc>
            </w:tr>
            <w:tr>
              <w:tc>
                <w:tcPr>
                  <w:tcW w:type="dxa" w:w="429"/>
                  <w:vMerge/>
                  <w:tcBorders>
                    <w:top w:val="singl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结果列表</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支持查询结果以列表形式显示；</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支持检查状态显示；</w:t>
                  </w:r>
                </w:p>
              </w:tc>
            </w:tr>
            <w:tr>
              <w:tc>
                <w:tcPr>
                  <w:tcW w:type="dxa" w:w="429"/>
                  <w:vMerge/>
                  <w:tcBorders>
                    <w:top w:val="singl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图像采集</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支持所采集视频源</w:t>
                  </w:r>
                  <w:r>
                    <w:rPr>
                      <w:rFonts w:ascii="宋体" w:hAnsi="宋体" w:cs="宋体" w:eastAsia="宋体"/>
                      <w:sz w:val="20"/>
                    </w:rPr>
                    <w:t>(复合视频源，S视频源，VGA视频源，DVI-I数字视频源)的实时显示；</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支持单帧静态图像采集；</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支持外触发进行采集静态图像；</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支持已采集静态图像的显示；</w:t>
                  </w:r>
                </w:p>
              </w:tc>
            </w:tr>
            <w:tr>
              <w:tc>
                <w:tcPr>
                  <w:tcW w:type="dxa" w:w="429"/>
                  <w:vMerge/>
                  <w:tcBorders>
                    <w:top w:val="singl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图像列表</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支持显示所采集的图像形成缩略图显示在列表中；</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支持对列表中选中图像删除；</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支持对列表中图像插入报告；</w:t>
                  </w:r>
                </w:p>
              </w:tc>
            </w:tr>
            <w:tr>
              <w:tc>
                <w:tcPr>
                  <w:tcW w:type="dxa" w:w="429"/>
                  <w:vMerge/>
                  <w:tcBorders>
                    <w:top w:val="singl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内容模板</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支持分类定义；</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支持对内容模板的修改，删除；</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支持追加至报告。</w:t>
                  </w: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10、视力/眼压/验光数据采集模块</w:t>
                  </w: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查询病人</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支持扫描枪，扫描平台扫描病人条形码或刷卡器刷卡直接定位病人检查信息；</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支持手工输入号码，姓名拼音模糊查询定位病人检查信息；</w:t>
                  </w:r>
                </w:p>
              </w:tc>
            </w:tr>
            <w:tr>
              <w:tc>
                <w:tcPr>
                  <w:tcW w:type="dxa" w:w="429"/>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视力数据采集</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要求支持小数值、</w:t>
                  </w:r>
                  <w:r>
                    <w:rPr>
                      <w:rFonts w:ascii="宋体" w:hAnsi="宋体" w:cs="宋体" w:eastAsia="宋体"/>
                      <w:sz w:val="20"/>
                    </w:rPr>
                    <w:t>5分值视力值快速选择的方式进行记录；</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要求支持手指近距离数值、无光感、失明、义眼的记录；</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要求裸眼、矫正视力值的记录；</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要求支持左右眼快速切换记录；</w:t>
                  </w:r>
                </w:p>
              </w:tc>
            </w:tr>
            <w:tr>
              <w:tc>
                <w:tcPr>
                  <w:tcW w:type="dxa" w:w="429"/>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眼压</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要求支持对眼压设备数据的连接采集；</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0"/>
                    </w:rPr>
                    <w:t>要求支持在设备通讯故障下或无数据接口情况下可以触控操作录入眼压数据值</w:t>
                  </w:r>
                  <w:r>
                    <w:rPr>
                      <w:rFonts w:ascii="宋体" w:hAnsi="宋体" w:cs="宋体" w:eastAsia="宋体"/>
                      <w:b/>
                      <w:sz w:val="20"/>
                    </w:rPr>
                    <w:t>。</w:t>
                  </w:r>
                  <w:r>
                    <w:rPr>
                      <w:rFonts w:ascii="宋体" w:hAnsi="宋体" w:cs="宋体" w:eastAsia="宋体"/>
                      <w:b/>
                      <w:sz w:val="20"/>
                    </w:rPr>
                    <w:t>▲</w:t>
                  </w:r>
                </w:p>
              </w:tc>
            </w:tr>
            <w:tr>
              <w:tc>
                <w:tcPr>
                  <w:tcW w:type="dxa" w:w="429"/>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验光</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要求支持对验光设备数据的连接采集；</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0"/>
                    </w:rPr>
                    <w:t>要求支持在设备通讯故障下或无数据接口情况下可以触控操作录入验光数据值。</w:t>
                  </w:r>
                  <w:r>
                    <w:rPr>
                      <w:rFonts w:ascii="宋体" w:hAnsi="宋体" w:cs="宋体" w:eastAsia="宋体"/>
                      <w:b/>
                      <w:sz w:val="20"/>
                    </w:rPr>
                    <w:t>▲</w:t>
                  </w:r>
                </w:p>
              </w:tc>
            </w:tr>
          </w:tbl>
          <w:p/>
        </w:tc>
      </w:tr>
      <w:tr>
        <w:tc>
          <w:tcPr>
            <w:tcW w:type="dxa" w:w="2769"/>
          </w:tcPr>
          <w:p/>
        </w:tc>
        <w:tc>
          <w:tcPr>
            <w:tcW w:type="dxa" w:w="2769"/>
          </w:tcPr>
          <w:p>
            <w:pPr>
              <w:pStyle w:val="null3"/>
            </w:pPr>
            <w:r>
              <w:rPr/>
              <w:t>11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9"/>
              <w:gridCol w:w="536"/>
              <w:gridCol w:w="1577"/>
            </w:tblGrid>
            <w:tr>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11、业务统计分析模块</w:t>
                  </w:r>
                </w:p>
              </w:tc>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查询统计条件</w:t>
                  </w:r>
                </w:p>
              </w:tc>
              <w:tc>
                <w:tcPr>
                  <w:tcW w:type="dxa" w:w="1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支持时间段、检查状态、各种检查项目、执行人员、病人来源、申请科室、申请人员等查询统计条件；</w:t>
                  </w:r>
                </w:p>
              </w:tc>
            </w:tr>
            <w:tr>
              <w:tc>
                <w:tcPr>
                  <w:tcW w:type="dxa" w:w="429"/>
                  <w:vMerge/>
                  <w:tcBorders>
                    <w:top w:val="singl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查询统计方案</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要求将常用查询统计条件设置为方案，只需要更改时间段即可得到结果；</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支持查询条件选择指定筛选范围；</w:t>
                  </w:r>
                </w:p>
              </w:tc>
            </w:tr>
            <w:tr>
              <w:tc>
                <w:tcPr>
                  <w:tcW w:type="dxa" w:w="429"/>
                  <w:vMerge/>
                  <w:tcBorders>
                    <w:top w:val="singl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统计结果展现</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支持按照统计结果二维表格方式进行展现；</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支持按照统计结果柱状图、饼状图方式进行展现；</w:t>
                  </w:r>
                </w:p>
              </w:tc>
            </w:tr>
            <w:tr>
              <w:tc>
                <w:tcPr>
                  <w:tcW w:type="dxa" w:w="429"/>
                  <w:vMerge/>
                  <w:tcBorders>
                    <w:top w:val="singl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数据逐级展开</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支持统计结果数据展开其明细病患名单；</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支持病患名单展开显示其检查结果；</w:t>
                  </w:r>
                </w:p>
              </w:tc>
            </w:tr>
            <w:tr>
              <w:tc>
                <w:tcPr>
                  <w:tcW w:type="dxa" w:w="429"/>
                  <w:vMerge/>
                  <w:tcBorders>
                    <w:top w:val="singl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数据导出</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要求所产生的统计表格都可以导出</w:t>
                  </w:r>
                  <w:r>
                    <w:rPr>
                      <w:rFonts w:ascii="宋体" w:hAnsi="宋体" w:cs="宋体" w:eastAsia="宋体"/>
                      <w:sz w:val="20"/>
                    </w:rPr>
                    <w:t>Excel。</w:t>
                  </w: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12、自助打印软件模块</w:t>
                  </w: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查询</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要求支持通过就诊卡</w:t>
                  </w:r>
                  <w:r>
                    <w:rPr>
                      <w:rFonts w:ascii="宋体" w:hAnsi="宋体" w:cs="宋体" w:eastAsia="宋体"/>
                      <w:sz w:val="20"/>
                    </w:rPr>
                    <w:t>RFID、磁卡刷卡获取报告列表；</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要求支持通过一维、二维条形码扫描获取报告列表；</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要求支持显示现有报告份数、名称；</w:t>
                  </w:r>
                </w:p>
              </w:tc>
            </w:tr>
            <w:tr>
              <w:tc>
                <w:tcPr>
                  <w:tcW w:type="dxa" w:w="429"/>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打印过程交互</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要求支持护士站集中进行打印报告；</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要求支持病人通过自助人机交互界面自助打印报告；</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要求支持是否已打印的判断，防止重复打印；</w:t>
                  </w:r>
                </w:p>
              </w:tc>
            </w:tr>
            <w:tr>
              <w:tc>
                <w:tcPr>
                  <w:tcW w:type="dxa" w:w="429"/>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支持打印过程中显示打印份数和打印完成提示；</w:t>
                  </w:r>
                </w:p>
              </w:tc>
            </w:tr>
            <w:tr>
              <w:tc>
                <w:tcPr>
                  <w:tcW w:type="dxa" w:w="429"/>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自助打印任务管理</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要求所有现有设备报告均可以通过一种自助打印终端进行自助打印，支持打印</w:t>
                  </w:r>
                  <w:r>
                    <w:rPr>
                      <w:rFonts w:ascii="宋体" w:hAnsi="宋体" w:cs="宋体" w:eastAsia="宋体"/>
                      <w:sz w:val="20"/>
                    </w:rPr>
                    <w:t>A4格式彩色、黑白报告。</w:t>
                  </w:r>
                </w:p>
              </w:tc>
            </w:tr>
          </w:tbl>
          <w:p/>
        </w:tc>
      </w:tr>
      <w:tr>
        <w:tc>
          <w:tcPr>
            <w:tcW w:type="dxa" w:w="2769"/>
          </w:tcPr>
          <w:p/>
        </w:tc>
        <w:tc>
          <w:tcPr>
            <w:tcW w:type="dxa" w:w="2769"/>
          </w:tcPr>
          <w:p>
            <w:pPr>
              <w:pStyle w:val="null3"/>
            </w:pPr>
            <w:r>
              <w:rPr/>
              <w:t>12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9"/>
              <w:gridCol w:w="536"/>
              <w:gridCol w:w="1577"/>
            </w:tblGrid>
            <w:tr>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13、临床影像报告浏览模块</w:t>
                  </w:r>
                </w:p>
              </w:tc>
              <w:tc>
                <w:tcPr>
                  <w:tcW w:type="dxa" w:w="5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WEB网站发布</w:t>
                  </w:r>
                </w:p>
              </w:tc>
              <w:tc>
                <w:tcPr>
                  <w:tcW w:type="dxa" w:w="1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要求支持建立</w:t>
                  </w:r>
                  <w:r>
                    <w:rPr>
                      <w:rFonts w:ascii="宋体" w:hAnsi="宋体" w:cs="宋体" w:eastAsia="宋体"/>
                      <w:sz w:val="20"/>
                    </w:rPr>
                    <w:t>WEB 网站对外支持HTTP WEB</w:t>
                  </w:r>
                  <w:r>
                    <w:rPr>
                      <w:rFonts w:ascii="宋体" w:hAnsi="宋体" w:cs="宋体" w:eastAsia="宋体"/>
                      <w:sz w:val="20"/>
                    </w:rPr>
                    <w:t>、</w:t>
                  </w:r>
                  <w:r>
                    <w:rPr>
                      <w:rFonts w:ascii="宋体" w:hAnsi="宋体" w:cs="宋体" w:eastAsia="宋体"/>
                      <w:sz w:val="20"/>
                    </w:rPr>
                    <w:t>HTTPS</w:t>
                  </w:r>
                  <w:r>
                    <w:rPr>
                      <w:rFonts w:ascii="宋体" w:hAnsi="宋体" w:cs="宋体" w:eastAsia="宋体"/>
                      <w:sz w:val="20"/>
                    </w:rPr>
                    <w:t>访问检查数据与报告；</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singl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支持影像报告</w:t>
                  </w:r>
                  <w:r>
                    <w:rPr>
                      <w:rFonts w:ascii="宋体" w:hAnsi="宋体" w:cs="宋体" w:eastAsia="宋体"/>
                      <w:sz w:val="20"/>
                    </w:rPr>
                    <w:t>DICOM文件及非DICOM文件的发布；</w:t>
                  </w:r>
                </w:p>
              </w:tc>
            </w:tr>
            <w:tr>
              <w:tc>
                <w:tcPr>
                  <w:tcW w:type="dxa" w:w="429"/>
                  <w:vMerge/>
                  <w:tcBorders>
                    <w:top w:val="singl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查询</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支持根据病人</w:t>
                  </w:r>
                  <w:r>
                    <w:rPr>
                      <w:rFonts w:ascii="宋体" w:hAnsi="宋体" w:cs="宋体" w:eastAsia="宋体"/>
                      <w:sz w:val="20"/>
                    </w:rPr>
                    <w:t>ID,病人姓名，门诊号，住院号，检查项目等条件进行查询获取结果列表，支持分页显示列表；</w:t>
                  </w:r>
                </w:p>
              </w:tc>
            </w:tr>
            <w:tr>
              <w:tc>
                <w:tcPr>
                  <w:tcW w:type="dxa" w:w="429"/>
                  <w:vMerge/>
                  <w:tcBorders>
                    <w:top w:val="singl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诊疗信息</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支持检查信息如病人姓名，性别，年龄等病人信息，检查项目，申请医生等检查信息，历史视力、眼压、验光数据显示；</w:t>
                  </w:r>
                </w:p>
              </w:tc>
            </w:tr>
            <w:tr>
              <w:tc>
                <w:tcPr>
                  <w:tcW w:type="dxa" w:w="429"/>
                  <w:vMerge/>
                  <w:tcBorders>
                    <w:top w:val="singl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0"/>
                    </w:rPr>
                    <w:t>影像报告</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0"/>
                    </w:rPr>
                    <w:t>要求支持</w:t>
                  </w:r>
                  <w:r>
                    <w:rPr>
                      <w:rFonts w:ascii="宋体" w:hAnsi="宋体" w:cs="宋体" w:eastAsia="宋体"/>
                      <w:b/>
                      <w:sz w:val="20"/>
                    </w:rPr>
                    <w:t>WEB方式显示影像报告，支持主流浏览器在PC电脑上进行浏览检查结果；▲</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要求纯</w:t>
                  </w:r>
                  <w:r>
                    <w:rPr>
                      <w:rFonts w:ascii="宋体" w:hAnsi="宋体" w:cs="宋体" w:eastAsia="宋体"/>
                      <w:sz w:val="20"/>
                    </w:rPr>
                    <w:t>WEB无插件方式显示DICOM影像，眼科图像、报告，以便全院乃至院外任意环境下无需部署地访问数据；</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要求支持</w:t>
                  </w:r>
                  <w:r>
                    <w:rPr>
                      <w:rFonts w:ascii="宋体" w:hAnsi="宋体" w:cs="宋体" w:eastAsia="宋体"/>
                      <w:sz w:val="20"/>
                    </w:rPr>
                    <w:t>WEB方式显示支持影像、报告打印、下载文件、宽度\高度自适应窗口显示功能；</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要求以</w:t>
                  </w:r>
                  <w:r>
                    <w:rPr>
                      <w:rFonts w:ascii="宋体" w:hAnsi="宋体" w:cs="宋体" w:eastAsia="宋体"/>
                      <w:sz w:val="20"/>
                    </w:rPr>
                    <w:t>WEB方式影像的调窗，测量；支持眼科图像的缩放，平移，放大镜，旋转，布局调整，重载，复位操作。支持报告的缩放，平移；</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提供临床全面专家的检查图像报告浏览模式，包括单张图像全屏浏览、多种成像模式的同屏对比浏览；支持同一患者不同时期之间的影像对比浏览；支持图像直接从患者数据库拖拽切换，方便快捷；</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检查图像及报告可以按照检查时间、检查类别进行归类形成列表；</w:t>
                  </w:r>
                </w:p>
              </w:tc>
            </w:tr>
            <w:tr>
              <w:tc>
                <w:tcPr>
                  <w:tcW w:type="dxa" w:w="429"/>
                  <w:vMerge/>
                  <w:tcBorders>
                    <w:top w:val="singl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支持双屏显示图像，选择至影像浏览界面。</w:t>
                  </w: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color w:val="000000"/>
                      <w:sz w:val="20"/>
                    </w:rPr>
                    <w:t>14、接口定制开发</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0"/>
                    </w:rPr>
                    <w:t>HIS/EMR/集成平台</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完成</w:t>
                  </w:r>
                  <w:r>
                    <w:rPr>
                      <w:rFonts w:ascii="宋体" w:hAnsi="宋体" w:cs="宋体" w:eastAsia="宋体"/>
                      <w:color w:val="000000"/>
                      <w:sz w:val="20"/>
                    </w:rPr>
                    <w:t>HIS/EMR/集成平台患者基本信息、申请单信息、检查结果URL调用的接口对接开发。</w:t>
                  </w:r>
                </w:p>
              </w:tc>
            </w:tr>
            <w:tr>
              <w:tc>
                <w:tcPr>
                  <w:tcW w:type="dxa" w:w="429"/>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0"/>
                    </w:rPr>
                    <w:t>一院两区</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高新院区能查询粉巷院区患者。</w:t>
                  </w:r>
                </w:p>
                <w:p>
                  <w:pPr>
                    <w:pStyle w:val="null3"/>
                    <w:jc w:val="left"/>
                  </w:pPr>
                  <w:r>
                    <w:rPr>
                      <w:rFonts w:ascii="宋体" w:hAnsi="宋体" w:cs="宋体" w:eastAsia="宋体"/>
                      <w:color w:val="000000"/>
                      <w:sz w:val="20"/>
                    </w:rPr>
                    <w:t>高新院区支持调阅粉巷院区患者的历史报告和历史影像。</w:t>
                  </w:r>
                </w:p>
                <w:p>
                  <w:pPr>
                    <w:pStyle w:val="null3"/>
                    <w:jc w:val="left"/>
                  </w:pPr>
                  <w:r>
                    <w:rPr>
                      <w:rFonts w:ascii="宋体" w:hAnsi="宋体" w:cs="宋体" w:eastAsia="宋体"/>
                      <w:color w:val="000000"/>
                      <w:sz w:val="20"/>
                    </w:rPr>
                    <w:t>粉巷院区能查询高新院区患者。</w:t>
                  </w:r>
                </w:p>
                <w:p>
                  <w:pPr>
                    <w:pStyle w:val="null3"/>
                    <w:jc w:val="left"/>
                  </w:pPr>
                  <w:r>
                    <w:rPr>
                      <w:rFonts w:ascii="宋体" w:hAnsi="宋体" w:cs="宋体" w:eastAsia="宋体"/>
                      <w:color w:val="000000"/>
                      <w:sz w:val="20"/>
                    </w:rPr>
                    <w:t>粉巷院区支持调阅高新院区患者的检查报告和检查影像。</w:t>
                  </w:r>
                </w:p>
                <w:p>
                  <w:pPr>
                    <w:pStyle w:val="null3"/>
                    <w:jc w:val="left"/>
                  </w:pPr>
                  <w:r>
                    <w:rPr>
                      <w:rFonts w:ascii="宋体" w:hAnsi="宋体" w:cs="宋体" w:eastAsia="宋体"/>
                      <w:color w:val="000000"/>
                      <w:sz w:val="20"/>
                    </w:rPr>
                    <w:t>完成一院两区数据融合。</w:t>
                  </w:r>
                </w:p>
              </w:tc>
            </w:tr>
          </w:tbl>
          <w:p/>
        </w:tc>
      </w:tr>
      <w:tr>
        <w:tc>
          <w:tcPr>
            <w:tcW w:type="dxa" w:w="2769"/>
          </w:tcPr>
          <w:p/>
        </w:tc>
        <w:tc>
          <w:tcPr>
            <w:tcW w:type="dxa" w:w="2769"/>
          </w:tcPr>
          <w:p>
            <w:pPr>
              <w:pStyle w:val="null3"/>
            </w:pPr>
            <w:r>
              <w:rPr/>
              <w:t>13</w:t>
            </w:r>
          </w:p>
        </w:tc>
        <w:tc>
          <w:tcPr>
            <w:tcW w:type="dxa" w:w="2769"/>
          </w:tcPr>
          <w:p>
            <w:pPr>
              <w:pStyle w:val="null3"/>
              <w:jc w:val="both"/>
            </w:pPr>
            <w:r>
              <w:rPr>
                <w:rFonts w:ascii="宋体" w:hAnsi="宋体" w:cs="宋体" w:eastAsia="宋体"/>
                <w:sz w:val="20"/>
              </w:rPr>
              <w:t>2、</w:t>
            </w:r>
            <w:r>
              <w:rPr>
                <w:rFonts w:ascii="宋体" w:hAnsi="宋体" w:cs="宋体" w:eastAsia="宋体"/>
                <w:sz w:val="20"/>
              </w:rPr>
              <w:t>设备采购</w:t>
            </w:r>
          </w:p>
          <w:tbl>
            <w:tblPr>
              <w:tblBorders>
                <w:top w:val="none" w:color="000000" w:sz="4"/>
                <w:left w:val="none" w:color="000000" w:sz="4"/>
                <w:bottom w:val="none" w:color="000000" w:sz="4"/>
                <w:right w:val="none" w:color="000000" w:sz="4"/>
                <w:insideH w:val="none"/>
                <w:insideV w:val="none"/>
              </w:tblBorders>
            </w:tblPr>
            <w:tblGrid>
              <w:gridCol w:w="270"/>
              <w:gridCol w:w="922"/>
              <w:gridCol w:w="290"/>
              <w:gridCol w:w="1059"/>
            </w:tblGrid>
            <w:tr>
              <w:tc>
                <w:tcPr>
                  <w:tcW w:type="dxa" w:w="270"/>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105" w:after="105"/>
                    <w:jc w:val="center"/>
                  </w:pPr>
                  <w:r>
                    <w:rPr>
                      <w:rFonts w:ascii="宋体" w:hAnsi="宋体" w:cs="宋体" w:eastAsia="宋体"/>
                      <w:sz w:val="20"/>
                    </w:rPr>
                    <w:t>序号</w:t>
                  </w:r>
                </w:p>
              </w:tc>
              <w:tc>
                <w:tcPr>
                  <w:tcW w:type="dxa" w:w="922"/>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设备名称</w:t>
                  </w:r>
                </w:p>
              </w:tc>
              <w:tc>
                <w:tcPr>
                  <w:tcW w:type="dxa" w:w="290"/>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105" w:after="105"/>
                    <w:jc w:val="center"/>
                  </w:pPr>
                  <w:r>
                    <w:rPr>
                      <w:rFonts w:ascii="宋体" w:hAnsi="宋体" w:cs="宋体" w:eastAsia="宋体"/>
                      <w:sz w:val="20"/>
                    </w:rPr>
                    <w:t>数量</w:t>
                  </w:r>
                </w:p>
              </w:tc>
              <w:tc>
                <w:tcPr>
                  <w:tcW w:type="dxa" w:w="1059"/>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105" w:after="105"/>
                    <w:jc w:val="left"/>
                  </w:pPr>
                  <w:r>
                    <w:rPr>
                      <w:rFonts w:ascii="宋体" w:hAnsi="宋体" w:cs="宋体" w:eastAsia="宋体"/>
                      <w:sz w:val="20"/>
                    </w:rPr>
                    <w:t>备注</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眼底照相机</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2</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光学生物测量仪</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3</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AB 型超声诊断仪</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4</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角膜共聚焦显微镜</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5</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角膜内皮显微镜</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6</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同视机</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7</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角膜地形图仪</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8</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灵敏度仪</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9</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电生理</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10</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验光仪</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11</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人工验光</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3</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数据上报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12</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焦度计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13</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电子验光仪</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14</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光相干断层扫描仪</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bl>
          <w:p/>
        </w:tc>
      </w:tr>
      <w:tr>
        <w:tc>
          <w:tcPr>
            <w:tcW w:type="dxa" w:w="2769"/>
          </w:tcPr>
          <w:p/>
        </w:tc>
        <w:tc>
          <w:tcPr>
            <w:tcW w:type="dxa" w:w="2769"/>
          </w:tcPr>
          <w:p>
            <w:pPr>
              <w:pStyle w:val="null3"/>
            </w:pPr>
            <w:r>
              <w:rPr/>
              <w:t>14</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0"/>
              <w:gridCol w:w="922"/>
              <w:gridCol w:w="290"/>
              <w:gridCol w:w="1059"/>
            </w:tblGrid>
            <w:tr>
              <w:tc>
                <w:tcPr>
                  <w:tcW w:type="dxa" w:w="2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15</w:t>
                  </w:r>
                </w:p>
              </w:tc>
              <w:tc>
                <w:tcPr>
                  <w:tcW w:type="dxa" w:w="9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OCT</w:t>
                  </w:r>
                </w:p>
              </w:tc>
              <w:tc>
                <w:tcPr>
                  <w:tcW w:type="dxa" w:w="2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105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16</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视力表</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2</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17</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眼压计</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2</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18</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干眼检测仪</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19</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UBM</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20</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65寸诊区屏</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2</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1、 显示屏尺寸：65英寸</w:t>
                  </w:r>
                </w:p>
                <w:p>
                  <w:pPr>
                    <w:pStyle w:val="null3"/>
                    <w:spacing w:before="105" w:after="105"/>
                    <w:jc w:val="left"/>
                  </w:pPr>
                  <w:r>
                    <w:rPr>
                      <w:rFonts w:ascii="宋体" w:hAnsi="宋体" w:cs="宋体" w:eastAsia="宋体"/>
                      <w:sz w:val="20"/>
                    </w:rPr>
                    <w:t xml:space="preserve">2、 CPU：4核A83 主频2.0G                         </w:t>
                  </w:r>
                </w:p>
                <w:p>
                  <w:pPr>
                    <w:pStyle w:val="null3"/>
                    <w:spacing w:before="105" w:after="105"/>
                    <w:jc w:val="left"/>
                  </w:pPr>
                  <w:r>
                    <w:rPr>
                      <w:rFonts w:ascii="宋体" w:hAnsi="宋体" w:cs="宋体" w:eastAsia="宋体"/>
                      <w:sz w:val="20"/>
                    </w:rPr>
                    <w:t>3、 GPUPowerVR SGX544</w:t>
                  </w:r>
                </w:p>
                <w:p>
                  <w:pPr>
                    <w:pStyle w:val="null3"/>
                    <w:spacing w:before="105" w:after="105"/>
                    <w:jc w:val="left"/>
                  </w:pPr>
                  <w:r>
                    <w:rPr>
                      <w:rFonts w:ascii="宋体" w:hAnsi="宋体" w:cs="宋体" w:eastAsia="宋体"/>
                      <w:sz w:val="20"/>
                    </w:rPr>
                    <w:t>4、 内存:2GB</w:t>
                  </w:r>
                </w:p>
                <w:p>
                  <w:pPr>
                    <w:pStyle w:val="null3"/>
                    <w:spacing w:before="105" w:after="105"/>
                    <w:jc w:val="left"/>
                  </w:pPr>
                  <w:r>
                    <w:rPr>
                      <w:rFonts w:ascii="宋体" w:hAnsi="宋体" w:cs="宋体" w:eastAsia="宋体"/>
                      <w:sz w:val="20"/>
                    </w:rPr>
                    <w:t>5、 外存储:8GB</w:t>
                  </w:r>
                </w:p>
                <w:p>
                  <w:pPr>
                    <w:pStyle w:val="null3"/>
                    <w:spacing w:before="105" w:after="105"/>
                    <w:jc w:val="left"/>
                  </w:pPr>
                  <w:r>
                    <w:rPr>
                      <w:rFonts w:ascii="宋体" w:hAnsi="宋体" w:cs="宋体" w:eastAsia="宋体"/>
                      <w:sz w:val="20"/>
                    </w:rPr>
                    <w:t>6、 操作系统:Android4.4。</w:t>
                  </w:r>
                </w:p>
                <w:p>
                  <w:pPr>
                    <w:pStyle w:val="null3"/>
                    <w:spacing w:before="105" w:after="105"/>
                    <w:jc w:val="left"/>
                  </w:pPr>
                  <w:r>
                    <w:rPr>
                      <w:rFonts w:ascii="宋体" w:hAnsi="宋体" w:cs="宋体" w:eastAsia="宋体"/>
                      <w:sz w:val="20"/>
                    </w:rPr>
                    <w:t>7、 分辨率≥1920*1080</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21</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55寸诊区屏</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4</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1、 显示屏尺寸：55英寸</w:t>
                  </w:r>
                </w:p>
                <w:p>
                  <w:pPr>
                    <w:pStyle w:val="null3"/>
                    <w:spacing w:before="105" w:after="105"/>
                    <w:jc w:val="left"/>
                  </w:pPr>
                  <w:r>
                    <w:rPr>
                      <w:rFonts w:ascii="宋体" w:hAnsi="宋体" w:cs="宋体" w:eastAsia="宋体"/>
                      <w:sz w:val="20"/>
                    </w:rPr>
                    <w:t xml:space="preserve">2、 CPU：4核A83 主频2.0G                         </w:t>
                  </w:r>
                </w:p>
                <w:p>
                  <w:pPr>
                    <w:pStyle w:val="null3"/>
                    <w:spacing w:before="105" w:after="105"/>
                    <w:jc w:val="left"/>
                  </w:pPr>
                  <w:r>
                    <w:rPr>
                      <w:rFonts w:ascii="宋体" w:hAnsi="宋体" w:cs="宋体" w:eastAsia="宋体"/>
                      <w:sz w:val="20"/>
                    </w:rPr>
                    <w:t>3、 GPUPowerVR SGX544</w:t>
                  </w:r>
                </w:p>
                <w:p>
                  <w:pPr>
                    <w:pStyle w:val="null3"/>
                    <w:spacing w:before="105" w:after="105"/>
                    <w:jc w:val="left"/>
                  </w:pPr>
                  <w:r>
                    <w:rPr>
                      <w:rFonts w:ascii="宋体" w:hAnsi="宋体" w:cs="宋体" w:eastAsia="宋体"/>
                      <w:sz w:val="20"/>
                    </w:rPr>
                    <w:t>4、 内存:2GB</w:t>
                  </w:r>
                </w:p>
                <w:p>
                  <w:pPr>
                    <w:pStyle w:val="null3"/>
                    <w:spacing w:before="105" w:after="105"/>
                    <w:jc w:val="left"/>
                  </w:pPr>
                  <w:r>
                    <w:rPr>
                      <w:rFonts w:ascii="宋体" w:hAnsi="宋体" w:cs="宋体" w:eastAsia="宋体"/>
                      <w:sz w:val="20"/>
                    </w:rPr>
                    <w:t>5、 外存储:8GB</w:t>
                  </w:r>
                </w:p>
                <w:p>
                  <w:pPr>
                    <w:pStyle w:val="null3"/>
                    <w:spacing w:before="105" w:after="105"/>
                    <w:jc w:val="left"/>
                  </w:pPr>
                  <w:r>
                    <w:rPr>
                      <w:rFonts w:ascii="宋体" w:hAnsi="宋体" w:cs="宋体" w:eastAsia="宋体"/>
                      <w:sz w:val="20"/>
                    </w:rPr>
                    <w:t>6、 操作系统:Android4.4。</w:t>
                  </w:r>
                </w:p>
                <w:p>
                  <w:pPr>
                    <w:pStyle w:val="null3"/>
                    <w:spacing w:before="105" w:after="105"/>
                    <w:jc w:val="left"/>
                  </w:pPr>
                  <w:r>
                    <w:rPr>
                      <w:rFonts w:ascii="宋体" w:hAnsi="宋体" w:cs="宋体" w:eastAsia="宋体"/>
                      <w:sz w:val="20"/>
                    </w:rPr>
                    <w:t>7、 分辨率≥1920*1080</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22</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自助签到机</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1</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设备接入</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23</w:t>
                  </w:r>
                </w:p>
              </w:tc>
              <w:tc>
                <w:tcPr>
                  <w:tcW w:type="dxa" w:w="9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网络布线与电线铺设</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0"/>
                    </w:rPr>
                    <w:t>/</w:t>
                  </w: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20"/>
                    </w:rPr>
                    <w:t>物理环境搭建</w:t>
                  </w:r>
                </w:p>
              </w:tc>
            </w:tr>
          </w:tbl>
          <w:p/>
        </w:tc>
      </w:tr>
      <w:tr>
        <w:tc>
          <w:tcPr>
            <w:tcW w:type="dxa" w:w="2769"/>
          </w:tcPr>
          <w:p/>
        </w:tc>
        <w:tc>
          <w:tcPr>
            <w:tcW w:type="dxa" w:w="2769"/>
          </w:tcPr>
          <w:p>
            <w:pPr>
              <w:pStyle w:val="null3"/>
            </w:pPr>
            <w:r>
              <w:rPr/>
              <w:t>15</w:t>
            </w:r>
          </w:p>
        </w:tc>
        <w:tc>
          <w:tcPr>
            <w:tcW w:type="dxa" w:w="2769"/>
          </w:tcPr>
          <w:p>
            <w:pPr>
              <w:pStyle w:val="null3"/>
              <w:jc w:val="both"/>
            </w:pPr>
            <w:r>
              <w:rPr>
                <w:rFonts w:ascii="宋体" w:hAnsi="宋体" w:cs="宋体" w:eastAsia="宋体"/>
              </w:rPr>
              <w:t>四</w:t>
            </w:r>
            <w:r>
              <w:rPr>
                <w:rFonts w:ascii="宋体" w:hAnsi="宋体" w:cs="宋体" w:eastAsia="宋体"/>
              </w:rPr>
              <w:t>、商务要求</w:t>
            </w:r>
          </w:p>
          <w:p>
            <w:pPr>
              <w:pStyle w:val="null3"/>
              <w:jc w:val="both"/>
            </w:pPr>
            <w:r>
              <w:rPr>
                <w:rFonts w:ascii="calibri" w:hAnsi="calibri" w:cs="calibri" w:eastAsia="calibri"/>
              </w:rPr>
              <w:t>1</w:t>
            </w:r>
            <w:r>
              <w:rPr>
                <w:rFonts w:ascii="宋体" w:hAnsi="宋体" w:cs="宋体" w:eastAsia="宋体"/>
              </w:rPr>
              <w:t>、安全要求</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）软件安全性必须按照《信息系统安全等级保护基本要求》三级进行设计，对口令、密码必须规范设计，并配合院方完成三级等保测评和备案。</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）供应商需保证所投软件无版权纠纷（需提供承诺书，并加盖公章）。</w:t>
            </w:r>
          </w:p>
          <w:p>
            <w:pPr>
              <w:pStyle w:val="null3"/>
              <w:spacing w:before="210"/>
              <w:jc w:val="both"/>
            </w:pPr>
            <w:r>
              <w:rPr>
                <w:rFonts w:ascii="宋体" w:hAnsi="宋体" w:cs="宋体" w:eastAsia="宋体"/>
                <w:b/>
                <w:color w:val="000000"/>
                <w:sz w:val="20"/>
              </w:rPr>
              <w:t>2、项目实施：</w:t>
            </w:r>
          </w:p>
          <w:p>
            <w:pPr>
              <w:pStyle w:val="null3"/>
              <w:jc w:val="both"/>
            </w:pPr>
            <w:r>
              <w:rPr>
                <w:rFonts w:ascii="宋体" w:hAnsi="宋体" w:cs="宋体" w:eastAsia="宋体"/>
                <w:color w:val="000000"/>
                <w:sz w:val="20"/>
              </w:rPr>
              <w:t>（</w:t>
            </w:r>
            <w:r>
              <w:rPr>
                <w:rFonts w:ascii="calibri" w:hAnsi="calibri" w:cs="calibri" w:eastAsia="calibri"/>
              </w:rPr>
              <w:t>1</w:t>
            </w:r>
            <w:r>
              <w:rPr>
                <w:rFonts w:ascii="宋体" w:hAnsi="宋体" w:cs="宋体" w:eastAsia="宋体"/>
              </w:rPr>
              <w:t>）建设周期：合同签订且符合入场条件后，</w:t>
            </w:r>
            <w:r>
              <w:rPr>
                <w:rFonts w:ascii="calibri" w:hAnsi="calibri" w:cs="calibri" w:eastAsia="calibri"/>
              </w:rPr>
              <w:t>90</w:t>
            </w:r>
            <w:r>
              <w:rPr>
                <w:rFonts w:ascii="宋体" w:hAnsi="宋体" w:cs="宋体" w:eastAsia="宋体"/>
              </w:rPr>
              <w:t>天内完成安装、调试、试运行并通过验收。</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）供应商需提供项目详尽的实施方案和实施进度表。</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）供应商在实施时，必须满足医院因工作需要的现场二次开发任务。</w:t>
            </w:r>
          </w:p>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）完成本项目涉及与院内现有系统（如：</w:t>
            </w:r>
            <w:r>
              <w:rPr>
                <w:rFonts w:ascii="calibri" w:hAnsi="calibri" w:cs="calibri" w:eastAsia="calibri"/>
              </w:rPr>
              <w:t>HIS</w:t>
            </w:r>
            <w:r>
              <w:rPr>
                <w:rFonts w:ascii="宋体" w:hAnsi="宋体" w:cs="宋体" w:eastAsia="宋体"/>
              </w:rPr>
              <w:t>、集成平台、</w:t>
            </w:r>
            <w:r>
              <w:rPr>
                <w:rFonts w:ascii="calibri" w:hAnsi="calibri" w:cs="calibri" w:eastAsia="calibri"/>
              </w:rPr>
              <w:t>CDR</w:t>
            </w:r>
            <w:r>
              <w:rPr>
                <w:rFonts w:ascii="宋体" w:hAnsi="宋体" w:cs="宋体" w:eastAsia="宋体"/>
              </w:rPr>
              <w:t>、</w:t>
            </w:r>
            <w:r>
              <w:rPr>
                <w:rFonts w:ascii="calibri" w:hAnsi="calibri" w:cs="calibri" w:eastAsia="calibri"/>
              </w:rPr>
              <w:t>EMR</w:t>
            </w:r>
            <w:r>
              <w:rPr>
                <w:rFonts w:ascii="宋体" w:hAnsi="宋体" w:cs="宋体" w:eastAsia="宋体"/>
              </w:rPr>
              <w:t>、</w:t>
            </w:r>
            <w:r>
              <w:rPr>
                <w:rFonts w:ascii="calibri" w:hAnsi="calibri" w:cs="calibri" w:eastAsia="calibri"/>
              </w:rPr>
              <w:t>CA</w:t>
            </w:r>
            <w:r>
              <w:rPr>
                <w:rFonts w:ascii="宋体" w:hAnsi="宋体" w:cs="宋体" w:eastAsia="宋体"/>
              </w:rPr>
              <w:t>等</w:t>
            </w:r>
            <w:r>
              <w:rPr>
                <w:rFonts w:ascii="宋体" w:hAnsi="宋体" w:cs="宋体" w:eastAsia="宋体"/>
              </w:rPr>
              <w:t>的对接，且所含的所有接口费用包含在本项目之内）。</w:t>
            </w:r>
          </w:p>
          <w:p>
            <w:pPr>
              <w:pStyle w:val="null3"/>
              <w:jc w:val="both"/>
            </w:pPr>
            <w:r>
              <w:rPr>
                <w:rFonts w:ascii="宋体" w:hAnsi="宋体" w:cs="宋体" w:eastAsia="宋体"/>
              </w:rPr>
              <w:t>（</w:t>
            </w:r>
            <w:r>
              <w:rPr>
                <w:rFonts w:ascii="calibri" w:hAnsi="calibri" w:cs="calibri" w:eastAsia="calibri"/>
              </w:rPr>
              <w:t>5</w:t>
            </w:r>
            <w:r>
              <w:rPr>
                <w:rFonts w:ascii="宋体" w:hAnsi="宋体" w:cs="宋体" w:eastAsia="宋体"/>
              </w:rPr>
              <w:t>）完成高新院区与粉巷院区数据融合，两院区能相互查询患者，并相互调阅检查报告和检查影像。中标方与粉巷院区原系统厂商协调解决，相关费用包含在本项目之内。</w:t>
            </w:r>
          </w:p>
          <w:p>
            <w:pPr>
              <w:pStyle w:val="null3"/>
              <w:spacing w:before="210"/>
              <w:jc w:val="both"/>
            </w:pPr>
            <w:r>
              <w:rPr>
                <w:rFonts w:ascii="宋体" w:hAnsi="宋体" w:cs="宋体" w:eastAsia="宋体"/>
                <w:b/>
                <w:sz w:val="20"/>
              </w:rPr>
              <w:t>3、项目</w:t>
            </w:r>
            <w:r>
              <w:rPr>
                <w:rFonts w:ascii="宋体" w:hAnsi="宋体" w:cs="宋体" w:eastAsia="宋体"/>
                <w:b/>
                <w:color w:val="000000"/>
                <w:sz w:val="20"/>
              </w:rPr>
              <w:t>交付文件：</w:t>
            </w:r>
          </w:p>
          <w:p>
            <w:pPr>
              <w:pStyle w:val="null3"/>
              <w:spacing w:before="210"/>
              <w:ind w:firstLine="400"/>
              <w:jc w:val="both"/>
            </w:pPr>
            <w:r>
              <w:rPr>
                <w:rFonts w:ascii="宋体" w:hAnsi="宋体" w:cs="宋体" w:eastAsia="宋体"/>
                <w:sz w:val="20"/>
              </w:rPr>
              <w:t>包含不限于全部系统相关说明书、技术文件、资料、测试、试运行、验收报告等文档汇集成册交付。</w:t>
            </w:r>
          </w:p>
          <w:p>
            <w:pPr>
              <w:pStyle w:val="null3"/>
              <w:spacing w:before="210"/>
              <w:jc w:val="both"/>
            </w:pPr>
            <w:r>
              <w:rPr>
                <w:rFonts w:ascii="宋体" w:hAnsi="宋体" w:cs="宋体" w:eastAsia="宋体"/>
                <w:color w:val="000000"/>
                <w:sz w:val="20"/>
              </w:rPr>
              <w:t>4、</w:t>
            </w:r>
            <w:r>
              <w:rPr>
                <w:rFonts w:ascii="宋体" w:hAnsi="宋体" w:cs="宋体" w:eastAsia="宋体"/>
                <w:b/>
                <w:color w:val="000000"/>
                <w:sz w:val="20"/>
              </w:rPr>
              <w:t>项目验收：</w:t>
            </w:r>
          </w:p>
          <w:p>
            <w:pPr>
              <w:pStyle w:val="null3"/>
              <w:spacing w:before="210"/>
              <w:ind w:firstLine="190"/>
              <w:jc w:val="both"/>
            </w:pPr>
            <w:r>
              <w:rPr>
                <w:rFonts w:ascii="宋体" w:hAnsi="宋体" w:cs="宋体" w:eastAsia="宋体"/>
                <w:color w:val="000000"/>
                <w:sz w:val="20"/>
              </w:rPr>
              <w:t>中标人在完成本项目全部内容后，上线试运行</w:t>
            </w:r>
            <w:r>
              <w:rPr>
                <w:rFonts w:ascii="宋体" w:hAnsi="宋体" w:cs="宋体" w:eastAsia="宋体"/>
                <w:color w:val="000000"/>
                <w:sz w:val="20"/>
              </w:rPr>
              <w:t>30天无问题后，按《西安市第一医院信息科项目验收制度》提请验收，并提供项目源代码</w:t>
            </w:r>
            <w:r>
              <w:rPr>
                <w:rFonts w:ascii="宋体" w:hAnsi="宋体" w:cs="宋体" w:eastAsia="宋体"/>
                <w:color w:val="000000"/>
                <w:sz w:val="20"/>
              </w:rPr>
              <w:t>（</w:t>
            </w:r>
            <w:r>
              <w:rPr>
                <w:rFonts w:ascii="宋体" w:hAnsi="宋体" w:cs="宋体" w:eastAsia="宋体"/>
                <w:color w:val="000000"/>
                <w:sz w:val="20"/>
              </w:rPr>
              <w:t>开发</w:t>
            </w:r>
            <w:r>
              <w:rPr>
                <w:rFonts w:ascii="宋体" w:hAnsi="宋体" w:cs="宋体" w:eastAsia="宋体"/>
                <w:color w:val="000000"/>
                <w:sz w:val="20"/>
              </w:rPr>
              <w:t>）</w:t>
            </w:r>
            <w:r>
              <w:rPr>
                <w:rFonts w:ascii="宋体" w:hAnsi="宋体" w:cs="宋体" w:eastAsia="宋体"/>
                <w:i/>
                <w:color w:val="000000"/>
                <w:sz w:val="20"/>
              </w:rPr>
              <w:t>。</w:t>
            </w:r>
          </w:p>
          <w:p>
            <w:pPr>
              <w:pStyle w:val="null3"/>
              <w:spacing w:before="210"/>
              <w:ind w:firstLine="361"/>
              <w:jc w:val="both"/>
            </w:pPr>
            <w:r>
              <w:rPr>
                <w:rFonts w:ascii="宋体" w:hAnsi="宋体" w:cs="宋体" w:eastAsia="宋体"/>
                <w:color w:val="000000"/>
                <w:sz w:val="20"/>
              </w:rPr>
              <w:t>验收依据：招、投标文件、合同。</w:t>
            </w:r>
          </w:p>
          <w:p>
            <w:pPr>
              <w:pStyle w:val="null3"/>
              <w:jc w:val="both"/>
            </w:pPr>
            <w:r>
              <w:rPr>
                <w:rFonts w:ascii="宋体" w:hAnsi="宋体" w:cs="宋体" w:eastAsia="宋体"/>
                <w:color w:val="000000"/>
                <w:sz w:val="20"/>
              </w:rPr>
              <w:t>5</w:t>
            </w:r>
            <w:r>
              <w:rPr>
                <w:rFonts w:ascii="宋体" w:hAnsi="宋体" w:cs="宋体" w:eastAsia="宋体"/>
                <w:b/>
                <w:color w:val="000000"/>
                <w:sz w:val="20"/>
              </w:rPr>
              <w:t>.</w:t>
            </w:r>
            <w:r>
              <w:rPr>
                <w:rFonts w:ascii="宋体" w:hAnsi="宋体" w:cs="宋体" w:eastAsia="宋体"/>
                <w:b/>
                <w:color w:val="000000"/>
                <w:sz w:val="20"/>
              </w:rPr>
              <w:t>履约保证金的交付和退还：</w:t>
            </w:r>
          </w:p>
          <w:p>
            <w:pPr>
              <w:pStyle w:val="null3"/>
              <w:jc w:val="both"/>
            </w:pPr>
            <w:r>
              <w:rPr>
                <w:rFonts w:ascii="宋体" w:hAnsi="宋体" w:cs="宋体" w:eastAsia="宋体"/>
                <w:color w:val="000000"/>
                <w:sz w:val="20"/>
              </w:rPr>
              <w:t>（</w:t>
            </w:r>
            <w:r>
              <w:rPr>
                <w:rFonts w:ascii="calibri" w:hAnsi="calibri" w:cs="calibri" w:eastAsia="calibri"/>
                <w:sz w:val="20"/>
              </w:rPr>
              <w:t>1</w:t>
            </w:r>
            <w:r>
              <w:rPr>
                <w:rFonts w:ascii="宋体" w:hAnsi="宋体" w:cs="宋体" w:eastAsia="宋体"/>
                <w:sz w:val="20"/>
              </w:rPr>
              <w:t>）</w:t>
            </w:r>
            <w:r>
              <w:rPr>
                <w:rFonts w:ascii="宋体" w:hAnsi="宋体" w:cs="宋体" w:eastAsia="宋体"/>
                <w:color w:val="000000"/>
                <w:sz w:val="20"/>
              </w:rPr>
              <w:t>投标人应当按照中标合同总金额的</w:t>
            </w:r>
            <w:r>
              <w:rPr>
                <w:rFonts w:ascii="宋体" w:hAnsi="宋体" w:cs="宋体" w:eastAsia="宋体"/>
                <w:color w:val="000000"/>
                <w:sz w:val="20"/>
              </w:rPr>
              <w:t>5%作为履约保证金交付给采购人。</w:t>
            </w:r>
          </w:p>
          <w:p>
            <w:pPr>
              <w:pStyle w:val="null3"/>
              <w:jc w:val="both"/>
            </w:pPr>
            <w:r>
              <w:rPr>
                <w:rFonts w:ascii="宋体" w:hAnsi="宋体" w:cs="宋体" w:eastAsia="宋体"/>
                <w:color w:val="000000"/>
                <w:sz w:val="20"/>
              </w:rPr>
              <w:t>（</w:t>
            </w:r>
            <w:r>
              <w:rPr>
                <w:rFonts w:ascii="calibri" w:hAnsi="calibri" w:cs="calibri" w:eastAsia="calibri"/>
                <w:sz w:val="20"/>
              </w:rPr>
              <w:t>2</w:t>
            </w:r>
            <w:r>
              <w:rPr>
                <w:rFonts w:ascii="宋体" w:hAnsi="宋体" w:cs="宋体" w:eastAsia="宋体"/>
                <w:sz w:val="20"/>
              </w:rPr>
              <w:t>）</w:t>
            </w:r>
            <w:r>
              <w:rPr>
                <w:rFonts w:ascii="宋体" w:hAnsi="宋体" w:cs="宋体" w:eastAsia="宋体"/>
                <w:color w:val="000000"/>
                <w:sz w:val="20"/>
              </w:rPr>
              <w:t>保证期为中标（成交）通知书到达中标投标人之日起至项目质保期结束日。</w:t>
            </w:r>
          </w:p>
          <w:p>
            <w:pPr>
              <w:pStyle w:val="null3"/>
              <w:jc w:val="both"/>
            </w:pPr>
            <w:r>
              <w:rPr>
                <w:rFonts w:ascii="宋体" w:hAnsi="宋体" w:cs="宋体" w:eastAsia="宋体"/>
                <w:color w:val="000000"/>
                <w:sz w:val="20"/>
              </w:rPr>
              <w:t>（</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宋体" w:hAnsi="宋体" w:cs="宋体" w:eastAsia="宋体"/>
                <w:color w:val="000000"/>
                <w:sz w:val="20"/>
              </w:rPr>
              <w:t>保证期满投标人如约履行合同的，采购人在合同服务期结束之日起</w:t>
            </w:r>
            <w:r>
              <w:rPr>
                <w:rFonts w:ascii="宋体" w:hAnsi="宋体" w:cs="宋体" w:eastAsia="宋体"/>
                <w:color w:val="000000"/>
                <w:sz w:val="20"/>
              </w:rPr>
              <w:t>30日内退还履约保证金（无息）。</w:t>
            </w:r>
          </w:p>
          <w:p>
            <w:pPr>
              <w:pStyle w:val="null3"/>
              <w:jc w:val="both"/>
            </w:pPr>
            <w:r>
              <w:rPr>
                <w:rFonts w:ascii="宋体" w:hAnsi="宋体" w:cs="宋体" w:eastAsia="宋体"/>
                <w:b/>
                <w:color w:val="000000"/>
                <w:sz w:val="20"/>
              </w:rPr>
              <w:t>6</w:t>
            </w:r>
            <w:r>
              <w:rPr>
                <w:rFonts w:ascii="宋体" w:hAnsi="宋体" w:cs="宋体" w:eastAsia="宋体"/>
                <w:b/>
                <w:color w:val="000000"/>
                <w:sz w:val="20"/>
              </w:rPr>
              <w:t>、付款方式</w:t>
            </w:r>
            <w:r>
              <w:rPr>
                <w:rFonts w:ascii="宋体" w:hAnsi="宋体" w:cs="宋体" w:eastAsia="宋体"/>
                <w:b/>
                <w:color w:val="000000"/>
                <w:sz w:val="20"/>
              </w:rPr>
              <w:t>：</w:t>
            </w:r>
          </w:p>
          <w:p>
            <w:pPr>
              <w:pStyle w:val="null3"/>
              <w:spacing w:before="210"/>
              <w:ind w:firstLine="361"/>
              <w:jc w:val="both"/>
            </w:pPr>
            <w:r>
              <w:rPr>
                <w:rFonts w:ascii="宋体" w:hAnsi="宋体" w:cs="宋体" w:eastAsia="宋体"/>
                <w:sz w:val="20"/>
              </w:rPr>
              <w:t>第一阶段付款：双方签订合同正式生效后，</w:t>
            </w:r>
            <w:r>
              <w:rPr>
                <w:rFonts w:ascii="宋体" w:hAnsi="宋体" w:cs="宋体" w:eastAsia="宋体"/>
                <w:sz w:val="20"/>
              </w:rPr>
              <w:t>乙方开具合同全额发票，甲方收到发票后</w:t>
            </w:r>
            <w:r>
              <w:rPr>
                <w:rFonts w:ascii="宋体" w:hAnsi="宋体" w:cs="宋体" w:eastAsia="宋体"/>
                <w:sz w:val="20"/>
              </w:rPr>
              <w:t>7个工作日内向乙方支付合同总金额30%货款；</w:t>
            </w:r>
          </w:p>
          <w:p>
            <w:pPr>
              <w:pStyle w:val="null3"/>
              <w:spacing w:before="210"/>
              <w:ind w:firstLine="361"/>
              <w:jc w:val="both"/>
            </w:pPr>
            <w:r>
              <w:rPr>
                <w:rFonts w:ascii="宋体" w:hAnsi="宋体" w:cs="宋体" w:eastAsia="宋体"/>
                <w:sz w:val="20"/>
              </w:rPr>
              <w:t>第二阶段付款：乙方完成设备安装调试，并经甲方验收合格后，</w:t>
            </w:r>
            <w:r>
              <w:rPr>
                <w:rFonts w:ascii="宋体" w:hAnsi="宋体" w:cs="宋体" w:eastAsia="宋体"/>
                <w:sz w:val="20"/>
              </w:rPr>
              <w:t>7个工作日内，甲方应向乙方支付合同</w:t>
            </w:r>
            <w:r>
              <w:rPr>
                <w:rFonts w:ascii="宋体" w:hAnsi="宋体" w:cs="宋体" w:eastAsia="宋体"/>
                <w:sz w:val="20"/>
              </w:rPr>
              <w:t>余</w:t>
            </w:r>
            <w:r>
              <w:rPr>
                <w:rFonts w:ascii="宋体" w:hAnsi="宋体" w:cs="宋体" w:eastAsia="宋体"/>
                <w:sz w:val="20"/>
              </w:rPr>
              <w:t>款</w:t>
            </w:r>
            <w:r>
              <w:rPr>
                <w:rFonts w:ascii="宋体" w:hAnsi="宋体" w:cs="宋体" w:eastAsia="宋体"/>
                <w:sz w:val="20"/>
              </w:rPr>
              <w:t>。</w:t>
            </w:r>
          </w:p>
          <w:p>
            <w:pPr>
              <w:pStyle w:val="null3"/>
              <w:spacing w:before="210"/>
              <w:jc w:val="both"/>
            </w:pPr>
            <w:r>
              <w:rPr>
                <w:rFonts w:ascii="宋体" w:hAnsi="宋体" w:cs="宋体" w:eastAsia="宋体"/>
                <w:b/>
                <w:sz w:val="20"/>
              </w:rPr>
              <w:t>7</w:t>
            </w:r>
            <w:r>
              <w:rPr>
                <w:rFonts w:ascii="宋体" w:hAnsi="宋体" w:cs="宋体" w:eastAsia="宋体"/>
                <w:b/>
                <w:sz w:val="20"/>
              </w:rPr>
              <w:t>、质量保证及售后服务：</w:t>
            </w:r>
          </w:p>
          <w:p>
            <w:pPr>
              <w:pStyle w:val="null3"/>
              <w:ind w:firstLine="420"/>
              <w:jc w:val="both"/>
            </w:pPr>
            <w:r>
              <w:rPr>
                <w:rFonts w:ascii="宋体" w:hAnsi="宋体" w:cs="宋体" w:eastAsia="宋体"/>
                <w:b/>
                <w:sz w:val="20"/>
              </w:rPr>
              <w:t xml:space="preserve"> </w:t>
            </w:r>
            <w:r>
              <w:rPr>
                <w:rFonts w:ascii="宋体" w:hAnsi="宋体" w:cs="宋体" w:eastAsia="宋体"/>
                <w:b/>
                <w:sz w:val="20"/>
              </w:rPr>
              <w:t>（</w:t>
            </w:r>
            <w:r>
              <w:rPr>
                <w:rFonts w:ascii="宋体" w:hAnsi="宋体" w:cs="宋体" w:eastAsia="宋体"/>
                <w:b/>
                <w:sz w:val="20"/>
              </w:rPr>
              <w:t>1）产品质量保证要求</w:t>
            </w:r>
          </w:p>
          <w:p>
            <w:pPr>
              <w:pStyle w:val="null3"/>
              <w:spacing w:before="210"/>
              <w:ind w:firstLine="380"/>
              <w:jc w:val="both"/>
            </w:pPr>
            <w:r>
              <w:rPr>
                <w:rFonts w:ascii="宋体" w:hAnsi="宋体" w:cs="宋体" w:eastAsia="宋体"/>
                <w:sz w:val="20"/>
              </w:rPr>
              <w:t>中标方应具备与本项目匹配的服务能力，以响应招标人的技术服务要求。</w:t>
            </w:r>
          </w:p>
          <w:p>
            <w:pPr>
              <w:pStyle w:val="null3"/>
              <w:spacing w:before="210"/>
              <w:ind w:firstLine="380"/>
              <w:jc w:val="both"/>
            </w:pPr>
            <w:r>
              <w:rPr>
                <w:rFonts w:ascii="宋体" w:hAnsi="宋体" w:cs="宋体" w:eastAsia="宋体"/>
                <w:sz w:val="20"/>
              </w:rPr>
              <w:t>所有产品的</w:t>
            </w:r>
            <w:r>
              <w:rPr>
                <w:rFonts w:ascii="宋体" w:hAnsi="宋体" w:cs="宋体" w:eastAsia="宋体"/>
                <w:color w:val="000000"/>
                <w:sz w:val="20"/>
              </w:rPr>
              <w:t>质保期自最终验收合格书签订之日起开始计算，提供不少于叁年的免费维护。保证技术指标先进、质量性能可靠、功能齐全、配置合理，全面满足招标要求。</w:t>
            </w:r>
          </w:p>
          <w:p>
            <w:pPr>
              <w:pStyle w:val="null3"/>
              <w:spacing w:before="210"/>
              <w:ind w:firstLine="380"/>
              <w:jc w:val="both"/>
            </w:pPr>
            <w:r>
              <w:rPr>
                <w:rFonts w:ascii="宋体" w:hAnsi="宋体" w:cs="宋体" w:eastAsia="宋体"/>
                <w:color w:val="000000"/>
                <w:sz w:val="20"/>
              </w:rPr>
              <w:t>供应商在质保期，适当满足医院因工作或政策原因需要的现场二次开发。</w:t>
            </w:r>
          </w:p>
          <w:p>
            <w:pPr>
              <w:pStyle w:val="null3"/>
              <w:jc w:val="left"/>
              <w:outlineLvl w:val="3"/>
            </w:pPr>
            <w:r>
              <w:rPr>
                <w:rFonts w:ascii="宋体" w:hAnsi="宋体" w:cs="宋体" w:eastAsia="宋体"/>
                <w:b/>
                <w:color w:val="000000"/>
                <w:sz w:val="20"/>
              </w:rPr>
              <w:t>（</w:t>
            </w:r>
            <w:r>
              <w:rPr>
                <w:rFonts w:ascii="宋体" w:hAnsi="宋体" w:cs="宋体" w:eastAsia="宋体"/>
                <w:b/>
                <w:color w:val="000000"/>
                <w:sz w:val="20"/>
              </w:rPr>
              <w:t>2</w:t>
            </w:r>
            <w:r>
              <w:rPr>
                <w:rFonts w:ascii="宋体" w:hAnsi="宋体" w:cs="宋体" w:eastAsia="宋体"/>
                <w:b/>
                <w:color w:val="000000"/>
                <w:sz w:val="20"/>
              </w:rPr>
              <w:t>）</w:t>
            </w:r>
            <w:r>
              <w:rPr>
                <w:rFonts w:ascii="宋体" w:hAnsi="宋体" w:cs="宋体" w:eastAsia="宋体"/>
                <w:b/>
                <w:color w:val="000000"/>
                <w:sz w:val="20"/>
              </w:rPr>
              <w:t>售后服务要求</w:t>
            </w:r>
          </w:p>
          <w:p>
            <w:pPr>
              <w:pStyle w:val="null3"/>
              <w:jc w:val="left"/>
              <w:outlineLvl w:val="3"/>
            </w:pPr>
            <w:r>
              <w:rPr>
                <w:rFonts w:ascii="宋体" w:hAnsi="宋体" w:cs="宋体" w:eastAsia="宋体"/>
                <w:b/>
                <w:color w:val="000000"/>
                <w:sz w:val="20"/>
              </w:rPr>
              <w:t>保障至少</w:t>
            </w:r>
            <w:r>
              <w:rPr>
                <w:rFonts w:ascii="宋体" w:hAnsi="宋体" w:cs="宋体" w:eastAsia="宋体"/>
                <w:b/>
                <w:color w:val="000000"/>
                <w:sz w:val="20"/>
              </w:rPr>
              <w:t>1人能及时处理软件系统的日常问题，售后运维人员需具备具体维护能力与资质（工作年限、实施案例），确保核心业务系统零宕机。中标人需设有售后服务机构/办事处，以便提供及时有效的技术服务支持。</w:t>
            </w:r>
          </w:p>
          <w:p>
            <w:pPr>
              <w:pStyle w:val="null3"/>
              <w:jc w:val="left"/>
              <w:outlineLvl w:val="3"/>
            </w:pPr>
            <w:r>
              <w:rPr>
                <w:rFonts w:ascii="宋体" w:hAnsi="宋体" w:cs="宋体" w:eastAsia="宋体"/>
                <w:b/>
                <w:color w:val="000000"/>
                <w:sz w:val="20"/>
              </w:rPr>
              <w:t>（</w:t>
            </w:r>
            <w:r>
              <w:rPr>
                <w:rFonts w:ascii="宋体" w:hAnsi="宋体" w:cs="宋体" w:eastAsia="宋体"/>
                <w:b/>
                <w:color w:val="000000"/>
                <w:sz w:val="20"/>
              </w:rPr>
              <w:t>3</w:t>
            </w:r>
            <w:r>
              <w:rPr>
                <w:rFonts w:ascii="宋体" w:hAnsi="宋体" w:cs="宋体" w:eastAsia="宋体"/>
                <w:b/>
                <w:color w:val="000000"/>
                <w:sz w:val="20"/>
              </w:rPr>
              <w:t>）</w:t>
            </w:r>
            <w:r>
              <w:rPr>
                <w:rFonts w:ascii="宋体" w:hAnsi="宋体" w:cs="宋体" w:eastAsia="宋体"/>
                <w:b/>
                <w:color w:val="000000"/>
                <w:sz w:val="20"/>
              </w:rPr>
              <w:t>质保期内要求</w:t>
            </w:r>
          </w:p>
          <w:p>
            <w:pPr>
              <w:pStyle w:val="null3"/>
              <w:spacing w:before="210"/>
              <w:ind w:firstLine="380"/>
              <w:jc w:val="both"/>
            </w:pPr>
            <w:r>
              <w:rPr>
                <w:rFonts w:ascii="宋体" w:hAnsi="宋体" w:cs="宋体" w:eastAsia="宋体"/>
                <w:sz w:val="20"/>
              </w:rPr>
              <w:t>①工程建设期间及质保</w:t>
            </w:r>
            <w:r>
              <w:rPr>
                <w:rFonts w:ascii="宋体" w:hAnsi="宋体" w:cs="宋体" w:eastAsia="宋体"/>
                <w:color w:val="000000"/>
                <w:sz w:val="20"/>
              </w:rPr>
              <w:t>期均属于免费服务期，该期限内的所有售后服务，包括软件维护所产生的费用均由中标方承担。</w:t>
            </w:r>
          </w:p>
          <w:p>
            <w:pPr>
              <w:pStyle w:val="null3"/>
              <w:spacing w:before="210"/>
              <w:ind w:firstLine="380"/>
              <w:jc w:val="both"/>
            </w:pPr>
            <w:r>
              <w:rPr>
                <w:rFonts w:ascii="宋体" w:hAnsi="宋体" w:cs="宋体" w:eastAsia="宋体"/>
                <w:color w:val="000000"/>
                <w:sz w:val="20"/>
              </w:rPr>
              <w:t>②响应时间：中标方在投标文件中必须明确承诺售后服务响应时间，并不得低于以下标准：提供 7×24 电话或电子邮件服务，接到招标方报修通知 2 小时内做出明确响应和安排，8 小时内做出故障诊断报告。如需现场服务的，具有解决故障能力的工程师应在接到报修通知1小时内到达现场，如中标方有特殊原因无法安排人员到达现场的可通过与招标方协商通过远程等方式解决。</w:t>
            </w:r>
          </w:p>
          <w:p>
            <w:pPr>
              <w:pStyle w:val="null3"/>
              <w:ind w:firstLine="420"/>
              <w:jc w:val="both"/>
            </w:pPr>
            <w:r>
              <w:rPr>
                <w:rFonts w:ascii="宋体" w:hAnsi="宋体" w:cs="宋体" w:eastAsia="宋体"/>
                <w:color w:val="000000"/>
                <w:sz w:val="20"/>
              </w:rPr>
              <w:t>③每年提供12次系统巡检，不限次数的现场维护。并向</w:t>
            </w:r>
            <w:r>
              <w:rPr>
                <w:rFonts w:ascii="宋体" w:hAnsi="宋体" w:cs="宋体" w:eastAsia="宋体"/>
                <w:sz w:val="20"/>
              </w:rPr>
              <w:t>最终用户提供</w:t>
            </w:r>
            <w:r>
              <w:rPr>
                <w:rFonts w:ascii="宋体" w:hAnsi="宋体" w:cs="宋体" w:eastAsia="宋体"/>
                <w:sz w:val="20"/>
              </w:rPr>
              <w:t>12次巡检单（一式两份，由双方签字确认），内容包含但不限于巡检时间、巡检内容、巡检结果。</w:t>
            </w:r>
          </w:p>
          <w:p>
            <w:pPr>
              <w:pStyle w:val="null3"/>
              <w:jc w:val="left"/>
              <w:outlineLvl w:val="3"/>
            </w:pPr>
            <w:r>
              <w:rPr>
                <w:rFonts w:ascii="宋体" w:hAnsi="宋体" w:cs="宋体" w:eastAsia="宋体"/>
                <w:b/>
                <w:sz w:val="20"/>
              </w:rPr>
              <w:t>（</w:t>
            </w:r>
            <w:r>
              <w:rPr>
                <w:rFonts w:ascii="宋体" w:hAnsi="宋体" w:cs="宋体" w:eastAsia="宋体"/>
                <w:b/>
                <w:sz w:val="20"/>
              </w:rPr>
              <w:t>4</w:t>
            </w:r>
            <w:r>
              <w:rPr>
                <w:rFonts w:ascii="宋体" w:hAnsi="宋体" w:cs="宋体" w:eastAsia="宋体"/>
                <w:b/>
                <w:sz w:val="20"/>
              </w:rPr>
              <w:t>）</w:t>
            </w:r>
            <w:r>
              <w:rPr>
                <w:rFonts w:ascii="宋体" w:hAnsi="宋体" w:cs="宋体" w:eastAsia="宋体"/>
                <w:b/>
                <w:sz w:val="20"/>
              </w:rPr>
              <w:t>质保期满后</w:t>
            </w:r>
          </w:p>
          <w:p>
            <w:pPr>
              <w:pStyle w:val="null3"/>
              <w:ind w:left="420" w:firstLine="420"/>
              <w:jc w:val="both"/>
            </w:pPr>
            <w:r>
              <w:rPr>
                <w:rFonts w:ascii="宋体" w:hAnsi="宋体" w:cs="宋体" w:eastAsia="宋体"/>
                <w:sz w:val="20"/>
              </w:rPr>
              <w:t>中标人应保证以合理优惠的价格提供维护和升级服务，年度运维服务费限定合同总金额</w:t>
            </w:r>
            <w:r>
              <w:rPr>
                <w:rFonts w:ascii="宋体" w:hAnsi="宋体" w:cs="宋体" w:eastAsia="宋体"/>
                <w:sz w:val="20"/>
              </w:rPr>
              <w:t>8%以内，具体金额以双方协商确定为准，当发生故障时，中标服务商应按质保期内相同的服务标准进行维护处理。</w:t>
            </w:r>
          </w:p>
          <w:p>
            <w:pPr>
              <w:pStyle w:val="null3"/>
              <w:spacing w:before="210"/>
              <w:ind w:firstLine="54"/>
              <w:jc w:val="both"/>
            </w:pPr>
            <w:r>
              <w:rPr>
                <w:rFonts w:ascii="宋体" w:hAnsi="宋体" w:cs="宋体" w:eastAsia="宋体"/>
                <w:b/>
                <w:sz w:val="20"/>
              </w:rPr>
              <w:t>8</w:t>
            </w:r>
            <w:r>
              <w:rPr>
                <w:rFonts w:ascii="宋体" w:hAnsi="宋体" w:cs="宋体" w:eastAsia="宋体"/>
                <w:b/>
                <w:sz w:val="20"/>
              </w:rPr>
              <w:t>、培训要求：</w:t>
            </w:r>
          </w:p>
          <w:p>
            <w:pPr>
              <w:pStyle w:val="null3"/>
              <w:spacing w:before="210"/>
              <w:ind w:firstLine="380"/>
              <w:jc w:val="both"/>
            </w:pPr>
            <w:r>
              <w:rPr>
                <w:rFonts w:ascii="宋体" w:hAnsi="宋体" w:cs="宋体" w:eastAsia="宋体"/>
                <w:sz w:val="20"/>
              </w:rPr>
              <w:t>中标方必须向招标方提供免费培训，提供完整的人员培训计划，培训内容充实，安排合理；对使用单位所有使用人员和系统管理员进行软件系统使用及维护免费培训，使采购单位相关操作人员了解系统软件模块、工作原理，并能熟练应用软件，具有能排除一般故障的能力。</w:t>
            </w:r>
          </w:p>
        </w:tc>
      </w:tr>
    </w:tbl>
    <w:p>
      <w:pPr>
        <w:pStyle w:val="null3"/>
        <w:outlineLvl w:val="2"/>
      </w:pPr>
      <w:r>
        <w:rPr>
          <w:b/>
          <w:sz w:val="28"/>
        </w:rPr>
        <w:t>3.2.3人员配置要求</w:t>
      </w:r>
    </w:p>
    <w:p>
      <w:pPr>
        <w:pStyle w:val="null3"/>
      </w:pPr>
      <w:r>
        <w:rPr/>
        <w:t>采购包1：</w:t>
      </w:r>
    </w:p>
    <w:p>
      <w:pPr>
        <w:pStyle w:val="null3"/>
      </w:pPr>
      <w:r>
        <w:rPr/>
        <w:t>根据采购文件采购要求执行</w:t>
      </w:r>
    </w:p>
    <w:p>
      <w:pPr>
        <w:pStyle w:val="null3"/>
      </w:pPr>
      <w:r>
        <w:rPr/>
        <w:t>采购包2：</w:t>
      </w:r>
    </w:p>
    <w:p>
      <w:pPr>
        <w:pStyle w:val="null3"/>
      </w:pPr>
      <w:r>
        <w:rPr/>
        <w:t>根据采购文件采购要求执行</w:t>
      </w:r>
    </w:p>
    <w:p>
      <w:pPr>
        <w:pStyle w:val="null3"/>
        <w:outlineLvl w:val="2"/>
      </w:pPr>
      <w:r>
        <w:rPr>
          <w:b/>
          <w:sz w:val="28"/>
        </w:rPr>
        <w:t>3.2.4设施设备要求</w:t>
      </w:r>
    </w:p>
    <w:p>
      <w:pPr>
        <w:pStyle w:val="null3"/>
      </w:pPr>
      <w:r>
        <w:rPr/>
        <w:t>采购包1：</w:t>
      </w:r>
    </w:p>
    <w:p>
      <w:pPr>
        <w:pStyle w:val="null3"/>
      </w:pPr>
      <w:r>
        <w:rPr/>
        <w:t>根据采购文件采购要求执行</w:t>
      </w:r>
    </w:p>
    <w:p>
      <w:pPr>
        <w:pStyle w:val="null3"/>
      </w:pPr>
      <w:r>
        <w:rPr/>
        <w:t>采购包2：</w:t>
      </w:r>
    </w:p>
    <w:p>
      <w:pPr>
        <w:pStyle w:val="null3"/>
      </w:pPr>
      <w:r>
        <w:rPr/>
        <w:t>根据采购文件采购要求执行</w:t>
      </w:r>
    </w:p>
    <w:p>
      <w:pPr>
        <w:pStyle w:val="null3"/>
        <w:outlineLvl w:val="2"/>
      </w:pPr>
      <w:r>
        <w:rPr>
          <w:b/>
          <w:sz w:val="28"/>
        </w:rPr>
        <w:t>3.2.5其他要求</w:t>
      </w:r>
    </w:p>
    <w:p>
      <w:pPr>
        <w:pStyle w:val="null3"/>
      </w:pPr>
      <w:r>
        <w:rPr/>
        <w:t>采购包1：</w:t>
      </w:r>
    </w:p>
    <w:p>
      <w:pPr>
        <w:pStyle w:val="null3"/>
      </w:pPr>
      <w:r>
        <w:rPr/>
        <w:t>中标供应商领取成交通知书后，向采购代理机构提供一正两副（和上传文件保持一致的）纸质响应文件用于备案及档案保存。</w:t>
      </w:r>
    </w:p>
    <w:p>
      <w:pPr>
        <w:pStyle w:val="null3"/>
      </w:pPr>
      <w:r>
        <w:rPr/>
        <w:t>采购包2：</w:t>
      </w:r>
    </w:p>
    <w:p>
      <w:pPr>
        <w:pStyle w:val="null3"/>
      </w:pPr>
      <w:r>
        <w:rPr/>
        <w:t>中标供应商领取成交通知书后，向采购代理机构提供一正两副（和上传文件保持一致的）纸质响应文件用于备案及档案保存。</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自合同签订之日起90日</w:t>
      </w:r>
    </w:p>
    <w:p>
      <w:pPr>
        <w:pStyle w:val="null3"/>
      </w:pPr>
      <w:r>
        <w:rPr/>
        <w:t>采购包2：</w:t>
      </w:r>
    </w:p>
    <w:p>
      <w:pPr>
        <w:pStyle w:val="null3"/>
      </w:pPr>
      <w:r>
        <w:rPr/>
        <w:t>自合同签订之日起90日</w:t>
      </w:r>
    </w:p>
    <w:p>
      <w:pPr>
        <w:pStyle w:val="null3"/>
        <w:outlineLvl w:val="3"/>
      </w:pPr>
      <w:r>
        <w:rPr>
          <w:b/>
          <w:sz w:val="24"/>
        </w:rPr>
        <w:t>3.3.2服务地点</w:t>
      </w:r>
    </w:p>
    <w:p>
      <w:pPr>
        <w:pStyle w:val="null3"/>
      </w:pPr>
      <w:r>
        <w:rPr/>
        <w:t>采购包1：</w:t>
      </w:r>
    </w:p>
    <w:p>
      <w:pPr>
        <w:pStyle w:val="null3"/>
      </w:pPr>
      <w:r>
        <w:rPr/>
        <w:t>西安市第一医院指定地点</w:t>
      </w:r>
    </w:p>
    <w:p>
      <w:pPr>
        <w:pStyle w:val="null3"/>
      </w:pPr>
      <w:r>
        <w:rPr/>
        <w:t>采购包2：</w:t>
      </w:r>
    </w:p>
    <w:p>
      <w:pPr>
        <w:pStyle w:val="null3"/>
      </w:pPr>
      <w:r>
        <w:rPr/>
        <w:t>西安市第一医院指定地点</w:t>
      </w:r>
    </w:p>
    <w:p>
      <w:pPr>
        <w:pStyle w:val="null3"/>
        <w:outlineLvl w:val="3"/>
      </w:pPr>
      <w:r>
        <w:rPr>
          <w:b/>
          <w:sz w:val="24"/>
        </w:rPr>
        <w:t>3.3.3考核（验收）标准和方法</w:t>
      </w:r>
    </w:p>
    <w:p>
      <w:pPr>
        <w:pStyle w:val="null3"/>
      </w:pPr>
      <w:r>
        <w:rPr/>
        <w:t>采购包1：</w:t>
      </w:r>
    </w:p>
    <w:p>
      <w:pPr>
        <w:pStyle w:val="null3"/>
      </w:pPr>
      <w:r>
        <w:rPr/>
        <w:t>按采购文件和投标文件执行</w:t>
      </w:r>
    </w:p>
    <w:p>
      <w:pPr>
        <w:pStyle w:val="null3"/>
      </w:pPr>
      <w:r>
        <w:rPr/>
        <w:t>采购包2：</w:t>
      </w:r>
    </w:p>
    <w:p>
      <w:pPr>
        <w:pStyle w:val="null3"/>
      </w:pPr>
      <w:r>
        <w:rPr/>
        <w:t>按采购文件和投标文件执行</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双方签订合同正式生效后，乙方开具合同全额发票，甲方收到发票后7个工作日内</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乙方完成设备安装调试，并经甲方验收合格后，7个工作日内</w:t>
      </w:r>
      <w:r>
        <w:rPr/>
        <w:t xml:space="preserve"> ，达到付款条件起 </w:t>
      </w:r>
      <w:r>
        <w:rPr/>
        <w:t>7</w:t>
      </w:r>
      <w:r>
        <w:rPr/>
        <w:t xml:space="preserve"> 日内，支付合同总金额的 </w:t>
      </w:r>
      <w:r>
        <w:rPr/>
        <w:t>70.00</w:t>
      </w:r>
      <w:r>
        <w:rPr/>
        <w:t>%。</w:t>
      </w:r>
    </w:p>
    <w:p>
      <w:pPr>
        <w:pStyle w:val="null3"/>
      </w:pPr>
      <w:r>
        <w:rPr/>
        <w:t>采购包2：</w:t>
      </w:r>
      <w:r>
        <w:rPr/>
        <w:t xml:space="preserve"> 付款条件说明： </w:t>
      </w:r>
      <w:r>
        <w:rPr/>
        <w:t>双方签订合同正式生效后，乙方开具合同全额发票甲方收到发票后7个工作日内</w:t>
      </w:r>
      <w:r>
        <w:rPr/>
        <w:t xml:space="preserve"> ，达到付款条件起 </w:t>
      </w:r>
      <w:r>
        <w:rPr/>
        <w:t>7</w:t>
      </w:r>
      <w:r>
        <w:rPr/>
        <w:t xml:space="preserve"> 日内，支付合同总金额的 </w:t>
      </w:r>
      <w:r>
        <w:rPr/>
        <w:t>30.00</w:t>
      </w:r>
      <w:r>
        <w:rPr/>
        <w:t>%。</w:t>
      </w:r>
    </w:p>
    <w:p>
      <w:pPr>
        <w:pStyle w:val="null3"/>
      </w:pPr>
      <w:r>
        <w:rPr/>
        <w:t>采购包2：</w:t>
      </w:r>
      <w:r>
        <w:rPr/>
        <w:t xml:space="preserve"> 付款条件说明： </w:t>
      </w:r>
      <w:r>
        <w:rPr/>
        <w:t>乙方完成设备安装调试，并经甲方验收合格后，7个工作日内</w:t>
      </w:r>
      <w:r>
        <w:rPr/>
        <w:t xml:space="preserve"> ，达到付款条件起 </w:t>
      </w:r>
      <w:r>
        <w:rPr/>
        <w:t>7</w:t>
      </w:r>
      <w:r>
        <w:rPr/>
        <w:t xml:space="preserve"> 日内，支付合同总金额的 </w:t>
      </w:r>
      <w:r>
        <w:rPr/>
        <w:t>70.00</w:t>
      </w:r>
      <w:r>
        <w:rPr/>
        <w:t>%。</w:t>
      </w:r>
    </w:p>
    <w:p>
      <w:pPr>
        <w:pStyle w:val="null3"/>
        <w:outlineLvl w:val="3"/>
      </w:pPr>
      <w:r>
        <w:rPr>
          <w:b/>
          <w:sz w:val="24"/>
        </w:rPr>
        <w:t>3.3.6违约责任及解决争议的方法</w:t>
      </w:r>
    </w:p>
    <w:p>
      <w:pPr>
        <w:pStyle w:val="null3"/>
      </w:pPr>
      <w:r>
        <w:rPr/>
        <w:t>采购包1：</w:t>
      </w:r>
    </w:p>
    <w:p>
      <w:pPr>
        <w:pStyle w:val="null3"/>
      </w:pPr>
      <w:r>
        <w:rPr/>
        <w:t>按采购文件和投标文件执行</w:t>
      </w:r>
    </w:p>
    <w:p>
      <w:pPr>
        <w:pStyle w:val="null3"/>
      </w:pPr>
      <w:r>
        <w:rPr/>
        <w:t>采购包2：</w:t>
      </w:r>
    </w:p>
    <w:p>
      <w:pPr>
        <w:pStyle w:val="null3"/>
      </w:pPr>
      <w:r>
        <w:rPr/>
        <w:t>按采购文件和投标文件执行</w:t>
      </w:r>
    </w:p>
    <w:p>
      <w:pPr>
        <w:pStyle w:val="null3"/>
        <w:outlineLvl w:val="2"/>
      </w:pPr>
      <w:r>
        <w:rPr>
          <w:b/>
          <w:sz w:val="28"/>
        </w:rPr>
        <w:t>3.4其他要求</w:t>
      </w:r>
    </w:p>
    <w:p>
      <w:pPr>
        <w:pStyle w:val="null3"/>
      </w:pPr>
      <w:r>
        <w:rPr/>
        <w:t>1、安全要求 （1）软件安全性必须按照《信息系统安全等级保护基本要求》三级进行设计，对口令、密码必须规范设计，并配合院方完成三级等保测评和备案。 （2）供应商需保证所投软件无版权纠纷（需提供承诺书，并加盖公章）。 2、包1项目实施： （1）建设周期：合同签订且符合入场条件后，90天内完成安装、调试、试运行并通过验收。 （2）供应商需提供项目详尽的实施方案和实施进度表。 （3）供应商在实施时，必须满足医院因工作需要的现场二次开发任务 （4）完成本项目涉及与院内现有系统（如：HIS、集成平台、CDR、EMR、CA等的对接，且所含的所有接口费用包含在本项目之内）。 包2项目实施： （1）建设周期：合同签订且符合入场条件后，90天内完成安装、调试、试运行并通过验收。 （2）供应商需提供项目详尽的实施方案和实施进度表。 （3）供应商在实施时，必须满足医院因工作需要的现场二次开发任务。 （4）完成本项目涉及与院内现有系统（如：HIS、集成平台、CDR、EMR、CA等的对接，且所含的所有接口费用包含在本项目之内）。 （5）完成高新院区与粉巷院区数据融合，两院区能相互查询患者，并相互调阅检查报告和检查影像。中标方与粉巷院区原系统厂商协调解决，相关费用包含在本项目之内。 3、项目交付文件：包含不限于全部系统相关说明书、技术文件、资料、测试、试运行、验收报告等文档汇集成册交付。 4、项目验收： 中标人在完成本项目全部内容后，上线试运行30天无问题后，按《西安市第一医院信息科项目验收制度》提请验收，并提供项目源代码（开发）。 验收依据：招、投标文件、合同 5.履约保证金的交付和退还： （1）投标人应当按照中标合同总金额的5%作为履约保证金交付给采购人。 （2）保证期为中标（成交）通知书到达中标投标人之日起至项目质保期结束日。 （3）保证期满投标人如约履行合同的，采购人在合同服务期结束之日起30日内退还履约保证金（无息）。 6、付款方式： 第一阶段付款：双方签订合同正式生效后，乙方开具合同全额发票，甲方收到发票后7个工作日内向乙方支付合同总金额30%货款； 第二阶段付款：乙方完成设备安装调试，并经甲方验收合格后，7个工作日内，甲方应向乙方支付合同余款； 7、质量保证及售后服务： （1）产品质量保证要求 中标方应具备与本项目匹配的服务能力，以响应招标人的技术服务要求。 所有产品的质保期自最终验收合格书签订之日起开始计算，提供不少于叁年的免费维护。保证技术指标先进、质量性能可靠、功能齐全、配置合理，全面满足招标要求。 供应商在质保期，适当满足医院因工作或政策原因需要的现场二次开发。 （2）售后服务要求 保障至少1人能及时处理软件系统的日常问题，售后运维人员需具备具体维护能力与资质（工作年限、实施案例），确保核心业务系统零宕机。中标人需设有售后服务机构/办事处，以便提供及时有效的技术服务支持。 （3）质保期内要求 ①工程建设期间及质保期均属于免费服务期，该期限内的所有售后服务，包括软件维护所产生的费用均由中标方承担。 ②响应时间：中标方在投标文件中必须明确承诺售后服务响应时间，并不得低于以下标准：提供 7×24 电话或电子邮件服务，接到招标方报修通知 2 小时内做出明确响应和安排，8 小时内做出故障诊断报告。如需现场服务的，具有解决故障能力的工程师应在接到报修通知1小时内到达现场，如中标方有特殊原因无法安排人员到达现场的可通过与招标方协商通过远程等方式解决。 ③每年提供12次系统巡检，不限次数的现场维护。并向最终用户提供12次巡检单（一式两份，由双方签字确认），内容包含但不限于巡检时间、巡检内容、巡检结果。 （4）质保期满后 中标人应保证以合理优惠的价格提供维护和升级服务，年度运维服务费限定合同总金额8%以内，具体金额以双方协商确定为准，当发生故障时，中标服务商应按质保期内相同的服务标准进行维护处理。 8、培训要求： 中标方必须向招标方提供免费培训，提供完整的人员培训计划，培训内容充实，安排合理；对使用单位所有使用人员和系统管理员进行软件系统使用及维护免费培训，使采购单位相关操作人员了解系统软件模块、工作原理，并能熟练应用软件，具有能排除一般故障的能力。</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t>响应文件封面 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t>响应文件封面 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 2023 年 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参加政府采购活动前 3 年内在经营活动中没有重大违法记录的书面声明</w:t>
            </w:r>
          </w:p>
        </w:tc>
        <w:tc>
          <w:tcPr>
            <w:tcW w:type="dxa" w:w="3322"/>
          </w:tcPr>
          <w:p>
            <w:pPr>
              <w:pStyle w:val="null3"/>
            </w:pPr>
            <w:r>
              <w:rPr/>
              <w:t>参加政府采购活动前 3 年内在经营活动中没有重大违法记录的书面声明；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本项目不接受由西安市第一医院职工及其亲属投资举办的企业参加投标；</w:t>
            </w:r>
          </w:p>
        </w:tc>
        <w:tc>
          <w:tcPr>
            <w:tcW w:type="dxa" w:w="3322"/>
          </w:tcPr>
          <w:p>
            <w:pPr>
              <w:pStyle w:val="null3"/>
            </w:pPr>
            <w:r>
              <w:rPr/>
              <w:t>本项目不接受由西安市第一医院职工及其亲属投资举办的企业参加投标；</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 2023 年 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参加政府采购活动前 3 年内在经营活动中没有重大违法记录的书面声明</w:t>
            </w:r>
          </w:p>
        </w:tc>
        <w:tc>
          <w:tcPr>
            <w:tcW w:type="dxa" w:w="3322"/>
          </w:tcPr>
          <w:p>
            <w:pPr>
              <w:pStyle w:val="null3"/>
            </w:pPr>
            <w:r>
              <w:rPr/>
              <w:t>参加政府采购活动前 3 年内在经营活动中没有重大违法记录的书面声明；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本项目不接受由西安市第一医院职工及其亲属投资举办的企业参加投标；</w:t>
            </w:r>
          </w:p>
        </w:tc>
        <w:tc>
          <w:tcPr>
            <w:tcW w:type="dxa" w:w="3322"/>
          </w:tcPr>
          <w:p>
            <w:pPr>
              <w:pStyle w:val="null3"/>
            </w:pPr>
            <w:r>
              <w:rPr/>
              <w:t>本项目不接受由西安市第一医院职工及其亲属投资举办的企业参加投标；</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 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 （注：书面说明应当按照国家财务会计制度的规定要求，逐项就投标人提供的货物、工程和服务的主营业务成本(应根据投标人企业类型予以区别)、税金及附加、销售费用、管理费用、财务费用等成本构成事项详细陈述。）</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响应报价</w:t>
            </w:r>
          </w:p>
        </w:tc>
        <w:tc>
          <w:tcPr>
            <w:tcW w:type="dxa" w:w="3322"/>
          </w:tcPr>
          <w:p>
            <w:pPr>
              <w:pStyle w:val="null3"/>
            </w:pPr>
            <w:r>
              <w:rPr/>
              <w:t>响应报价超过采购预算或者最高限价 不合格 响应报价未超过采购预算或者最高限价 合格</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建设周期</w:t>
            </w:r>
          </w:p>
        </w:tc>
        <w:tc>
          <w:tcPr>
            <w:tcW w:type="dxa" w:w="3322"/>
          </w:tcPr>
          <w:p>
            <w:pPr>
              <w:pStyle w:val="null3"/>
            </w:pPr>
            <w:r>
              <w:rPr/>
              <w:t>建设周期不满足竞争性磋商文件要求 不合格 建设周期满足竞争性磋商文件要求 合格</w:t>
            </w:r>
          </w:p>
        </w:tc>
        <w:tc>
          <w:tcPr>
            <w:tcW w:type="dxa" w:w="1661"/>
          </w:tcPr>
          <w:p>
            <w:pPr>
              <w:pStyle w:val="null3"/>
            </w:pPr>
            <w:r>
              <w:rPr/>
              <w:t>报价表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质保期不满足竞争性磋商文件要求 不合格 质保期满足竞争性磋商文件要求 合格</w:t>
            </w:r>
          </w:p>
        </w:tc>
        <w:tc>
          <w:tcPr>
            <w:tcW w:type="dxa" w:w="1661"/>
          </w:tcPr>
          <w:p>
            <w:pPr>
              <w:pStyle w:val="null3"/>
            </w:pPr>
            <w:r>
              <w:rPr/>
              <w:t>报价表</w:t>
            </w:r>
          </w:p>
        </w:tc>
      </w:tr>
      <w:tr>
        <w:tc>
          <w:tcPr>
            <w:tcW w:type="dxa" w:w="831"/>
          </w:tcPr>
          <w:p>
            <w:pPr>
              <w:pStyle w:val="null3"/>
            </w:pPr>
            <w:r>
              <w:rPr/>
              <w:t>5</w:t>
            </w:r>
          </w:p>
        </w:tc>
        <w:tc>
          <w:tcPr>
            <w:tcW w:type="dxa" w:w="2492"/>
          </w:tcPr>
          <w:p>
            <w:pPr>
              <w:pStyle w:val="null3"/>
            </w:pPr>
            <w:r>
              <w:rPr/>
              <w:t>响应文件的签署、盖章</w:t>
            </w:r>
          </w:p>
        </w:tc>
        <w:tc>
          <w:tcPr>
            <w:tcW w:type="dxa" w:w="3322"/>
          </w:tcPr>
          <w:p>
            <w:pPr>
              <w:pStyle w:val="null3"/>
            </w:pPr>
            <w:r>
              <w:rPr/>
              <w:t>响应文件的签署、盖章不符合竞争性磋商文件要求 不合格 响应文件的签署、盖 章符合竞争性磋商文件要求 合格</w:t>
            </w:r>
          </w:p>
        </w:tc>
        <w:tc>
          <w:tcPr>
            <w:tcW w:type="dxa" w:w="1661"/>
          </w:tcPr>
          <w:p>
            <w:pPr>
              <w:pStyle w:val="null3"/>
            </w:pPr>
            <w:r>
              <w:rPr/>
              <w:t>响应文件封面 中小企业声明函 残疾人福利性单位声明函 响应函 监狱企业的证明文件</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响应文件无投标有效期或有效期达不到竞争性磋商文件要求的 不合格 响应文件投标有效期达到竞争性磋商文件要求的合格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响应文件的标的数量不满足采购要求的 不合格 响应文件的标的数量满足采购要求的 合格</w:t>
            </w:r>
          </w:p>
        </w:tc>
        <w:tc>
          <w:tcPr>
            <w:tcW w:type="dxa" w:w="1661"/>
          </w:tcPr>
          <w:p>
            <w:pPr>
              <w:pStyle w:val="null3"/>
            </w:pPr>
            <w:r>
              <w:rPr/>
              <w:t>服务内容及服务邀请应答表 分项报价表 标的清单</w:t>
            </w:r>
          </w:p>
        </w:tc>
      </w:tr>
      <w:tr>
        <w:tc>
          <w:tcPr>
            <w:tcW w:type="dxa" w:w="831"/>
          </w:tcPr>
          <w:p>
            <w:pPr>
              <w:pStyle w:val="null3"/>
            </w:pPr>
            <w:r>
              <w:rPr/>
              <w:t>8</w:t>
            </w:r>
          </w:p>
        </w:tc>
        <w:tc>
          <w:tcPr>
            <w:tcW w:type="dxa" w:w="2492"/>
          </w:tcPr>
          <w:p>
            <w:pPr>
              <w:pStyle w:val="null3"/>
            </w:pPr>
            <w:r>
              <w:rPr/>
              <w:t>附加条件</w:t>
            </w:r>
          </w:p>
        </w:tc>
        <w:tc>
          <w:tcPr>
            <w:tcW w:type="dxa" w:w="3322"/>
          </w:tcPr>
          <w:p>
            <w:pPr>
              <w:pStyle w:val="null3"/>
            </w:pPr>
            <w:r>
              <w:rPr/>
              <w:t>响应文件含有采购人不能接受的附加条件的 不合格 响应文件没有采购人不能接受的附加条件的 合格</w:t>
            </w:r>
          </w:p>
        </w:tc>
        <w:tc>
          <w:tcPr>
            <w:tcW w:type="dxa" w:w="1661"/>
          </w:tcPr>
          <w:p>
            <w:pPr>
              <w:pStyle w:val="null3"/>
            </w:pPr>
            <w:r>
              <w:rPr/>
              <w:t>服务内容及服务邀请应答表 商务应答表</w:t>
            </w:r>
          </w:p>
        </w:tc>
      </w:tr>
      <w:tr>
        <w:tc>
          <w:tcPr>
            <w:tcW w:type="dxa" w:w="831"/>
          </w:tcPr>
          <w:p>
            <w:pPr>
              <w:pStyle w:val="null3"/>
            </w:pPr>
            <w:r>
              <w:rPr/>
              <w:t>9</w:t>
            </w:r>
          </w:p>
        </w:tc>
        <w:tc>
          <w:tcPr>
            <w:tcW w:type="dxa" w:w="2492"/>
          </w:tcPr>
          <w:p>
            <w:pPr>
              <w:pStyle w:val="null3"/>
            </w:pPr>
            <w:r>
              <w:rPr/>
              <w:t>法律、法规和招标文件规定的其他无效情形</w:t>
            </w:r>
          </w:p>
        </w:tc>
        <w:tc>
          <w:tcPr>
            <w:tcW w:type="dxa" w:w="3322"/>
          </w:tcPr>
          <w:p>
            <w:pPr>
              <w:pStyle w:val="null3"/>
            </w:pPr>
            <w:r>
              <w:rPr/>
              <w:t>法律、法规和磋商文件规定 的其他无效情形 不存在法律、法规和招标 文件规定的 其他无效 情形 合 格 ，存在法律、法规和磋商文件规定的其他无效情形 不合格</w:t>
            </w:r>
          </w:p>
        </w:tc>
        <w:tc>
          <w:tcPr>
            <w:tcW w:type="dxa" w:w="1661"/>
          </w:tcPr>
          <w:p>
            <w:pPr>
              <w:pStyle w:val="null3"/>
            </w:pPr>
            <w:r>
              <w:rPr/>
              <w:t>服务内容及服务邀请应答表 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 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 （注：书面说明应当按照国家财务会计制度的规定要求，逐项就投标人提供的货物、工程和服务的主营业务成本(应根据投标人企业类型予以区别)、税金及附加、销售费用、管理费用、财务费用等成本构成事项详细陈述。）</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响应报价</w:t>
            </w:r>
          </w:p>
        </w:tc>
        <w:tc>
          <w:tcPr>
            <w:tcW w:type="dxa" w:w="3322"/>
          </w:tcPr>
          <w:p>
            <w:pPr>
              <w:pStyle w:val="null3"/>
            </w:pPr>
            <w:r>
              <w:rPr/>
              <w:t>响应报价超过采购预算或者最高限价不合格 响应报价未超过采购预算或 者最高限价合格</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建设周期</w:t>
            </w:r>
          </w:p>
        </w:tc>
        <w:tc>
          <w:tcPr>
            <w:tcW w:type="dxa" w:w="3322"/>
          </w:tcPr>
          <w:p>
            <w:pPr>
              <w:pStyle w:val="null3"/>
            </w:pPr>
            <w:r>
              <w:rPr/>
              <w:t>建设周期不满足竞争性磋商文件要求 不合格 建设周期满足竞争性磋商文件要求 合格</w:t>
            </w:r>
          </w:p>
        </w:tc>
        <w:tc>
          <w:tcPr>
            <w:tcW w:type="dxa" w:w="1661"/>
          </w:tcPr>
          <w:p>
            <w:pPr>
              <w:pStyle w:val="null3"/>
            </w:pPr>
            <w:r>
              <w:rPr/>
              <w:t>报价表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质保期不满足竞争性磋商文件要求 不合格 质保期满足竞争性磋商文件要求 合格</w:t>
            </w:r>
          </w:p>
        </w:tc>
        <w:tc>
          <w:tcPr>
            <w:tcW w:type="dxa" w:w="1661"/>
          </w:tcPr>
          <w:p>
            <w:pPr>
              <w:pStyle w:val="null3"/>
            </w:pPr>
            <w:r>
              <w:rPr/>
              <w:t>报价表</w:t>
            </w:r>
          </w:p>
        </w:tc>
      </w:tr>
      <w:tr>
        <w:tc>
          <w:tcPr>
            <w:tcW w:type="dxa" w:w="831"/>
          </w:tcPr>
          <w:p>
            <w:pPr>
              <w:pStyle w:val="null3"/>
            </w:pPr>
            <w:r>
              <w:rPr/>
              <w:t>5</w:t>
            </w:r>
          </w:p>
        </w:tc>
        <w:tc>
          <w:tcPr>
            <w:tcW w:type="dxa" w:w="2492"/>
          </w:tcPr>
          <w:p>
            <w:pPr>
              <w:pStyle w:val="null3"/>
            </w:pPr>
            <w:r>
              <w:rPr/>
              <w:t>响应文件的签署、盖章</w:t>
            </w:r>
          </w:p>
        </w:tc>
        <w:tc>
          <w:tcPr>
            <w:tcW w:type="dxa" w:w="3322"/>
          </w:tcPr>
          <w:p>
            <w:pPr>
              <w:pStyle w:val="null3"/>
            </w:pPr>
            <w:r>
              <w:rPr/>
              <w:t>响应文件的签署、盖章不符合竞争性磋商文件要求 不合格 响应文件的签署、盖 章符合竞争性磋商文件要求 合格</w:t>
            </w:r>
          </w:p>
        </w:tc>
        <w:tc>
          <w:tcPr>
            <w:tcW w:type="dxa" w:w="1661"/>
          </w:tcPr>
          <w:p>
            <w:pPr>
              <w:pStyle w:val="null3"/>
            </w:pPr>
            <w:r>
              <w:rPr/>
              <w:t>响应文件封面 中小企业声明函 残疾人福利性单位声明函 响应函 监狱企业的证明文件</w:t>
            </w:r>
          </w:p>
        </w:tc>
      </w:tr>
      <w:tr>
        <w:tc>
          <w:tcPr>
            <w:tcW w:type="dxa" w:w="831"/>
          </w:tcPr>
          <w:p>
            <w:pPr>
              <w:pStyle w:val="null3"/>
            </w:pPr>
            <w:r>
              <w:rPr/>
              <w:t>6</w:t>
            </w:r>
          </w:p>
        </w:tc>
        <w:tc>
          <w:tcPr>
            <w:tcW w:type="dxa" w:w="2492"/>
          </w:tcPr>
          <w:p>
            <w:pPr>
              <w:pStyle w:val="null3"/>
            </w:pPr>
            <w:r>
              <w:rPr/>
              <w:t>响应有效期</w:t>
            </w:r>
          </w:p>
        </w:tc>
        <w:tc>
          <w:tcPr>
            <w:tcW w:type="dxa" w:w="3322"/>
          </w:tcPr>
          <w:p>
            <w:pPr>
              <w:pStyle w:val="null3"/>
            </w:pPr>
            <w:r>
              <w:rPr/>
              <w:t>响应文件无投标有效期或有效期达不到竞争性磋商文件要求的 不合格 响应文件响应有效期达到竞争性磋商文件要求的合格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响应文件的标的数量不满足采购要求的 不合格 响应文件的标的数量满足 采购要求的合格</w:t>
            </w:r>
          </w:p>
        </w:tc>
        <w:tc>
          <w:tcPr>
            <w:tcW w:type="dxa" w:w="1661"/>
          </w:tcPr>
          <w:p>
            <w:pPr>
              <w:pStyle w:val="null3"/>
            </w:pPr>
            <w:r>
              <w:rPr/>
              <w:t>服务内容及服务邀请应答表 分项报价表 标的清单</w:t>
            </w:r>
          </w:p>
        </w:tc>
      </w:tr>
      <w:tr>
        <w:tc>
          <w:tcPr>
            <w:tcW w:type="dxa" w:w="831"/>
          </w:tcPr>
          <w:p>
            <w:pPr>
              <w:pStyle w:val="null3"/>
            </w:pPr>
            <w:r>
              <w:rPr/>
              <w:t>8</w:t>
            </w:r>
          </w:p>
        </w:tc>
        <w:tc>
          <w:tcPr>
            <w:tcW w:type="dxa" w:w="2492"/>
          </w:tcPr>
          <w:p>
            <w:pPr>
              <w:pStyle w:val="null3"/>
            </w:pPr>
            <w:r>
              <w:rPr/>
              <w:t>附加条件</w:t>
            </w:r>
          </w:p>
        </w:tc>
        <w:tc>
          <w:tcPr>
            <w:tcW w:type="dxa" w:w="3322"/>
          </w:tcPr>
          <w:p>
            <w:pPr>
              <w:pStyle w:val="null3"/>
            </w:pPr>
            <w:r>
              <w:rPr/>
              <w:t>响应文件含有采购人不能接受的附加条件的 不合格 响应文件没有采购人不能接受的附加条件的 合格</w:t>
            </w:r>
          </w:p>
        </w:tc>
        <w:tc>
          <w:tcPr>
            <w:tcW w:type="dxa" w:w="1661"/>
          </w:tcPr>
          <w:p>
            <w:pPr>
              <w:pStyle w:val="null3"/>
            </w:pPr>
            <w:r>
              <w:rPr/>
              <w:t>服务内容及服务邀请应答表 商务应答表</w:t>
            </w:r>
          </w:p>
        </w:tc>
      </w:tr>
      <w:tr>
        <w:tc>
          <w:tcPr>
            <w:tcW w:type="dxa" w:w="831"/>
          </w:tcPr>
          <w:p>
            <w:pPr>
              <w:pStyle w:val="null3"/>
            </w:pPr>
            <w:r>
              <w:rPr/>
              <w:t>9</w:t>
            </w:r>
          </w:p>
        </w:tc>
        <w:tc>
          <w:tcPr>
            <w:tcW w:type="dxa" w:w="2492"/>
          </w:tcPr>
          <w:p>
            <w:pPr>
              <w:pStyle w:val="null3"/>
            </w:pPr>
            <w:r>
              <w:rPr/>
              <w:t>法律、法规和招标文件规定的其他无效情形</w:t>
            </w:r>
          </w:p>
        </w:tc>
        <w:tc>
          <w:tcPr>
            <w:tcW w:type="dxa" w:w="3322"/>
          </w:tcPr>
          <w:p>
            <w:pPr>
              <w:pStyle w:val="null3"/>
            </w:pPr>
            <w:r>
              <w:rPr/>
              <w:t>法律、法规和磋商文件规定 的其他无效情形 不存在法律、法规和招标 文件规定的 其他无效 情形 合 格，存在法律、法规和磋商文件规定的其他无效情形 不合格</w:t>
            </w:r>
          </w:p>
        </w:tc>
        <w:tc>
          <w:tcPr>
            <w:tcW w:type="dxa" w:w="1661"/>
          </w:tcPr>
          <w:p>
            <w:pPr>
              <w:pStyle w:val="null3"/>
            </w:pPr>
            <w:r>
              <w:rPr/>
              <w:t>服务内容及服务邀请应答表 商务应答表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由磋商小组根据磋商文件的技术要求，对供应商的投标响应对比进行评审，完全符合、响应竞争性磋商文件要求，没有负偏离计15分，每负偏离一项扣1分，扣完为止。</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服务内容及服务邀请应答表</w:t>
            </w:r>
          </w:p>
          <w:p>
            <w:pPr>
              <w:pStyle w:val="null3"/>
            </w:pPr>
            <w:r>
              <w:rPr/>
              <w:t>供应商认为有必要说明的其他问题采购包1</w:t>
            </w:r>
          </w:p>
        </w:tc>
      </w:tr>
      <w:tr>
        <w:tc>
          <w:tcPr>
            <w:tcW w:type="dxa" w:w="831"/>
            <w:vMerge/>
          </w:tcPr>
          <w:p/>
        </w:tc>
        <w:tc>
          <w:tcPr>
            <w:tcW w:type="dxa" w:w="1661"/>
          </w:tcPr>
          <w:p>
            <w:pPr>
              <w:pStyle w:val="null3"/>
            </w:pPr>
            <w:r>
              <w:rPr/>
              <w:t>技术方案</w:t>
            </w:r>
          </w:p>
        </w:tc>
        <w:tc>
          <w:tcPr>
            <w:tcW w:type="dxa" w:w="2492"/>
          </w:tcPr>
          <w:p>
            <w:pPr>
              <w:pStyle w:val="null3"/>
            </w:pPr>
            <w:r>
              <w:rPr/>
              <w:t>供应商提供符合本项目的技术方案，方案应包括技术架构先进性、业务功能完整性、业务流程成熟性、合理性、满足用户当前和未来发展的使用需求。 以上内容完整、不存在瑕疵，得 15分；每缺一项扣3 分，存在瑕疵的一项扣1.5 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信息系统的接入方案</w:t>
            </w:r>
          </w:p>
        </w:tc>
        <w:tc>
          <w:tcPr>
            <w:tcW w:type="dxa" w:w="2492"/>
          </w:tcPr>
          <w:p>
            <w:pPr>
              <w:pStyle w:val="null3"/>
            </w:pPr>
            <w:r>
              <w:rPr/>
              <w:t>提供与采购人现有的信息系统的接入方案，包括包含集成平台、HIS、EMR、PACS等接口集成方案以及互联互通方案，以上内容完整、不存在瑕疵，得 10分；每缺一项扣 2.5 分，存在瑕疵的一项扣 1.5分，扣完为止。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信息系统的接入方案</w:t>
            </w:r>
          </w:p>
        </w:tc>
      </w:tr>
      <w:tr>
        <w:tc>
          <w:tcPr>
            <w:tcW w:type="dxa" w:w="831"/>
            <w:vMerge/>
          </w:tcPr>
          <w:p/>
        </w:tc>
        <w:tc>
          <w:tcPr>
            <w:tcW w:type="dxa" w:w="1661"/>
          </w:tcPr>
          <w:p>
            <w:pPr>
              <w:pStyle w:val="null3"/>
            </w:pPr>
            <w:r>
              <w:rPr/>
              <w:t>质量控制方案</w:t>
            </w:r>
          </w:p>
        </w:tc>
        <w:tc>
          <w:tcPr>
            <w:tcW w:type="dxa" w:w="2492"/>
          </w:tcPr>
          <w:p>
            <w:pPr>
              <w:pStyle w:val="null3"/>
            </w:pPr>
            <w:r>
              <w:rPr/>
              <w:t>包含项目实施规范、项目质量管理能力、人员管理措施，以上内容完整、不存在瑕疵，得 9分；每缺一项扣 3分，存在瑕疵的一项扣 1 .5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质量控制方案</w:t>
            </w:r>
          </w:p>
        </w:tc>
      </w:tr>
      <w:tr>
        <w:tc>
          <w:tcPr>
            <w:tcW w:type="dxa" w:w="831"/>
            <w:vMerge/>
          </w:tcPr>
          <w:p/>
        </w:tc>
        <w:tc>
          <w:tcPr>
            <w:tcW w:type="dxa" w:w="1661"/>
          </w:tcPr>
          <w:p>
            <w:pPr>
              <w:pStyle w:val="null3"/>
            </w:pPr>
            <w:r>
              <w:rPr/>
              <w:t>实施计划</w:t>
            </w:r>
          </w:p>
        </w:tc>
        <w:tc>
          <w:tcPr>
            <w:tcW w:type="dxa" w:w="2492"/>
          </w:tcPr>
          <w:p>
            <w:pPr>
              <w:pStyle w:val="null3"/>
            </w:pPr>
            <w:r>
              <w:rPr/>
              <w:t>包含实施计划方案、进度控制措施、管理组织措施，以上内容完整、不存在瑕疵，得 9分；每缺一项扣 3分，存在瑕疵的一项扣 1.5 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实施计划</w:t>
            </w:r>
          </w:p>
        </w:tc>
      </w:tr>
      <w:tr>
        <w:tc>
          <w:tcPr>
            <w:tcW w:type="dxa" w:w="831"/>
            <w:vMerge/>
          </w:tcPr>
          <w:p/>
        </w:tc>
        <w:tc>
          <w:tcPr>
            <w:tcW w:type="dxa" w:w="1661"/>
          </w:tcPr>
          <w:p>
            <w:pPr>
              <w:pStyle w:val="null3"/>
            </w:pPr>
            <w:r>
              <w:rPr/>
              <w:t>人员配备</w:t>
            </w:r>
          </w:p>
        </w:tc>
        <w:tc>
          <w:tcPr>
            <w:tcW w:type="dxa" w:w="2492"/>
          </w:tcPr>
          <w:p>
            <w:pPr>
              <w:pStyle w:val="null3"/>
            </w:pPr>
            <w:r>
              <w:rPr/>
              <w:t>拟派项目组中的人员具有计算机技术与软件专业技术资格（水平）证书（中级及以上），且所提供的人员中至少有一人为系统集成项目管理工程师（中级及以上）或网络工程师（中级及以上）， 每提供1人得1分，同一人不复用，最高得4分。 备注：响应文件中需提供上述证书复印件加盖公章，未提供或提供无效证书的不得分。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人员配备</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 1、培训时间、培训人数、培训人员、培训方式， 2、培训内容应包括所提供产品的原理和技术性能、操作维护方法、安装调试、排除故障等各个方面， 评审标准：方案各部分内容全面详细、阐述条例清晰详尽、以上内容完整、不存在瑕疵，得4分；每缺一项扣 2 分，存在瑕疵的一项扣 1 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售后服务方案</w:t>
            </w:r>
          </w:p>
        </w:tc>
        <w:tc>
          <w:tcPr>
            <w:tcW w:type="dxa" w:w="2492"/>
          </w:tcPr>
          <w:p>
            <w:pPr>
              <w:pStyle w:val="null3"/>
            </w:pPr>
            <w:r>
              <w:rPr/>
              <w:t>针对本项目提供售后服务方案，内容包含：①售后服务机构（地点、人员）②售后服务承诺③故障处理计划（包括具体的售后服务内容、响应方式、响应时间、故障服务管理、问题管理等）④应急处理方案（响应速度及时，响应规模和质量） 以上内容完整、不存在瑕疵，得8 分；每缺一项扣 2 分，存在瑕疵的一项扣 1 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供应商提供2021年1月1日至今所投类似业绩（以合同签订日期为准，至少包含合同首页、合同项目名称、双方盖章页等内容，仅限供应商本身，）进行评定，每份计1分，最高计6分。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 算，即满足磋商文件要求且磋 商价格最低的磋商报价为评标 基准价，其价格分为满分。其 他供应商的价格分统一按照下 列公式计算：价格分=(评标基 准价／磋商报价)×报价分值 注：计算分数时四舍五入取小 数点后两位；</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由磋商小组根据磋商文件的技术要求，对供应商的投标响应对比进行评审，完全符合、响应竞争性磋商文件要求，没有负偏离计15分，“▲”每负偏离一项扣2分，非“▲”每负偏离一项扣1分，扣完为止。</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服务内容及服务邀请应答表</w:t>
            </w:r>
          </w:p>
          <w:p>
            <w:pPr>
              <w:pStyle w:val="null3"/>
            </w:pPr>
            <w:r>
              <w:rPr/>
              <w:t>供应商认为有必要说明的其他问题采购包2</w:t>
            </w:r>
          </w:p>
        </w:tc>
      </w:tr>
      <w:tr>
        <w:tc>
          <w:tcPr>
            <w:tcW w:type="dxa" w:w="831"/>
            <w:vMerge/>
          </w:tcPr>
          <w:p/>
        </w:tc>
        <w:tc>
          <w:tcPr>
            <w:tcW w:type="dxa" w:w="1661"/>
          </w:tcPr>
          <w:p>
            <w:pPr>
              <w:pStyle w:val="null3"/>
            </w:pPr>
            <w:r>
              <w:rPr/>
              <w:t>技术方案</w:t>
            </w:r>
          </w:p>
        </w:tc>
        <w:tc>
          <w:tcPr>
            <w:tcW w:type="dxa" w:w="2492"/>
          </w:tcPr>
          <w:p>
            <w:pPr>
              <w:pStyle w:val="null3"/>
            </w:pPr>
            <w:r>
              <w:rPr/>
              <w:t>供应商提供符合本项目的技术方案，方案应包括技术架构先进性、功能完整、业务流程成熟性、合理性、满足用户当前和未来发展的使用需求。 以上内容完整、不存在瑕疵，得 15分；每缺一项扣3 分，存在瑕疵的一项扣1.5 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信息系统的接入方案</w:t>
            </w:r>
          </w:p>
        </w:tc>
        <w:tc>
          <w:tcPr>
            <w:tcW w:type="dxa" w:w="2492"/>
          </w:tcPr>
          <w:p>
            <w:pPr>
              <w:pStyle w:val="null3"/>
            </w:pPr>
            <w:r>
              <w:rPr/>
              <w:t>提供与采购人现有的信息系统的接入方案，包括包含集成平台、HIS、EMR、PACS等接口集成方案以及互联互通方案，以上内容完整、不存在瑕疵，得 10分；每缺一项扣 2.5 分，存在瑕疵的一项扣 1.5分，扣完为止。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信息系统的接入方案</w:t>
            </w:r>
          </w:p>
        </w:tc>
      </w:tr>
      <w:tr>
        <w:tc>
          <w:tcPr>
            <w:tcW w:type="dxa" w:w="831"/>
            <w:vMerge/>
          </w:tcPr>
          <w:p/>
        </w:tc>
        <w:tc>
          <w:tcPr>
            <w:tcW w:type="dxa" w:w="1661"/>
          </w:tcPr>
          <w:p>
            <w:pPr>
              <w:pStyle w:val="null3"/>
            </w:pPr>
            <w:r>
              <w:rPr/>
              <w:t>质量控制方案</w:t>
            </w:r>
          </w:p>
        </w:tc>
        <w:tc>
          <w:tcPr>
            <w:tcW w:type="dxa" w:w="2492"/>
          </w:tcPr>
          <w:p>
            <w:pPr>
              <w:pStyle w:val="null3"/>
            </w:pPr>
            <w:r>
              <w:rPr/>
              <w:t>包含项目实施规范、项目质量管理能力、人员管理措施，以上内容完整、不存在瑕疵，得 9分；每缺一项扣 3分，存在瑕疵的一项扣 1 .5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质量控制方案</w:t>
            </w:r>
          </w:p>
        </w:tc>
      </w:tr>
      <w:tr>
        <w:tc>
          <w:tcPr>
            <w:tcW w:type="dxa" w:w="831"/>
            <w:vMerge/>
          </w:tcPr>
          <w:p/>
        </w:tc>
        <w:tc>
          <w:tcPr>
            <w:tcW w:type="dxa" w:w="1661"/>
          </w:tcPr>
          <w:p>
            <w:pPr>
              <w:pStyle w:val="null3"/>
            </w:pPr>
            <w:r>
              <w:rPr/>
              <w:t>实施计划</w:t>
            </w:r>
          </w:p>
        </w:tc>
        <w:tc>
          <w:tcPr>
            <w:tcW w:type="dxa" w:w="2492"/>
          </w:tcPr>
          <w:p>
            <w:pPr>
              <w:pStyle w:val="null3"/>
            </w:pPr>
            <w:r>
              <w:rPr/>
              <w:t>包含实施计划方案、进度控制措施、管理组织措施，以上内容完整、不存在瑕疵，得 9分；每缺一项扣 3分，存在瑕疵的一项扣 1.5 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实施计划</w:t>
            </w:r>
          </w:p>
        </w:tc>
      </w:tr>
      <w:tr>
        <w:tc>
          <w:tcPr>
            <w:tcW w:type="dxa" w:w="831"/>
            <w:vMerge/>
          </w:tcPr>
          <w:p/>
        </w:tc>
        <w:tc>
          <w:tcPr>
            <w:tcW w:type="dxa" w:w="1661"/>
          </w:tcPr>
          <w:p>
            <w:pPr>
              <w:pStyle w:val="null3"/>
            </w:pPr>
            <w:r>
              <w:rPr/>
              <w:t>人员配备</w:t>
            </w:r>
          </w:p>
        </w:tc>
        <w:tc>
          <w:tcPr>
            <w:tcW w:type="dxa" w:w="2492"/>
          </w:tcPr>
          <w:p>
            <w:pPr>
              <w:pStyle w:val="null3"/>
            </w:pPr>
            <w:r>
              <w:rPr/>
              <w:t>拟派项目组中的人员具有计算机技术与软件专业技术资格（水平）证书（中级及以上），且所提供的人员中至少有一人为系统集成项目管理工程师（中级及以上）或网络工程师（中级及以上）， 每提供1人得1分，同一人不复用，最高得4分。 备注：响应文件中需提供上述证书复印件加盖公章，未提供或提供无效证书的不得分。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人员配备</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 1、培训时间、培训人数、培训人员、培训方式， 2、培训内容应包括所提供产品的原理和技术性能、操作维护方法、安装调试、排除故障等各个方面， 评审标准：方案各部分内容全面详细、阐述条例清晰详尽、以上内容完整、不存在瑕疵，得4分；每缺一项扣 2 分，存在瑕疵的一项扣 1 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售后服务方案</w:t>
            </w:r>
          </w:p>
        </w:tc>
        <w:tc>
          <w:tcPr>
            <w:tcW w:type="dxa" w:w="2492"/>
          </w:tcPr>
          <w:p>
            <w:pPr>
              <w:pStyle w:val="null3"/>
            </w:pPr>
            <w:r>
              <w:rPr/>
              <w:t>针对本项目提供售后服务方案，内容包含：①售后服务机构（地点、人员）②售后服务承诺③故障处理计划（包括具体的售后服务内容、响应方式、响应时间、故障服务管理、问题管理等）④应急处理方案（响应速度及时，响应规模和质量） 以上内容完整、不存在瑕疵，得8 分；每缺一项扣 2 分，存在瑕疵的一项扣 1 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供应商提供2021年1月1日至今所投类似业绩（以合同签订日期为准，至少包含合同首页、合同项目名称、双方盖章页等内容，仅限供应商本身，）进行评定，每份计1分，最高计6分。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 算，即满足磋商文件要求且磋 商价格最低的磋商报价为评标 基准价，其价格分为满分。其 他供应商的价格分统一按照下 列公式计算：价格分=(评标基 准价／磋商报价)×报价分值 注：计算分数时四舍五入取小 数点后两位；</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详见附件：技术方案</w:t>
      </w:r>
    </w:p>
    <w:p>
      <w:pPr>
        <w:pStyle w:val="null3"/>
        <w:ind w:firstLine="960"/>
      </w:pPr>
      <w:r>
        <w:rPr/>
        <w:t>详见附件：信息系统的接入方案</w:t>
      </w:r>
    </w:p>
    <w:p>
      <w:pPr>
        <w:pStyle w:val="null3"/>
        <w:ind w:firstLine="960"/>
      </w:pPr>
      <w:r>
        <w:rPr/>
        <w:t>详见附件：质量控制方案</w:t>
      </w:r>
    </w:p>
    <w:p>
      <w:pPr>
        <w:pStyle w:val="null3"/>
        <w:ind w:firstLine="960"/>
      </w:pPr>
      <w:r>
        <w:rPr/>
        <w:t>详见附件：实施计划</w:t>
      </w:r>
    </w:p>
    <w:p>
      <w:pPr>
        <w:pStyle w:val="null3"/>
        <w:ind w:firstLine="960"/>
      </w:pPr>
      <w:r>
        <w:rPr/>
        <w:t>详见附件：人员配备</w:t>
      </w:r>
    </w:p>
    <w:p>
      <w:pPr>
        <w:pStyle w:val="null3"/>
        <w:ind w:firstLine="960"/>
      </w:pPr>
      <w:r>
        <w:rPr/>
        <w:t>详见附件：培训方案</w:t>
      </w:r>
    </w:p>
    <w:p>
      <w:pPr>
        <w:pStyle w:val="null3"/>
        <w:ind w:firstLine="960"/>
      </w:pPr>
      <w:r>
        <w:rPr/>
        <w:t>详见附件：售后服务方案</w:t>
      </w:r>
    </w:p>
    <w:p>
      <w:pPr>
        <w:pStyle w:val="null3"/>
        <w:ind w:firstLine="960"/>
      </w:pPr>
      <w:r>
        <w:rPr/>
        <w:t>详见附件：业绩一览表</w:t>
      </w:r>
    </w:p>
    <w:p>
      <w:pPr>
        <w:pStyle w:val="null3"/>
        <w:ind w:firstLine="960"/>
      </w:pPr>
      <w:r>
        <w:rPr/>
        <w:t>详见附件：分项报价表</w:t>
      </w:r>
    </w:p>
    <w:p>
      <w:pPr>
        <w:pStyle w:val="null3"/>
        <w:ind w:firstLine="960"/>
      </w:pPr>
      <w:r>
        <w:rPr/>
        <w:t>详见附件：供应商资格要求</w:t>
      </w:r>
    </w:p>
    <w:p>
      <w:pPr>
        <w:pStyle w:val="null3"/>
        <w:ind w:firstLine="960"/>
      </w:pPr>
      <w:r>
        <w:rPr/>
        <w:t>详见附件：供应商认为有必要说明的其他问题采购包1</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详见附件：技术方案</w:t>
      </w:r>
    </w:p>
    <w:p>
      <w:pPr>
        <w:pStyle w:val="null3"/>
        <w:ind w:firstLine="960"/>
      </w:pPr>
      <w:r>
        <w:rPr/>
        <w:t>详见附件：信息系统的接入方案</w:t>
      </w:r>
    </w:p>
    <w:p>
      <w:pPr>
        <w:pStyle w:val="null3"/>
        <w:ind w:firstLine="960"/>
      </w:pPr>
      <w:r>
        <w:rPr/>
        <w:t>详见附件：质量控制方案</w:t>
      </w:r>
    </w:p>
    <w:p>
      <w:pPr>
        <w:pStyle w:val="null3"/>
        <w:ind w:firstLine="960"/>
      </w:pPr>
      <w:r>
        <w:rPr/>
        <w:t>详见附件：实施计划</w:t>
      </w:r>
    </w:p>
    <w:p>
      <w:pPr>
        <w:pStyle w:val="null3"/>
        <w:ind w:firstLine="960"/>
      </w:pPr>
      <w:r>
        <w:rPr/>
        <w:t>详见附件：人员配备</w:t>
      </w:r>
    </w:p>
    <w:p>
      <w:pPr>
        <w:pStyle w:val="null3"/>
        <w:ind w:firstLine="960"/>
      </w:pPr>
      <w:r>
        <w:rPr/>
        <w:t>详见附件：培训方案</w:t>
      </w:r>
    </w:p>
    <w:p>
      <w:pPr>
        <w:pStyle w:val="null3"/>
        <w:ind w:firstLine="960"/>
      </w:pPr>
      <w:r>
        <w:rPr/>
        <w:t>详见附件：售后服务方案</w:t>
      </w:r>
    </w:p>
    <w:p>
      <w:pPr>
        <w:pStyle w:val="null3"/>
        <w:ind w:firstLine="960"/>
      </w:pPr>
      <w:r>
        <w:rPr/>
        <w:t>详见附件：业绩一览表</w:t>
      </w:r>
    </w:p>
    <w:p>
      <w:pPr>
        <w:pStyle w:val="null3"/>
        <w:ind w:firstLine="960"/>
      </w:pPr>
      <w:r>
        <w:rPr/>
        <w:t>详见附件：分项报价表</w:t>
      </w:r>
    </w:p>
    <w:p>
      <w:pPr>
        <w:pStyle w:val="null3"/>
        <w:ind w:firstLine="960"/>
      </w:pPr>
      <w:r>
        <w:rPr/>
        <w:t>详见附件：供应商资格要求</w:t>
      </w:r>
    </w:p>
    <w:p>
      <w:pPr>
        <w:pStyle w:val="null3"/>
        <w:ind w:firstLine="960"/>
      </w:pPr>
      <w:r>
        <w:rPr/>
        <w:t>详见附件：供应商认为有必要说明的其他问题采购包2</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