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1"/>
      </w:pPr>
      <w:r>
        <w:rPr>
          <w:b/>
          <w:sz w:val="36"/>
        </w:rPr>
        <w:t>拟签订合同文本</w:t>
      </w:r>
    </w:p>
    <w:p>
      <w:pPr>
        <w:autoSpaceDE w:val="0"/>
        <w:autoSpaceDN w:val="0"/>
        <w:adjustRightInd w:val="0"/>
        <w:snapToGrid w:val="0"/>
        <w:spacing w:line="360" w:lineRule="auto"/>
        <w:ind w:firstLine="602" w:firstLineChars="200"/>
        <w:rPr>
          <w:b/>
          <w:bCs/>
          <w:color w:val="auto"/>
          <w:sz w:val="30"/>
          <w:szCs w:val="28"/>
        </w:rPr>
      </w:pPr>
      <w:r>
        <w:rPr>
          <w:b/>
          <w:bCs/>
          <w:color w:val="auto"/>
          <w:sz w:val="30"/>
          <w:szCs w:val="28"/>
          <w:lang w:val="zh-CN"/>
        </w:rPr>
        <w:t>政府采购项目</w:t>
      </w:r>
      <w:r>
        <w:rPr>
          <w:rFonts w:hint="eastAsia"/>
          <w:b/>
          <w:bCs/>
          <w:color w:val="auto"/>
          <w:sz w:val="30"/>
          <w:szCs w:val="28"/>
        </w:rPr>
        <w:t xml:space="preserve">                          </w:t>
      </w:r>
    </w:p>
    <w:p>
      <w:pPr>
        <w:autoSpaceDE w:val="0"/>
        <w:autoSpaceDN w:val="0"/>
        <w:adjustRightInd w:val="0"/>
        <w:snapToGrid w:val="0"/>
        <w:spacing w:line="360" w:lineRule="auto"/>
        <w:ind w:firstLine="602" w:firstLineChars="200"/>
        <w:rPr>
          <w:b/>
          <w:bCs/>
          <w:color w:val="auto"/>
          <w:sz w:val="30"/>
          <w:szCs w:val="28"/>
          <w:lang w:val="zh-CN"/>
        </w:rPr>
      </w:pPr>
      <w:r>
        <w:rPr>
          <w:b/>
          <w:bCs/>
          <w:color w:val="auto"/>
          <w:sz w:val="30"/>
          <w:szCs w:val="28"/>
          <w:lang w:val="zh-CN"/>
        </w:rPr>
        <w:t>采购项目编号：</w:t>
      </w:r>
    </w:p>
    <w:p>
      <w:pPr>
        <w:autoSpaceDE w:val="0"/>
        <w:autoSpaceDN w:val="0"/>
        <w:adjustRightInd w:val="0"/>
        <w:snapToGrid w:val="0"/>
        <w:spacing w:line="360" w:lineRule="auto"/>
        <w:rPr>
          <w:b/>
          <w:bCs/>
          <w:color w:val="auto"/>
          <w:sz w:val="32"/>
          <w:szCs w:val="32"/>
          <w:lang w:val="zh-CN"/>
        </w:rPr>
      </w:pPr>
    </w:p>
    <w:p>
      <w:pPr>
        <w:tabs>
          <w:tab w:val="left" w:pos="5670"/>
        </w:tabs>
        <w:autoSpaceDE w:val="0"/>
        <w:autoSpaceDN w:val="0"/>
        <w:adjustRightInd w:val="0"/>
        <w:snapToGrid w:val="0"/>
        <w:spacing w:line="360" w:lineRule="auto"/>
        <w:rPr>
          <w:rFonts w:eastAsia="黑体"/>
          <w:color w:val="auto"/>
          <w:sz w:val="32"/>
          <w:szCs w:val="32"/>
        </w:rPr>
      </w:pPr>
    </w:p>
    <w:p>
      <w:pPr>
        <w:tabs>
          <w:tab w:val="left" w:pos="5670"/>
        </w:tabs>
        <w:autoSpaceDE w:val="0"/>
        <w:autoSpaceDN w:val="0"/>
        <w:adjustRightInd w:val="0"/>
        <w:snapToGrid w:val="0"/>
        <w:spacing w:line="360" w:lineRule="auto"/>
        <w:rPr>
          <w:rFonts w:eastAsia="黑体"/>
          <w:color w:val="auto"/>
          <w:sz w:val="32"/>
          <w:szCs w:val="32"/>
        </w:rPr>
      </w:pPr>
    </w:p>
    <w:p>
      <w:pPr>
        <w:jc w:val="center"/>
        <w:rPr>
          <w:rFonts w:hint="eastAsia" w:ascii="宋体" w:hAnsi="宋体" w:eastAsia="宋体" w:cs="宋体"/>
          <w:b/>
          <w:bCs/>
          <w:sz w:val="56"/>
          <w:szCs w:val="56"/>
          <w:lang w:eastAsia="zh-CN"/>
        </w:rPr>
      </w:pPr>
      <w:r>
        <w:rPr>
          <w:rFonts w:hint="eastAsia"/>
          <w:b/>
          <w:bCs/>
          <w:color w:val="auto"/>
          <w:sz w:val="48"/>
          <w:szCs w:val="44"/>
        </w:rPr>
        <w:t xml:space="preserve">  </w:t>
      </w:r>
      <w:r>
        <w:rPr>
          <w:rFonts w:hint="eastAsia" w:ascii="宋体" w:hAnsi="宋体" w:eastAsia="宋体" w:cs="宋体"/>
          <w:b/>
          <w:bCs/>
          <w:sz w:val="56"/>
          <w:szCs w:val="56"/>
          <w:lang w:eastAsia="zh-CN"/>
        </w:rPr>
        <w:t>西安市中心血站</w:t>
      </w:r>
    </w:p>
    <w:p>
      <w:pPr>
        <w:autoSpaceDE w:val="0"/>
        <w:autoSpaceDN w:val="0"/>
        <w:snapToGrid w:val="0"/>
        <w:spacing w:line="360" w:lineRule="auto"/>
        <w:jc w:val="center"/>
        <w:outlineLvl w:val="9"/>
        <w:rPr>
          <w:rFonts w:hint="eastAsia" w:ascii="宋体" w:hAnsi="宋体" w:eastAsia="宋体" w:cs="宋体"/>
          <w:b/>
          <w:bCs/>
          <w:sz w:val="56"/>
          <w:szCs w:val="56"/>
          <w:lang w:eastAsia="zh-CN"/>
        </w:rPr>
      </w:pPr>
      <w:r>
        <w:rPr>
          <w:rFonts w:hint="eastAsia" w:ascii="宋体" w:hAnsi="宋体" w:eastAsia="宋体" w:cs="宋体"/>
          <w:b/>
          <w:bCs/>
          <w:sz w:val="56"/>
          <w:szCs w:val="56"/>
          <w:lang w:eastAsia="zh-CN"/>
        </w:rPr>
        <w:t>血检科国产乙肝检测试剂耗材</w:t>
      </w:r>
    </w:p>
    <w:p>
      <w:pPr>
        <w:autoSpaceDE w:val="0"/>
        <w:autoSpaceDN w:val="0"/>
        <w:snapToGrid w:val="0"/>
        <w:spacing w:line="360" w:lineRule="auto"/>
        <w:jc w:val="center"/>
        <w:outlineLvl w:val="9"/>
        <w:rPr>
          <w:b/>
          <w:bCs/>
          <w:color w:val="auto"/>
          <w:sz w:val="44"/>
          <w:szCs w:val="44"/>
        </w:rPr>
      </w:pPr>
      <w:r>
        <w:rPr>
          <w:rFonts w:hint="eastAsia" w:ascii="宋体" w:hAnsi="宋体" w:eastAsia="宋体" w:cs="宋体"/>
          <w:b/>
          <w:bCs/>
          <w:sz w:val="56"/>
          <w:szCs w:val="56"/>
          <w:lang w:eastAsia="zh-CN"/>
        </w:rPr>
        <w:t>采购项目</w:t>
      </w:r>
    </w:p>
    <w:p>
      <w:pPr>
        <w:tabs>
          <w:tab w:val="left" w:pos="5670"/>
        </w:tabs>
        <w:autoSpaceDE w:val="0"/>
        <w:autoSpaceDN w:val="0"/>
        <w:adjustRightInd w:val="0"/>
        <w:snapToGrid w:val="0"/>
        <w:spacing w:line="360" w:lineRule="auto"/>
        <w:jc w:val="center"/>
        <w:outlineLvl w:val="9"/>
        <w:rPr>
          <w:b/>
          <w:bCs/>
          <w:color w:val="auto"/>
          <w:sz w:val="36"/>
          <w:szCs w:val="36"/>
        </w:rPr>
      </w:pPr>
    </w:p>
    <w:p>
      <w:pPr>
        <w:tabs>
          <w:tab w:val="left" w:pos="5670"/>
        </w:tabs>
        <w:autoSpaceDE w:val="0"/>
        <w:autoSpaceDN w:val="0"/>
        <w:adjustRightInd w:val="0"/>
        <w:snapToGrid w:val="0"/>
        <w:spacing w:line="360" w:lineRule="auto"/>
        <w:ind w:firstLine="2200" w:firstLineChars="500"/>
        <w:rPr>
          <w:rFonts w:hint="eastAsia" w:eastAsia="楷体_GB2312"/>
          <w:color w:val="auto"/>
          <w:sz w:val="44"/>
          <w:szCs w:val="44"/>
        </w:rPr>
      </w:pPr>
    </w:p>
    <w:p>
      <w:pPr>
        <w:tabs>
          <w:tab w:val="left" w:pos="5670"/>
        </w:tabs>
        <w:autoSpaceDE w:val="0"/>
        <w:autoSpaceDN w:val="0"/>
        <w:adjustRightInd w:val="0"/>
        <w:snapToGrid w:val="0"/>
        <w:spacing w:line="360" w:lineRule="auto"/>
        <w:ind w:firstLine="2200" w:firstLineChars="500"/>
        <w:rPr>
          <w:rFonts w:hint="eastAsia" w:eastAsia="楷体_GB2312"/>
          <w:color w:val="auto"/>
          <w:sz w:val="44"/>
          <w:szCs w:val="44"/>
        </w:rPr>
      </w:pPr>
    </w:p>
    <w:p>
      <w:pPr>
        <w:tabs>
          <w:tab w:val="left" w:pos="5670"/>
        </w:tabs>
        <w:autoSpaceDE w:val="0"/>
        <w:autoSpaceDN w:val="0"/>
        <w:adjustRightInd w:val="0"/>
        <w:snapToGrid w:val="0"/>
        <w:spacing w:line="360" w:lineRule="auto"/>
        <w:ind w:firstLine="3520" w:firstLineChars="800"/>
        <w:rPr>
          <w:rFonts w:hint="eastAsia" w:eastAsia="楷体_GB2312"/>
          <w:color w:val="auto"/>
          <w:sz w:val="44"/>
          <w:szCs w:val="44"/>
        </w:rPr>
      </w:pPr>
      <w:r>
        <w:rPr>
          <w:rFonts w:hint="eastAsia" w:eastAsia="楷体_GB2312"/>
          <w:color w:val="auto"/>
          <w:sz w:val="44"/>
          <w:szCs w:val="44"/>
        </w:rPr>
        <w:t xml:space="preserve"> </w:t>
      </w:r>
    </w:p>
    <w:p>
      <w:pPr>
        <w:autoSpaceDE w:val="0"/>
        <w:autoSpaceDN w:val="0"/>
        <w:adjustRightInd w:val="0"/>
        <w:snapToGrid w:val="0"/>
        <w:spacing w:line="360" w:lineRule="auto"/>
        <w:jc w:val="center"/>
        <w:rPr>
          <w:rFonts w:eastAsia="楷体_GB2312"/>
          <w:color w:val="auto"/>
          <w:sz w:val="30"/>
          <w:szCs w:val="30"/>
        </w:rPr>
      </w:pPr>
    </w:p>
    <w:p>
      <w:pPr>
        <w:autoSpaceDE w:val="0"/>
        <w:autoSpaceDN w:val="0"/>
        <w:adjustRightInd w:val="0"/>
        <w:snapToGrid w:val="0"/>
        <w:spacing w:line="360" w:lineRule="auto"/>
        <w:rPr>
          <w:rFonts w:eastAsia="楷体_GB2312"/>
          <w:color w:val="auto"/>
          <w:sz w:val="30"/>
          <w:szCs w:val="30"/>
        </w:rPr>
      </w:pPr>
    </w:p>
    <w:p>
      <w:pPr>
        <w:autoSpaceDE w:val="0"/>
        <w:autoSpaceDN w:val="0"/>
        <w:adjustRightInd w:val="0"/>
        <w:snapToGrid w:val="0"/>
        <w:spacing w:line="360" w:lineRule="auto"/>
        <w:ind w:firstLine="2108" w:firstLineChars="700"/>
        <w:jc w:val="left"/>
        <w:rPr>
          <w:rFonts w:hint="eastAsia" w:ascii="宋体" w:hAnsi="宋体" w:eastAsia="宋体" w:cs="宋体"/>
          <w:b/>
          <w:bCs/>
          <w:color w:val="auto"/>
          <w:sz w:val="30"/>
          <w:szCs w:val="30"/>
          <w:lang w:val="zh-CN"/>
        </w:rPr>
      </w:pPr>
    </w:p>
    <w:p>
      <w:pPr>
        <w:autoSpaceDE w:val="0"/>
        <w:autoSpaceDN w:val="0"/>
        <w:adjustRightInd w:val="0"/>
        <w:snapToGrid w:val="0"/>
        <w:spacing w:line="360" w:lineRule="auto"/>
        <w:ind w:firstLine="2811" w:firstLineChars="1000"/>
        <w:jc w:val="left"/>
        <w:rPr>
          <w:rFonts w:hint="eastAsia" w:ascii="宋体" w:hAnsi="宋体" w:eastAsia="宋体" w:cs="宋体"/>
          <w:b/>
          <w:bCs/>
          <w:color w:val="auto"/>
          <w:sz w:val="28"/>
          <w:szCs w:val="30"/>
          <w:lang w:val="zh-CN"/>
        </w:rPr>
      </w:pPr>
      <w:r>
        <w:rPr>
          <w:rFonts w:hint="eastAsia" w:ascii="宋体" w:hAnsi="宋体" w:eastAsia="宋体" w:cs="宋体"/>
          <w:b/>
          <w:bCs/>
          <w:color w:val="auto"/>
          <w:sz w:val="28"/>
          <w:szCs w:val="30"/>
          <w:lang w:val="zh-CN"/>
        </w:rPr>
        <w:t>采购人：西安市中心血站</w:t>
      </w:r>
    </w:p>
    <w:p>
      <w:pPr>
        <w:autoSpaceDE w:val="0"/>
        <w:autoSpaceDN w:val="0"/>
        <w:adjustRightInd w:val="0"/>
        <w:snapToGrid w:val="0"/>
        <w:spacing w:line="360" w:lineRule="auto"/>
        <w:ind w:firstLine="2811" w:firstLineChars="1000"/>
        <w:jc w:val="left"/>
        <w:rPr>
          <w:rFonts w:hint="eastAsia" w:ascii="宋体" w:hAnsi="宋体" w:eastAsia="宋体" w:cs="宋体"/>
          <w:b/>
          <w:bCs/>
          <w:color w:val="auto"/>
          <w:sz w:val="28"/>
          <w:szCs w:val="30"/>
          <w:lang w:val="zh-CN"/>
        </w:rPr>
      </w:pPr>
      <w:r>
        <w:rPr>
          <w:rFonts w:hint="eastAsia" w:ascii="宋体" w:hAnsi="宋体" w:eastAsia="宋体" w:cs="宋体"/>
          <w:b/>
          <w:bCs/>
          <w:color w:val="auto"/>
          <w:sz w:val="28"/>
          <w:szCs w:val="30"/>
          <w:lang w:val="zh-CN"/>
        </w:rPr>
        <w:t xml:space="preserve">中标供应商： </w:t>
      </w:r>
    </w:p>
    <w:p>
      <w:pPr>
        <w:tabs>
          <w:tab w:val="left" w:pos="5670"/>
        </w:tabs>
        <w:autoSpaceDE w:val="0"/>
        <w:autoSpaceDN w:val="0"/>
        <w:adjustRightInd w:val="0"/>
        <w:snapToGrid w:val="0"/>
        <w:spacing w:line="360" w:lineRule="auto"/>
        <w:rPr>
          <w:rFonts w:hint="eastAsia" w:ascii="宋体" w:hAnsi="宋体" w:eastAsia="宋体" w:cs="宋体"/>
          <w:b/>
          <w:bCs/>
          <w:color w:val="auto"/>
          <w:sz w:val="28"/>
          <w:szCs w:val="32"/>
        </w:rPr>
      </w:pPr>
      <w:r>
        <w:rPr>
          <w:rFonts w:hint="eastAsia" w:ascii="宋体" w:hAnsi="宋体" w:eastAsia="宋体" w:cs="宋体"/>
          <w:b/>
          <w:bCs/>
          <w:color w:val="auto"/>
          <w:sz w:val="28"/>
          <w:szCs w:val="30"/>
          <w:lang w:val="en-US" w:eastAsia="zh-CN"/>
        </w:rPr>
        <w:t xml:space="preserve">                    </w:t>
      </w:r>
      <w:r>
        <w:rPr>
          <w:rFonts w:hint="eastAsia" w:ascii="宋体" w:hAnsi="宋体" w:eastAsia="宋体" w:cs="宋体"/>
          <w:b/>
          <w:bCs/>
          <w:color w:val="auto"/>
          <w:sz w:val="28"/>
          <w:szCs w:val="30"/>
          <w:lang w:val="zh-CN"/>
        </w:rPr>
        <w:t>鉴证方：</w:t>
      </w:r>
      <w:r>
        <w:rPr>
          <w:rFonts w:hint="eastAsia" w:ascii="宋体" w:hAnsi="宋体" w:eastAsia="宋体" w:cs="宋体"/>
          <w:b/>
          <w:bCs/>
          <w:color w:val="auto"/>
          <w:sz w:val="28"/>
          <w:szCs w:val="32"/>
        </w:rPr>
        <w:t xml:space="preserve"> </w:t>
      </w:r>
    </w:p>
    <w:p>
      <w:pPr>
        <w:autoSpaceDE w:val="0"/>
        <w:autoSpaceDN w:val="0"/>
        <w:adjustRightInd w:val="0"/>
        <w:snapToGrid w:val="0"/>
        <w:spacing w:line="360" w:lineRule="auto"/>
        <w:ind w:firstLine="2108" w:firstLineChars="700"/>
        <w:jc w:val="left"/>
        <w:rPr>
          <w:rFonts w:hint="eastAsia" w:ascii="仿宋_GB2312" w:hAnsi="宋体" w:eastAsia="仿宋_GB2312"/>
          <w:b/>
          <w:bCs/>
          <w:color w:val="FF0000"/>
          <w:sz w:val="30"/>
          <w:szCs w:val="30"/>
          <w:lang w:val="zh-CN"/>
        </w:rPr>
      </w:pPr>
    </w:p>
    <w:p>
      <w:pPr>
        <w:rPr>
          <w:rFonts w:hint="eastAsia"/>
          <w:color w:val="FF0000"/>
          <w:lang w:val="zh-CN"/>
        </w:rPr>
      </w:pPr>
      <w:bookmarkStart w:id="0" w:name="_Toc454978703"/>
    </w:p>
    <w:p>
      <w:pPr>
        <w:jc w:val="center"/>
        <w:outlineLvl w:val="9"/>
        <w:rPr>
          <w:rFonts w:hint="eastAsia" w:ascii="宋体" w:hAnsi="宋体" w:eastAsia="宋体" w:cs="宋体"/>
          <w:b/>
          <w:color w:val="auto"/>
          <w:sz w:val="36"/>
          <w:szCs w:val="36"/>
          <w:lang w:val="zh-CN"/>
        </w:rPr>
      </w:pPr>
      <w:bookmarkStart w:id="1" w:name="_Toc17941"/>
      <w:bookmarkStart w:id="2" w:name="_Toc23564"/>
      <w:bookmarkStart w:id="3" w:name="_Toc21252"/>
      <w:r>
        <w:rPr>
          <w:rFonts w:hint="eastAsia" w:ascii="宋体" w:hAnsi="宋体" w:eastAsia="宋体" w:cs="宋体"/>
          <w:b/>
          <w:bCs/>
          <w:color w:val="auto"/>
          <w:sz w:val="36"/>
          <w:szCs w:val="36"/>
          <w:lang w:eastAsia="zh-CN"/>
        </w:rPr>
        <w:t>血检科国产乙肝检测试剂耗材采购项目</w:t>
      </w:r>
      <w:r>
        <w:rPr>
          <w:rFonts w:hint="eastAsia" w:ascii="宋体" w:hAnsi="宋体" w:eastAsia="宋体" w:cs="宋体"/>
          <w:b/>
          <w:color w:val="auto"/>
          <w:sz w:val="36"/>
          <w:szCs w:val="36"/>
          <w:lang w:val="zh-CN"/>
        </w:rPr>
        <w:t>合同</w:t>
      </w:r>
      <w:bookmarkEnd w:id="1"/>
      <w:bookmarkEnd w:id="2"/>
      <w:bookmarkEnd w:id="3"/>
    </w:p>
    <w:p>
      <w:pPr>
        <w:pStyle w:val="3"/>
        <w:rPr>
          <w:rFonts w:hint="eastAsia"/>
          <w:color w:val="FF0000"/>
          <w:lang w:val="zh-CN"/>
        </w:rPr>
      </w:pPr>
    </w:p>
    <w:bookmarkEnd w:id="0"/>
    <w:p>
      <w:pPr>
        <w:adjustRightInd w:val="0"/>
        <w:snapToGrid w:val="0"/>
        <w:spacing w:line="360" w:lineRule="auto"/>
        <w:rPr>
          <w:rFonts w:hint="eastAsia" w:ascii="宋体" w:hAnsi="宋体" w:cs="宋体"/>
          <w:b/>
          <w:bCs/>
          <w:sz w:val="24"/>
          <w:lang w:val="zh-CN"/>
        </w:rPr>
      </w:pPr>
      <w:r>
        <w:rPr>
          <w:rFonts w:hint="eastAsia" w:ascii="宋体" w:hAnsi="宋体" w:cs="宋体"/>
          <w:b/>
          <w:bCs/>
          <w:sz w:val="24"/>
          <w:lang w:val="zh-CN"/>
        </w:rPr>
        <w:t>甲</w:t>
      </w:r>
      <w:r>
        <w:rPr>
          <w:rFonts w:hint="eastAsia" w:ascii="宋体" w:hAnsi="宋体" w:cs="宋体"/>
          <w:b/>
          <w:bCs/>
          <w:sz w:val="24"/>
        </w:rPr>
        <w:t xml:space="preserve"> </w:t>
      </w:r>
      <w:r>
        <w:rPr>
          <w:rFonts w:hint="eastAsia" w:ascii="宋体" w:hAnsi="宋体" w:cs="宋体"/>
          <w:b/>
          <w:bCs/>
          <w:sz w:val="24"/>
          <w:lang w:val="zh-CN"/>
        </w:rPr>
        <w:t>方：（采购人）西安市中心血站</w:t>
      </w:r>
    </w:p>
    <w:p>
      <w:pPr>
        <w:adjustRightInd w:val="0"/>
        <w:snapToGrid w:val="0"/>
        <w:spacing w:line="360" w:lineRule="auto"/>
        <w:rPr>
          <w:rFonts w:hint="eastAsia" w:ascii="宋体" w:hAnsi="宋体" w:cs="宋体"/>
          <w:b/>
          <w:bCs/>
          <w:sz w:val="24"/>
          <w:lang w:val="zh-CN"/>
        </w:rPr>
      </w:pPr>
      <w:r>
        <w:rPr>
          <w:rFonts w:hint="eastAsia" w:ascii="宋体" w:hAnsi="宋体" w:cs="宋体"/>
          <w:b/>
          <w:bCs/>
          <w:sz w:val="24"/>
          <w:lang w:val="zh-CN"/>
        </w:rPr>
        <w:t>乙</w:t>
      </w:r>
      <w:r>
        <w:rPr>
          <w:rFonts w:hint="eastAsia" w:ascii="宋体" w:hAnsi="宋体" w:cs="宋体"/>
          <w:b/>
          <w:bCs/>
          <w:sz w:val="24"/>
        </w:rPr>
        <w:t xml:space="preserve"> </w:t>
      </w:r>
      <w:r>
        <w:rPr>
          <w:rFonts w:hint="eastAsia" w:ascii="宋体" w:hAnsi="宋体" w:cs="宋体"/>
          <w:b/>
          <w:bCs/>
          <w:sz w:val="24"/>
          <w:lang w:val="zh-CN"/>
        </w:rPr>
        <w:t>方：（中标供应商）</w:t>
      </w:r>
    </w:p>
    <w:p>
      <w:pPr>
        <w:pStyle w:val="3"/>
        <w:ind w:left="0" w:leftChars="0" w:firstLine="0" w:firstLineChars="0"/>
        <w:rPr>
          <w:rFonts w:hint="eastAsia"/>
          <w:lang w:val="zh-CN"/>
        </w:rPr>
      </w:pPr>
      <w:r>
        <w:rPr>
          <w:rFonts w:hint="eastAsia" w:ascii="宋体" w:hAnsi="宋体" w:cs="宋体"/>
          <w:b/>
          <w:bCs/>
          <w:sz w:val="24"/>
          <w:lang w:val="zh-CN"/>
        </w:rPr>
        <w:t>丙方：（鉴证方）陕西卓佲项目管理有限公司</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cs="宋体"/>
          <w:sz w:val="24"/>
          <w:lang w:val="zh-CN"/>
        </w:rPr>
      </w:pPr>
      <w:r>
        <w:rPr>
          <w:rFonts w:hint="eastAsia" w:ascii="宋体" w:hAnsi="宋体" w:cs="宋体"/>
          <w:sz w:val="24"/>
          <w:lang w:val="zh-CN"/>
        </w:rPr>
        <w:t>陕西卓佲项目管理有限公司受西安市中心血站委托根据《中华人民共和国政府采购法》、《中华人民共和国民法典》等相关规定，组织西安市中心血站血检科国产乙肝检测试剂耗材采购项目公开招标，确定XXXXX有限公司为西安市中心血站血检科国产乙肝检测试剂耗材采购项目中标供货商。为保障双方合法权益，在陕西卓佲项目管理有限公司鉴定下经双方共同协商，签订本协议。</w:t>
      </w:r>
    </w:p>
    <w:p>
      <w:pPr>
        <w:adjustRightInd w:val="0"/>
        <w:snapToGrid w:val="0"/>
        <w:spacing w:line="360" w:lineRule="auto"/>
        <w:rPr>
          <w:rFonts w:ascii="宋体" w:hAnsi="宋体" w:cs="宋体"/>
          <w:sz w:val="24"/>
        </w:rPr>
      </w:pPr>
      <w:r>
        <w:rPr>
          <w:rFonts w:hint="eastAsia" w:ascii="宋体" w:hAnsi="宋体" w:cs="宋体"/>
          <w:b/>
          <w:bCs/>
          <w:sz w:val="24"/>
          <w:lang w:val="zh-CN"/>
        </w:rPr>
        <w:t xml:space="preserve">一、合同内容: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642"/>
        <w:gridCol w:w="1418"/>
        <w:gridCol w:w="1134"/>
        <w:gridCol w:w="1276"/>
        <w:gridCol w:w="1275"/>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pPr>
              <w:tabs>
                <w:tab w:val="left" w:pos="480"/>
              </w:tabs>
              <w:spacing w:line="360" w:lineRule="auto"/>
              <w:rPr>
                <w:rFonts w:ascii="宋体" w:hAnsi="宋体" w:cs="宋体"/>
                <w:sz w:val="24"/>
              </w:rPr>
            </w:pPr>
            <w:r>
              <w:rPr>
                <w:rFonts w:hint="eastAsia" w:ascii="宋体" w:hAnsi="宋体" w:cs="宋体"/>
                <w:sz w:val="24"/>
              </w:rPr>
              <w:t>序号</w:t>
            </w:r>
          </w:p>
        </w:tc>
        <w:tc>
          <w:tcPr>
            <w:tcW w:w="1642"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物品名称</w:t>
            </w:r>
          </w:p>
        </w:tc>
        <w:tc>
          <w:tcPr>
            <w:tcW w:w="1418"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制造厂商</w:t>
            </w:r>
          </w:p>
        </w:tc>
        <w:tc>
          <w:tcPr>
            <w:tcW w:w="1134"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规格</w:t>
            </w:r>
          </w:p>
        </w:tc>
        <w:tc>
          <w:tcPr>
            <w:tcW w:w="1276"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单价（元）</w:t>
            </w:r>
          </w:p>
        </w:tc>
        <w:tc>
          <w:tcPr>
            <w:tcW w:w="1275"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数量</w:t>
            </w:r>
          </w:p>
        </w:tc>
        <w:tc>
          <w:tcPr>
            <w:tcW w:w="1106"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1</w:t>
            </w:r>
          </w:p>
        </w:tc>
        <w:tc>
          <w:tcPr>
            <w:tcW w:w="1642" w:type="dxa"/>
            <w:noWrap w:val="0"/>
            <w:vAlign w:val="center"/>
          </w:tcPr>
          <w:p>
            <w:pPr>
              <w:tabs>
                <w:tab w:val="left" w:pos="480"/>
              </w:tabs>
              <w:spacing w:line="360" w:lineRule="auto"/>
              <w:jc w:val="center"/>
              <w:rPr>
                <w:rFonts w:ascii="宋体" w:hAnsi="宋体" w:cs="宋体"/>
                <w:b/>
                <w:sz w:val="24"/>
              </w:rPr>
            </w:pPr>
          </w:p>
        </w:tc>
        <w:tc>
          <w:tcPr>
            <w:tcW w:w="1418" w:type="dxa"/>
            <w:noWrap w:val="0"/>
            <w:vAlign w:val="center"/>
          </w:tcPr>
          <w:p>
            <w:pPr>
              <w:tabs>
                <w:tab w:val="left" w:pos="480"/>
              </w:tabs>
              <w:spacing w:line="360" w:lineRule="auto"/>
              <w:jc w:val="center"/>
              <w:rPr>
                <w:rFonts w:ascii="宋体" w:hAnsi="宋体" w:cs="宋体"/>
                <w:b/>
                <w:sz w:val="24"/>
              </w:rPr>
            </w:pPr>
          </w:p>
        </w:tc>
        <w:tc>
          <w:tcPr>
            <w:tcW w:w="1134" w:type="dxa"/>
            <w:noWrap w:val="0"/>
            <w:vAlign w:val="center"/>
          </w:tcPr>
          <w:p>
            <w:pPr>
              <w:spacing w:line="360" w:lineRule="auto"/>
              <w:ind w:left="480" w:hanging="480" w:hangingChars="200"/>
              <w:rPr>
                <w:rFonts w:ascii="宋体" w:hAnsi="宋体" w:cs="宋体"/>
                <w:bCs/>
                <w:sz w:val="24"/>
              </w:rPr>
            </w:pPr>
          </w:p>
        </w:tc>
        <w:tc>
          <w:tcPr>
            <w:tcW w:w="1276" w:type="dxa"/>
            <w:noWrap w:val="0"/>
            <w:vAlign w:val="center"/>
          </w:tcPr>
          <w:p>
            <w:pPr>
              <w:spacing w:line="360" w:lineRule="auto"/>
              <w:ind w:firstLine="117" w:firstLineChars="49"/>
              <w:rPr>
                <w:rFonts w:ascii="宋体" w:hAnsi="宋体" w:cs="宋体"/>
                <w:bCs/>
                <w:sz w:val="24"/>
              </w:rPr>
            </w:pPr>
          </w:p>
        </w:tc>
        <w:tc>
          <w:tcPr>
            <w:tcW w:w="1275" w:type="dxa"/>
            <w:noWrap w:val="0"/>
            <w:vAlign w:val="center"/>
          </w:tcPr>
          <w:p>
            <w:pPr>
              <w:spacing w:line="360" w:lineRule="auto"/>
              <w:ind w:firstLine="117" w:firstLineChars="49"/>
              <w:rPr>
                <w:rFonts w:ascii="宋体" w:hAnsi="宋体" w:cs="宋体"/>
                <w:bCs/>
                <w:sz w:val="24"/>
              </w:rPr>
            </w:pPr>
          </w:p>
        </w:tc>
        <w:tc>
          <w:tcPr>
            <w:tcW w:w="1106" w:type="dxa"/>
            <w:noWrap w:val="0"/>
            <w:vAlign w:val="center"/>
          </w:tcPr>
          <w:p>
            <w:pPr>
              <w:spacing w:line="360" w:lineRule="auto"/>
              <w:ind w:right="-433" w:rightChars="-206"/>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2</w:t>
            </w:r>
          </w:p>
        </w:tc>
        <w:tc>
          <w:tcPr>
            <w:tcW w:w="1642" w:type="dxa"/>
            <w:noWrap w:val="0"/>
            <w:vAlign w:val="center"/>
          </w:tcPr>
          <w:p>
            <w:pPr>
              <w:tabs>
                <w:tab w:val="left" w:pos="480"/>
              </w:tabs>
              <w:spacing w:line="360" w:lineRule="auto"/>
              <w:jc w:val="center"/>
              <w:rPr>
                <w:rFonts w:ascii="宋体" w:hAnsi="宋体" w:cs="宋体"/>
                <w:b/>
                <w:sz w:val="24"/>
              </w:rPr>
            </w:pPr>
          </w:p>
        </w:tc>
        <w:tc>
          <w:tcPr>
            <w:tcW w:w="1418" w:type="dxa"/>
            <w:noWrap w:val="0"/>
            <w:vAlign w:val="center"/>
          </w:tcPr>
          <w:p>
            <w:pPr>
              <w:tabs>
                <w:tab w:val="left" w:pos="480"/>
              </w:tabs>
              <w:spacing w:line="360" w:lineRule="auto"/>
              <w:jc w:val="center"/>
              <w:rPr>
                <w:rFonts w:ascii="宋体" w:hAnsi="宋体" w:cs="宋体"/>
                <w:b/>
                <w:sz w:val="24"/>
              </w:rPr>
            </w:pPr>
          </w:p>
        </w:tc>
        <w:tc>
          <w:tcPr>
            <w:tcW w:w="1134" w:type="dxa"/>
            <w:noWrap w:val="0"/>
            <w:vAlign w:val="center"/>
          </w:tcPr>
          <w:p>
            <w:pPr>
              <w:spacing w:line="360" w:lineRule="auto"/>
              <w:ind w:left="480" w:hanging="480" w:hangingChars="200"/>
              <w:rPr>
                <w:rFonts w:ascii="宋体" w:hAnsi="宋体" w:cs="宋体"/>
                <w:bCs/>
                <w:sz w:val="24"/>
              </w:rPr>
            </w:pPr>
          </w:p>
        </w:tc>
        <w:tc>
          <w:tcPr>
            <w:tcW w:w="1276" w:type="dxa"/>
            <w:noWrap w:val="0"/>
            <w:vAlign w:val="center"/>
          </w:tcPr>
          <w:p>
            <w:pPr>
              <w:spacing w:line="360" w:lineRule="auto"/>
              <w:ind w:firstLine="117" w:firstLineChars="49"/>
              <w:rPr>
                <w:rFonts w:ascii="宋体" w:hAnsi="宋体" w:cs="宋体"/>
                <w:bCs/>
                <w:sz w:val="24"/>
              </w:rPr>
            </w:pPr>
          </w:p>
        </w:tc>
        <w:tc>
          <w:tcPr>
            <w:tcW w:w="1275" w:type="dxa"/>
            <w:noWrap w:val="0"/>
            <w:vAlign w:val="center"/>
          </w:tcPr>
          <w:p>
            <w:pPr>
              <w:spacing w:line="360" w:lineRule="auto"/>
              <w:ind w:firstLine="117" w:firstLineChars="49"/>
              <w:rPr>
                <w:rFonts w:ascii="宋体" w:hAnsi="宋体" w:cs="宋体"/>
                <w:bCs/>
                <w:sz w:val="24"/>
              </w:rPr>
            </w:pPr>
          </w:p>
        </w:tc>
        <w:tc>
          <w:tcPr>
            <w:tcW w:w="1106" w:type="dxa"/>
            <w:noWrap w:val="0"/>
            <w:vAlign w:val="center"/>
          </w:tcPr>
          <w:p>
            <w:pPr>
              <w:spacing w:line="360" w:lineRule="auto"/>
              <w:ind w:right="-433" w:rightChars="-206"/>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tabs>
                <w:tab w:val="left" w:pos="480"/>
              </w:tabs>
              <w:spacing w:line="360" w:lineRule="auto"/>
              <w:jc w:val="center"/>
              <w:rPr>
                <w:rFonts w:ascii="宋体" w:hAnsi="宋体" w:cs="宋体"/>
                <w:sz w:val="24"/>
              </w:rPr>
            </w:pPr>
            <w:r>
              <w:rPr>
                <w:rFonts w:hint="eastAsia" w:ascii="宋体" w:hAnsi="宋体" w:cs="宋体"/>
                <w:sz w:val="24"/>
              </w:rPr>
              <w:t>3</w:t>
            </w:r>
          </w:p>
        </w:tc>
        <w:tc>
          <w:tcPr>
            <w:tcW w:w="1642" w:type="dxa"/>
            <w:noWrap w:val="0"/>
            <w:vAlign w:val="center"/>
          </w:tcPr>
          <w:p>
            <w:pPr>
              <w:tabs>
                <w:tab w:val="left" w:pos="480"/>
              </w:tabs>
              <w:spacing w:line="360" w:lineRule="auto"/>
              <w:jc w:val="center"/>
              <w:rPr>
                <w:rFonts w:ascii="宋体" w:hAnsi="宋体" w:cs="宋体"/>
                <w:b/>
                <w:sz w:val="24"/>
              </w:rPr>
            </w:pPr>
          </w:p>
        </w:tc>
        <w:tc>
          <w:tcPr>
            <w:tcW w:w="1418" w:type="dxa"/>
            <w:noWrap w:val="0"/>
            <w:vAlign w:val="center"/>
          </w:tcPr>
          <w:p>
            <w:pPr>
              <w:tabs>
                <w:tab w:val="left" w:pos="480"/>
              </w:tabs>
              <w:spacing w:line="360" w:lineRule="auto"/>
              <w:jc w:val="center"/>
              <w:rPr>
                <w:rFonts w:ascii="宋体" w:hAnsi="宋体" w:cs="宋体"/>
                <w:b/>
                <w:sz w:val="24"/>
              </w:rPr>
            </w:pPr>
          </w:p>
        </w:tc>
        <w:tc>
          <w:tcPr>
            <w:tcW w:w="1134" w:type="dxa"/>
            <w:noWrap w:val="0"/>
            <w:vAlign w:val="center"/>
          </w:tcPr>
          <w:p>
            <w:pPr>
              <w:spacing w:line="360" w:lineRule="auto"/>
              <w:ind w:left="480" w:hanging="480" w:hangingChars="200"/>
              <w:rPr>
                <w:rFonts w:ascii="宋体" w:hAnsi="宋体" w:cs="宋体"/>
                <w:bCs/>
                <w:sz w:val="24"/>
              </w:rPr>
            </w:pPr>
          </w:p>
        </w:tc>
        <w:tc>
          <w:tcPr>
            <w:tcW w:w="1276" w:type="dxa"/>
            <w:noWrap w:val="0"/>
            <w:vAlign w:val="center"/>
          </w:tcPr>
          <w:p>
            <w:pPr>
              <w:spacing w:line="360" w:lineRule="auto"/>
              <w:ind w:firstLine="117" w:firstLineChars="49"/>
              <w:rPr>
                <w:rFonts w:ascii="宋体" w:hAnsi="宋体" w:cs="宋体"/>
                <w:bCs/>
                <w:sz w:val="24"/>
              </w:rPr>
            </w:pPr>
          </w:p>
        </w:tc>
        <w:tc>
          <w:tcPr>
            <w:tcW w:w="1275" w:type="dxa"/>
            <w:noWrap w:val="0"/>
            <w:vAlign w:val="center"/>
          </w:tcPr>
          <w:p>
            <w:pPr>
              <w:spacing w:line="360" w:lineRule="auto"/>
              <w:ind w:firstLine="117" w:firstLineChars="49"/>
              <w:rPr>
                <w:rFonts w:ascii="宋体" w:hAnsi="宋体" w:cs="宋体"/>
                <w:bCs/>
                <w:sz w:val="24"/>
              </w:rPr>
            </w:pPr>
          </w:p>
        </w:tc>
        <w:tc>
          <w:tcPr>
            <w:tcW w:w="1106" w:type="dxa"/>
            <w:noWrap w:val="0"/>
            <w:vAlign w:val="center"/>
          </w:tcPr>
          <w:p>
            <w:pPr>
              <w:spacing w:line="360" w:lineRule="auto"/>
              <w:ind w:right="-433" w:rightChars="-206"/>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spacing w:line="360" w:lineRule="auto"/>
              <w:jc w:val="center"/>
              <w:rPr>
                <w:rFonts w:ascii="宋体" w:hAnsi="宋体" w:cs="宋体"/>
                <w:bCs/>
                <w:sz w:val="24"/>
              </w:rPr>
            </w:pPr>
            <w:r>
              <w:rPr>
                <w:rFonts w:hint="eastAsia" w:ascii="宋体" w:hAnsi="宋体" w:cs="宋体"/>
                <w:bCs/>
                <w:sz w:val="24"/>
              </w:rPr>
              <w:t>4</w:t>
            </w:r>
          </w:p>
        </w:tc>
        <w:tc>
          <w:tcPr>
            <w:tcW w:w="6745" w:type="dxa"/>
            <w:gridSpan w:val="5"/>
            <w:noWrap w:val="0"/>
            <w:vAlign w:val="center"/>
          </w:tcPr>
          <w:p>
            <w:pPr>
              <w:spacing w:line="360" w:lineRule="auto"/>
              <w:jc w:val="center"/>
              <w:rPr>
                <w:rFonts w:ascii="宋体" w:hAnsi="宋体" w:cs="宋体"/>
                <w:bCs/>
                <w:color w:val="FF0000"/>
                <w:sz w:val="24"/>
              </w:rPr>
            </w:pPr>
            <w:r>
              <w:rPr>
                <w:rFonts w:hint="eastAsia" w:ascii="宋体" w:hAnsi="宋体" w:cs="宋体"/>
                <w:bCs/>
                <w:sz w:val="24"/>
              </w:rPr>
              <w:t>总计（元）：大写             元整</w:t>
            </w:r>
          </w:p>
        </w:tc>
        <w:tc>
          <w:tcPr>
            <w:tcW w:w="1106" w:type="dxa"/>
            <w:noWrap w:val="0"/>
            <w:vAlign w:val="center"/>
          </w:tcPr>
          <w:p>
            <w:pPr>
              <w:spacing w:line="360" w:lineRule="auto"/>
              <w:ind w:right="-433" w:rightChars="-206"/>
              <w:rPr>
                <w:rFonts w:ascii="宋体" w:hAnsi="宋体" w:cs="宋体"/>
                <w:bCs/>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spacing w:line="360" w:lineRule="auto"/>
              <w:ind w:right="-433" w:rightChars="-206"/>
              <w:rPr>
                <w:rFonts w:ascii="宋体" w:hAnsi="宋体" w:cs="宋体"/>
                <w:bCs/>
                <w:sz w:val="24"/>
              </w:rPr>
            </w:pPr>
            <w:r>
              <w:rPr>
                <w:rFonts w:hint="eastAsia" w:ascii="宋体" w:hAnsi="宋体" w:cs="宋体"/>
                <w:bCs/>
                <w:sz w:val="24"/>
              </w:rPr>
              <w:t>备 注</w:t>
            </w:r>
          </w:p>
        </w:tc>
        <w:tc>
          <w:tcPr>
            <w:tcW w:w="7851" w:type="dxa"/>
            <w:gridSpan w:val="6"/>
            <w:noWrap w:val="0"/>
            <w:vAlign w:val="center"/>
          </w:tcPr>
          <w:p>
            <w:pPr>
              <w:spacing w:line="360" w:lineRule="auto"/>
              <w:ind w:right="-433" w:rightChars="-206"/>
              <w:rPr>
                <w:rFonts w:ascii="宋体" w:hAnsi="宋体" w:cs="宋体"/>
                <w:bCs/>
                <w:sz w:val="24"/>
              </w:rPr>
            </w:pPr>
          </w:p>
        </w:tc>
      </w:tr>
    </w:tbl>
    <w:p>
      <w:pPr>
        <w:tabs>
          <w:tab w:val="left" w:pos="735"/>
        </w:tabs>
        <w:adjustRightInd w:val="0"/>
        <w:snapToGrid w:val="0"/>
        <w:spacing w:line="360" w:lineRule="auto"/>
        <w:rPr>
          <w:rFonts w:ascii="宋体" w:hAnsi="宋体" w:cs="宋体"/>
          <w:sz w:val="24"/>
        </w:rPr>
      </w:pPr>
      <w:r>
        <w:rPr>
          <w:rFonts w:hint="eastAsia" w:ascii="宋体" w:hAnsi="宋体" w:cs="宋体"/>
          <w:b/>
          <w:sz w:val="24"/>
        </w:rPr>
        <w:t>二、合同价款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1、合同总价：合同中标总价款为人民币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rPr>
        <w:t>.00）。</w:t>
      </w:r>
    </w:p>
    <w:p>
      <w:pPr>
        <w:pStyle w:val="4"/>
        <w:ind w:firstLine="480" w:firstLineChars="200"/>
        <w:rPr>
          <w:rFonts w:ascii="宋体" w:hAnsi="宋体" w:cs="宋体"/>
          <w:sz w:val="24"/>
        </w:rPr>
      </w:pPr>
      <w:r>
        <w:rPr>
          <w:rFonts w:hint="eastAsia" w:ascii="宋体" w:hAnsi="宋体" w:eastAsia="宋体" w:cs="宋体"/>
          <w:kern w:val="0"/>
          <w:sz w:val="24"/>
          <w:szCs w:val="24"/>
          <w:lang w:val="en-US" w:eastAsia="zh-CN" w:bidi="ar-SA"/>
        </w:rPr>
        <w:t>2、合同总价包括：包括货物费、税费、到达现场的运保费、仓储管理费、搬运装卸费等全部费用。</w:t>
      </w:r>
    </w:p>
    <w:p>
      <w:pPr>
        <w:keepNext w:val="0"/>
        <w:keepLines w:val="0"/>
        <w:pageBreakBefore w:val="0"/>
        <w:widowControl w:val="0"/>
        <w:tabs>
          <w:tab w:val="left" w:pos="480"/>
        </w:tabs>
        <w:kinsoku/>
        <w:wordWrap/>
        <w:overflowPunct/>
        <w:topLinePunct w:val="0"/>
        <w:autoSpaceDE/>
        <w:autoSpaceDN/>
        <w:bidi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3、合同单价一次性包死，不受市场价变化的影响。最终付款总价以甲方实际使用数量为准。</w:t>
      </w:r>
    </w:p>
    <w:p>
      <w:pPr>
        <w:tabs>
          <w:tab w:val="left" w:pos="735"/>
        </w:tabs>
        <w:adjustRightInd w:val="0"/>
        <w:snapToGrid w:val="0"/>
        <w:spacing w:line="360" w:lineRule="auto"/>
        <w:rPr>
          <w:rFonts w:ascii="宋体" w:hAnsi="宋体" w:cs="宋体"/>
          <w:b/>
          <w:sz w:val="24"/>
        </w:rPr>
      </w:pPr>
      <w:r>
        <w:rPr>
          <w:rFonts w:hint="eastAsia" w:ascii="宋体" w:hAnsi="宋体" w:cs="宋体"/>
          <w:b/>
          <w:sz w:val="24"/>
        </w:rPr>
        <w:t>三、合同结算</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ascii="宋体" w:hAnsi="宋体" w:cs="宋体"/>
          <w:color w:val="FF0000"/>
          <w:sz w:val="24"/>
        </w:rPr>
      </w:pPr>
      <w:r>
        <w:rPr>
          <w:rFonts w:hint="eastAsia" w:ascii="宋体" w:hAnsi="宋体" w:cs="宋体"/>
          <w:sz w:val="24"/>
        </w:rPr>
        <w:t>1、付款方式：银行转账。由甲方负责结算，乙方必须开具全额发票给甲方，并附详细清单。如非中标单位所开具发票，甲方有权拒绝支付。</w:t>
      </w:r>
    </w:p>
    <w:p>
      <w:pPr>
        <w:keepNext w:val="0"/>
        <w:keepLines w:val="0"/>
        <w:pageBreakBefore w:val="0"/>
        <w:widowControl w:val="0"/>
        <w:tabs>
          <w:tab w:val="left" w:pos="480"/>
        </w:tabs>
        <w:kinsoku/>
        <w:wordWrap/>
        <w:overflowPunct/>
        <w:topLinePunct w:val="0"/>
        <w:bidi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2、结算方式：合同签订后每满三个月后5个工作日内根据各中标供应商所供试剂的实际数量据实结算一次。</w:t>
      </w:r>
    </w:p>
    <w:p>
      <w:pPr>
        <w:tabs>
          <w:tab w:val="left" w:pos="480"/>
        </w:tabs>
        <w:spacing w:line="360" w:lineRule="auto"/>
        <w:rPr>
          <w:rFonts w:ascii="宋体" w:hAnsi="宋体" w:cs="宋体"/>
          <w:b/>
          <w:sz w:val="24"/>
        </w:rPr>
      </w:pPr>
      <w:r>
        <w:rPr>
          <w:rFonts w:hint="eastAsia" w:ascii="宋体" w:hAnsi="宋体" w:cs="宋体"/>
          <w:b/>
          <w:sz w:val="24"/>
        </w:rPr>
        <w:t>四、交货条件: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1、交货地点：西安市中心血站指定地点。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ascii="宋体" w:hAnsi="宋体" w:cs="宋体"/>
          <w:sz w:val="24"/>
        </w:rPr>
      </w:pPr>
      <w:r>
        <w:rPr>
          <w:rFonts w:hint="eastAsia" w:ascii="宋体" w:hAnsi="宋体" w:cs="宋体"/>
          <w:sz w:val="24"/>
        </w:rPr>
        <w:t>2、交</w:t>
      </w:r>
      <w:r>
        <w:rPr>
          <w:rFonts w:hint="eastAsia" w:ascii="宋体" w:hAnsi="宋体" w:cs="宋体"/>
          <w:color w:val="auto"/>
          <w:sz w:val="24"/>
        </w:rPr>
        <w:t>货期：自合同签订之日起按照</w:t>
      </w:r>
      <w:r>
        <w:rPr>
          <w:rFonts w:hint="eastAsia" w:ascii="宋体" w:hAnsi="宋体" w:cs="宋体"/>
          <w:color w:val="auto"/>
          <w:sz w:val="24"/>
          <w:lang w:eastAsia="zh-CN"/>
        </w:rPr>
        <w:t>甲方</w:t>
      </w:r>
      <w:r>
        <w:rPr>
          <w:rFonts w:hint="eastAsia" w:ascii="宋体" w:hAnsi="宋体" w:cs="宋体"/>
          <w:color w:val="auto"/>
          <w:sz w:val="24"/>
          <w:lang w:val="en-US" w:eastAsia="zh-CN"/>
        </w:rPr>
        <w:t>分批</w:t>
      </w:r>
      <w:r>
        <w:rPr>
          <w:rFonts w:hint="eastAsia" w:ascii="宋体" w:hAnsi="宋体" w:cs="宋体"/>
          <w:color w:val="auto"/>
          <w:sz w:val="24"/>
        </w:rPr>
        <w:t>采购规定的时间</w:t>
      </w:r>
      <w:r>
        <w:rPr>
          <w:rFonts w:hint="eastAsia" w:ascii="宋体" w:hAnsi="宋体" w:cs="宋体"/>
          <w:color w:val="auto"/>
          <w:sz w:val="24"/>
          <w:lang w:eastAsia="zh-CN"/>
        </w:rPr>
        <w:t>（</w:t>
      </w:r>
      <w:r>
        <w:rPr>
          <w:rFonts w:hint="eastAsia" w:ascii="宋体" w:hAnsi="宋体" w:cs="宋体"/>
          <w:color w:val="auto"/>
          <w:sz w:val="24"/>
          <w:lang w:val="en-US" w:eastAsia="zh-CN"/>
        </w:rPr>
        <w:t>配送时间</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个工作日内</w:t>
      </w:r>
      <w:r>
        <w:rPr>
          <w:rFonts w:hint="eastAsia" w:ascii="宋体" w:hAnsi="宋体" w:cs="宋体"/>
          <w:color w:val="auto"/>
          <w:sz w:val="24"/>
          <w:lang w:eastAsia="zh-CN"/>
        </w:rPr>
        <w:t>）</w:t>
      </w:r>
      <w:r>
        <w:rPr>
          <w:rFonts w:hint="eastAsia" w:ascii="宋体" w:hAnsi="宋体" w:cs="宋体"/>
          <w:color w:val="auto"/>
          <w:sz w:val="24"/>
          <w:lang w:val="en-US" w:eastAsia="zh-CN"/>
        </w:rPr>
        <w:t>要求送达规定</w:t>
      </w:r>
      <w:r>
        <w:rPr>
          <w:rFonts w:hint="eastAsia" w:ascii="宋体" w:hAnsi="宋体" w:cs="宋体"/>
          <w:color w:val="auto"/>
          <w:sz w:val="24"/>
        </w:rPr>
        <w:t>地点进行交货，未按时交货产生的一切损失由</w:t>
      </w:r>
      <w:r>
        <w:rPr>
          <w:rFonts w:hint="eastAsia" w:ascii="宋体" w:hAnsi="宋体" w:cs="宋体"/>
          <w:color w:val="auto"/>
          <w:sz w:val="24"/>
          <w:lang w:eastAsia="zh-CN"/>
        </w:rPr>
        <w:t>乙方</w:t>
      </w:r>
      <w:r>
        <w:rPr>
          <w:rFonts w:hint="eastAsia" w:ascii="宋体" w:hAnsi="宋体" w:cs="宋体"/>
          <w:color w:val="auto"/>
          <w:sz w:val="24"/>
        </w:rPr>
        <w:t>负责。</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3、质保期：</w:t>
      </w:r>
      <w:r>
        <w:rPr>
          <w:rFonts w:hint="eastAsia" w:ascii="宋体" w:hAnsi="宋体" w:cs="宋体"/>
          <w:sz w:val="24"/>
          <w:lang w:eastAsia="zh-CN"/>
        </w:rPr>
        <w:t>验收合格后</w:t>
      </w:r>
      <w:r>
        <w:rPr>
          <w:rFonts w:hint="eastAsia" w:ascii="宋体" w:hAnsi="宋体" w:cs="宋体"/>
          <w:sz w:val="24"/>
          <w:u w:val="single"/>
          <w:lang w:val="en-US" w:eastAsia="zh-CN"/>
        </w:rPr>
        <w:t xml:space="preserve">    </w:t>
      </w:r>
      <w:r>
        <w:rPr>
          <w:rFonts w:hint="eastAsia" w:ascii="宋体" w:hAnsi="宋体" w:cs="宋体"/>
          <w:sz w:val="24"/>
          <w:lang w:eastAsia="zh-CN"/>
        </w:rPr>
        <w:t>年</w:t>
      </w:r>
      <w:r>
        <w:rPr>
          <w:rFonts w:hint="eastAsia" w:ascii="宋体" w:hAnsi="宋体" w:cs="宋体"/>
          <w:sz w:val="24"/>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4、供货单位必须提供投标时所展示的相关资料存档</w:t>
      </w:r>
    </w:p>
    <w:p>
      <w:pPr>
        <w:tabs>
          <w:tab w:val="left" w:pos="480"/>
        </w:tabs>
        <w:spacing w:line="360" w:lineRule="auto"/>
        <w:rPr>
          <w:rFonts w:ascii="宋体" w:hAnsi="宋体" w:cs="宋体"/>
          <w:b/>
          <w:sz w:val="24"/>
        </w:rPr>
      </w:pPr>
      <w:r>
        <w:rPr>
          <w:rFonts w:hint="eastAsia" w:ascii="宋体" w:hAnsi="宋体" w:cs="宋体"/>
          <w:b/>
          <w:sz w:val="24"/>
        </w:rPr>
        <w:t>五、运输</w:t>
      </w:r>
    </w:p>
    <w:p>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1、乙方负责所有货物的运输。确保货物按期、安全、完整到达指定地点，运杂费用包含在总价内，即货物的运输费、保险费、搬运费等。</w:t>
      </w:r>
    </w:p>
    <w:p>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2、所有货物在运输、搬运、安装的过程中，造成甲方损失的，由乙方为甲方修复或更新。</w:t>
      </w:r>
    </w:p>
    <w:p>
      <w:pPr>
        <w:tabs>
          <w:tab w:val="left" w:pos="480"/>
        </w:tabs>
        <w:spacing w:line="360" w:lineRule="auto"/>
        <w:rPr>
          <w:rFonts w:ascii="宋体" w:hAnsi="宋体" w:cs="宋体"/>
          <w:b/>
          <w:sz w:val="24"/>
        </w:rPr>
      </w:pPr>
      <w:r>
        <w:rPr>
          <w:rFonts w:hint="eastAsia" w:ascii="宋体" w:hAnsi="宋体" w:cs="宋体"/>
          <w:b/>
          <w:sz w:val="24"/>
        </w:rPr>
        <w:t>六、质量保证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1、因配送装卸过程中造成的损耗（例如包装严重变形、破损等），乙方必须无条件更换。</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2、乙方具有符合国家相关规定和甲方要求的仓储场所，保证数量至少两个月的库存。接甲方配送通知后，安排专职人员和车辆进行配送，响应时间限时2小时以内。</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3、所有产品因质量原因不能使用的，乙方须免费更换。</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4、如果乙方提供的</w:t>
      </w:r>
      <w:r>
        <w:rPr>
          <w:rFonts w:hint="eastAsia" w:ascii="宋体" w:hAnsi="宋体" w:cs="宋体"/>
          <w:sz w:val="24"/>
          <w:lang w:eastAsia="zh-CN"/>
        </w:rPr>
        <w:t>无纺布手提袋</w:t>
      </w:r>
      <w:r>
        <w:rPr>
          <w:rFonts w:hint="eastAsia" w:ascii="宋体" w:hAnsi="宋体" w:cs="宋体"/>
          <w:sz w:val="24"/>
        </w:rPr>
        <w:t>质量原因给甲方造成了恶劣影响，甲方有权终止合同，根据造成的影响提出赔偿。</w:t>
      </w:r>
    </w:p>
    <w:p>
      <w:pPr>
        <w:snapToGrid w:val="0"/>
        <w:spacing w:line="360" w:lineRule="auto"/>
        <w:rPr>
          <w:rFonts w:ascii="宋体" w:hAnsi="宋体" w:cs="宋体"/>
          <w:b/>
          <w:sz w:val="24"/>
        </w:rPr>
      </w:pPr>
      <w:r>
        <w:rPr>
          <w:rFonts w:hint="eastAsia" w:ascii="宋体" w:hAnsi="宋体" w:cs="宋体"/>
          <w:b/>
          <w:sz w:val="24"/>
        </w:rPr>
        <w:t>七、验收</w:t>
      </w:r>
    </w:p>
    <w:p>
      <w:pPr>
        <w:snapToGrid w:val="0"/>
        <w:spacing w:line="360" w:lineRule="auto"/>
        <w:ind w:firstLine="480" w:firstLineChars="200"/>
        <w:rPr>
          <w:rFonts w:ascii="宋体" w:hAnsi="宋体" w:cs="宋体"/>
          <w:sz w:val="24"/>
        </w:rPr>
      </w:pPr>
      <w:r>
        <w:rPr>
          <w:rFonts w:hint="eastAsia" w:ascii="宋体" w:hAnsi="宋体" w:cs="宋体"/>
          <w:sz w:val="24"/>
        </w:rPr>
        <w:t>由甲方和乙方共同对项目整体进行验收。其内容包括确认产品的产地、规格、型号和数量，对其产品技术指标、性能参数是否达到现行国家有关验收规范“合格”标准进行逐项检查。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所验产品的指标、性能参数通过验收达不到招标文件要求和投标响应文件承诺的，或在使用中发现甲方不能容忍的缺陷等，将视为产品验收不合格，乙方应无条件免费更换或退货。</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若发现乙方有弄虚作假的，在招标阶段故意或随意夸大产品技术性能，乙方应无条件退货，并赔偿甲方相应的损失。</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验收标准：按招标文件、</w:t>
      </w:r>
      <w:r>
        <w:rPr>
          <w:rFonts w:hint="eastAsia" w:ascii="宋体" w:hAnsi="宋体" w:cs="宋体"/>
          <w:sz w:val="24"/>
          <w:lang w:eastAsia="zh-CN"/>
        </w:rPr>
        <w:t>投标</w:t>
      </w:r>
      <w:r>
        <w:rPr>
          <w:rFonts w:hint="eastAsia" w:ascii="宋体" w:hAnsi="宋体" w:cs="宋体"/>
          <w:sz w:val="24"/>
        </w:rPr>
        <w:t>文件及澄清函等技术指标进行验收。各项指标均应符合验收标准及要求。</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验收合格后，填写验收单，双方签章生效。</w:t>
      </w:r>
    </w:p>
    <w:p>
      <w:pPr>
        <w:keepNext w:val="0"/>
        <w:keepLines w:val="0"/>
        <w:pageBreakBefore w:val="0"/>
        <w:widowControl w:val="0"/>
        <w:tabs>
          <w:tab w:val="left" w:pos="480"/>
        </w:tabs>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验收依据：合同文本；</w:t>
      </w:r>
      <w:r>
        <w:rPr>
          <w:rFonts w:hint="eastAsia" w:ascii="宋体" w:hAnsi="宋体" w:cs="宋体"/>
          <w:sz w:val="24"/>
          <w:lang w:eastAsia="zh-CN"/>
        </w:rPr>
        <w:t>投标</w:t>
      </w:r>
      <w:r>
        <w:rPr>
          <w:rFonts w:hint="eastAsia" w:ascii="宋体" w:hAnsi="宋体" w:cs="宋体"/>
          <w:sz w:val="24"/>
        </w:rPr>
        <w:t>文件及澄清函、</w:t>
      </w:r>
      <w:r>
        <w:rPr>
          <w:rFonts w:hint="eastAsia" w:ascii="宋体" w:hAnsi="宋体" w:cs="宋体"/>
          <w:sz w:val="24"/>
          <w:lang w:eastAsia="zh-CN"/>
        </w:rPr>
        <w:t>招标</w:t>
      </w:r>
      <w:r>
        <w:rPr>
          <w:rFonts w:hint="eastAsia" w:ascii="宋体" w:hAnsi="宋体" w:cs="宋体"/>
          <w:sz w:val="24"/>
        </w:rPr>
        <w:t>文件；国家和行业制定的相应的标准和规范；产品验收清单（注明品名、数量、规格型号和原产地或生产厂家）。</w:t>
      </w:r>
    </w:p>
    <w:p>
      <w:pPr>
        <w:snapToGrid w:val="0"/>
        <w:spacing w:line="360" w:lineRule="auto"/>
        <w:rPr>
          <w:rFonts w:ascii="宋体" w:hAnsi="宋体" w:cs="宋体"/>
          <w:b/>
          <w:sz w:val="24"/>
        </w:rPr>
      </w:pPr>
      <w:r>
        <w:rPr>
          <w:rFonts w:hint="eastAsia" w:ascii="宋体" w:hAnsi="宋体" w:cs="宋体"/>
          <w:b/>
          <w:sz w:val="24"/>
        </w:rPr>
        <w:t>八、双方的权利和义务</w:t>
      </w:r>
    </w:p>
    <w:p>
      <w:pPr>
        <w:keepNext w:val="0"/>
        <w:keepLines w:val="0"/>
        <w:pageBreakBefore w:val="0"/>
        <w:widowControl w:val="0"/>
        <w:tabs>
          <w:tab w:val="left" w:pos="480"/>
        </w:tabs>
        <w:kinsoku/>
        <w:wordWrap/>
        <w:overflowPunct/>
        <w:topLinePunct w:val="0"/>
        <w:autoSpaceDE/>
        <w:autoSpaceDN/>
        <w:bidi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1、乙方应全力支持甲方组织无偿献血活动，并积极配合、参与无偿献血事业的宣传。</w:t>
      </w:r>
    </w:p>
    <w:p>
      <w:pPr>
        <w:keepNext w:val="0"/>
        <w:keepLines w:val="0"/>
        <w:pageBreakBefore w:val="0"/>
        <w:widowControl w:val="0"/>
        <w:tabs>
          <w:tab w:val="left" w:pos="480"/>
        </w:tabs>
        <w:kinsoku/>
        <w:wordWrap/>
        <w:overflowPunct/>
        <w:topLinePunct w:val="0"/>
        <w:autoSpaceDE/>
        <w:autoSpaceDN/>
        <w:bidi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2、乙方应保证甲方在使用该产品或其任何一部分时免受第三方提出侵犯其专利权、商标权或工业设计权的起诉。</w:t>
      </w:r>
    </w:p>
    <w:p>
      <w:pPr>
        <w:keepNext w:val="0"/>
        <w:keepLines w:val="0"/>
        <w:pageBreakBefore w:val="0"/>
        <w:widowControl w:val="0"/>
        <w:tabs>
          <w:tab w:val="left" w:pos="480"/>
        </w:tabs>
        <w:kinsoku/>
        <w:wordWrap/>
        <w:overflowPunct/>
        <w:topLinePunct w:val="0"/>
        <w:autoSpaceDE/>
        <w:autoSpaceDN/>
        <w:bidi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3、产品质量不符合合同规定时，乙方负责包退包换。由于上述原因导致延误交货时间的，每延误一日，乙方应按逾期交货部分产品价款总值的5‰向甲方偿付违约金。</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周的赔偿费按迟交货物交货价或未提供服务的服务费用的百分之一（1%）计收，直至交货或提供服务为止。误期赔偿费的最高限额为合同价格的百分之五（5%）。一旦达到误期赔偿费的最高限额，甲方可终止合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6、如遇不可抗拒因素，甲方可终止合同。</w:t>
      </w:r>
    </w:p>
    <w:p>
      <w:pPr>
        <w:snapToGrid w:val="0"/>
        <w:spacing w:line="360" w:lineRule="auto"/>
        <w:rPr>
          <w:rFonts w:hint="eastAsia" w:ascii="宋体" w:hAnsi="宋体" w:cs="宋体"/>
          <w:b/>
          <w:sz w:val="24"/>
        </w:rPr>
      </w:pPr>
      <w:r>
        <w:rPr>
          <w:rFonts w:hint="eastAsia" w:ascii="宋体" w:hAnsi="宋体" w:cs="宋体"/>
          <w:b/>
          <w:sz w:val="24"/>
        </w:rPr>
        <w:t>九、技术服务</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1、对技术服务的要求：</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2、技术资料：</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2-1、产品合格证及检验报告；</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2-2、产品使用说明书（中文）；</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2-3、中国商品检验局出具的商检合格证明（进口产品）；</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2-4、其它资料。</w:t>
      </w:r>
    </w:p>
    <w:p>
      <w:pPr>
        <w:snapToGrid w:val="0"/>
        <w:spacing w:line="360" w:lineRule="auto"/>
        <w:rPr>
          <w:rFonts w:hint="eastAsia" w:ascii="宋体" w:hAnsi="宋体" w:cs="宋体"/>
          <w:b/>
          <w:sz w:val="24"/>
        </w:rPr>
      </w:pPr>
      <w:r>
        <w:rPr>
          <w:rFonts w:hint="eastAsia" w:ascii="宋体" w:hAnsi="宋体" w:cs="宋体"/>
          <w:b/>
          <w:sz w:val="24"/>
        </w:rPr>
        <w:t>十、售后服务</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1、因配送装卸过程中造成的损耗（例如包装严重变形、破损等），中标供应商必须无条件更换。</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2、中标供应商必须在本市有符合国家相关规定和采购人要求的仓储场所，保证产品数量至少两个月的库存。接采购人配送通知后，安排专职人员和车辆进行配送，响应时间限时2小时以内。</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3、所有产品因质量原因不能使用的或采购人验收不合格产品，中标方须免费更换，若更换率过大，采购人方可终止合同。</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4、如果中标供应商提供的</w:t>
      </w:r>
      <w:r>
        <w:rPr>
          <w:rFonts w:hint="eastAsia" w:ascii="宋体" w:hAnsi="宋体" w:cs="宋体"/>
          <w:sz w:val="24"/>
          <w:lang w:val="en-US" w:eastAsia="zh-CN"/>
        </w:rPr>
        <w:t>无纺布</w:t>
      </w:r>
      <w:r>
        <w:rPr>
          <w:rFonts w:hint="eastAsia" w:ascii="宋体" w:hAnsi="宋体" w:cs="宋体"/>
          <w:sz w:val="24"/>
        </w:rPr>
        <w:t>质量原因给采购人造成了恶劣影响，中标供应商必须在权威媒体刊登声明，澄清事实，消除对采购人因此产生的不良社会影响。同时采购人有权终止合同并冻结货款，根据造成的影响提出赔偿。</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5、如出现非质量原因造成的压货，中标供应商有义务更换。</w:t>
      </w:r>
    </w:p>
    <w:p>
      <w:pPr>
        <w:snapToGrid w:val="0"/>
        <w:spacing w:line="360" w:lineRule="auto"/>
        <w:rPr>
          <w:rFonts w:hint="eastAsia" w:ascii="宋体" w:hAnsi="宋体" w:cs="宋体"/>
          <w:b/>
          <w:sz w:val="24"/>
        </w:rPr>
      </w:pPr>
      <w:r>
        <w:rPr>
          <w:rFonts w:hint="eastAsia" w:ascii="宋体" w:hAnsi="宋体" w:cs="宋体"/>
          <w:b/>
          <w:sz w:val="24"/>
        </w:rPr>
        <w:t>十</w:t>
      </w:r>
      <w:r>
        <w:rPr>
          <w:rFonts w:hint="eastAsia" w:ascii="宋体" w:hAnsi="宋体" w:cs="宋体"/>
          <w:b/>
          <w:sz w:val="24"/>
          <w:lang w:eastAsia="zh-CN"/>
        </w:rPr>
        <w:t>一</w:t>
      </w:r>
      <w:r>
        <w:rPr>
          <w:rFonts w:hint="eastAsia" w:ascii="宋体" w:hAnsi="宋体" w:cs="宋体"/>
          <w:b/>
          <w:sz w:val="24"/>
        </w:rPr>
        <w:t>、解决合同纠纷的方式</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本合同在履行过程中发生的争议，由甲、乙双方当事人协商解决，协商不成的按下列第2种方式解决：</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1、提交西安仲裁委员会仲裁；</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2、依法向采购人所在地雁塔区人民法院起诉。</w:t>
      </w:r>
    </w:p>
    <w:p>
      <w:pPr>
        <w:snapToGrid w:val="0"/>
        <w:spacing w:line="360" w:lineRule="auto"/>
        <w:rPr>
          <w:rFonts w:hint="eastAsia" w:ascii="宋体" w:hAnsi="宋体" w:cs="宋体"/>
          <w:b/>
          <w:sz w:val="24"/>
        </w:rPr>
      </w:pPr>
      <w:r>
        <w:rPr>
          <w:rFonts w:hint="eastAsia" w:ascii="宋体" w:hAnsi="宋体" w:cs="宋体"/>
          <w:b/>
          <w:sz w:val="24"/>
        </w:rPr>
        <w:t>十</w:t>
      </w:r>
      <w:r>
        <w:rPr>
          <w:rFonts w:hint="eastAsia" w:ascii="宋体" w:hAnsi="宋体" w:cs="宋体"/>
          <w:b/>
          <w:sz w:val="24"/>
          <w:lang w:eastAsia="zh-CN"/>
        </w:rPr>
        <w:t>二</w:t>
      </w:r>
      <w:r>
        <w:rPr>
          <w:rFonts w:hint="eastAsia" w:ascii="宋体" w:hAnsi="宋体" w:cs="宋体"/>
          <w:b/>
          <w:sz w:val="24"/>
        </w:rPr>
        <w:t>、合同生效</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 xml:space="preserve">、 本合同正本一式 捌 份，采购人 </w:t>
      </w:r>
      <w:r>
        <w:rPr>
          <w:rFonts w:hint="eastAsia" w:ascii="宋体" w:hAnsi="宋体" w:cs="宋体"/>
          <w:sz w:val="24"/>
          <w:lang w:eastAsia="zh-CN"/>
        </w:rPr>
        <w:t>肆</w:t>
      </w:r>
      <w:r>
        <w:rPr>
          <w:rFonts w:hint="eastAsia" w:ascii="宋体" w:hAnsi="宋体" w:cs="宋体"/>
          <w:sz w:val="24"/>
        </w:rPr>
        <w:t xml:space="preserve"> 份、中标供应商壹份，备案贰份</w:t>
      </w:r>
      <w:r>
        <w:rPr>
          <w:rFonts w:hint="eastAsia" w:ascii="宋体" w:hAnsi="宋体" w:cs="宋体"/>
          <w:sz w:val="24"/>
          <w:lang w:eastAsia="zh-CN"/>
        </w:rPr>
        <w:t>，代理机构壹份</w:t>
      </w:r>
      <w:r>
        <w:rPr>
          <w:rFonts w:hint="eastAsia" w:ascii="宋体" w:hAnsi="宋体" w:cs="宋体"/>
          <w:sz w:val="24"/>
        </w:rPr>
        <w:t>。</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、合同经甲乙双方盖章、签字后生效，合同签订地点为 西安市中心血站 。</w:t>
      </w:r>
    </w:p>
    <w:p>
      <w:pPr>
        <w:keepNext w:val="0"/>
        <w:keepLines w:val="0"/>
        <w:pageBreakBefore w:val="0"/>
        <w:widowControl w:val="0"/>
        <w:kinsoku/>
        <w:wordWrap/>
        <w:overflowPunct/>
        <w:topLinePunct w:val="0"/>
        <w:autoSpaceDE/>
        <w:autoSpaceDN/>
        <w:bidi w:val="0"/>
        <w:snapToGrid w:val="0"/>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lang w:val="en-US" w:eastAsia="zh-CN"/>
        </w:rPr>
        <w:t>3</w:t>
      </w:r>
      <w:r>
        <w:rPr>
          <w:rFonts w:hint="eastAsia" w:ascii="宋体" w:hAnsi="宋体" w:cs="宋体"/>
          <w:sz w:val="24"/>
        </w:rPr>
        <w:t>、生效时间：合同签订日起</w:t>
      </w:r>
    </w:p>
    <w:p>
      <w:pPr>
        <w:widowControl/>
        <w:autoSpaceDE w:val="0"/>
        <w:autoSpaceDN w:val="0"/>
        <w:snapToGrid w:val="0"/>
        <w:spacing w:line="360" w:lineRule="auto"/>
        <w:ind w:right="893"/>
        <w:textAlignment w:val="bottom"/>
        <w:rPr>
          <w:rFonts w:ascii="宋体" w:hAnsi="宋体" w:cs="宋体"/>
          <w:b/>
          <w:sz w:val="24"/>
        </w:rPr>
      </w:pPr>
      <w:r>
        <w:rPr>
          <w:rFonts w:hint="eastAsia" w:ascii="宋体" w:hAnsi="宋体" w:cs="宋体"/>
          <w:b/>
          <w:sz w:val="24"/>
        </w:rPr>
        <w:t>十</w:t>
      </w:r>
      <w:r>
        <w:rPr>
          <w:rFonts w:hint="eastAsia" w:ascii="宋体" w:hAnsi="宋体" w:cs="宋体"/>
          <w:b/>
          <w:sz w:val="24"/>
          <w:lang w:eastAsia="zh-CN"/>
        </w:rPr>
        <w:t>三</w:t>
      </w:r>
      <w:r>
        <w:rPr>
          <w:rFonts w:hint="eastAsia" w:ascii="宋体" w:hAnsi="宋体" w:cs="宋体"/>
          <w:b/>
          <w:sz w:val="24"/>
        </w:rPr>
        <w:t>、其他事项</w:t>
      </w:r>
    </w:p>
    <w:p>
      <w:pPr>
        <w:widowControl/>
        <w:spacing w:line="360" w:lineRule="auto"/>
        <w:ind w:firstLine="482"/>
        <w:rPr>
          <w:rFonts w:ascii="宋体" w:hAnsi="宋体" w:cs="宋体"/>
          <w:sz w:val="24"/>
        </w:rPr>
      </w:pPr>
      <w:r>
        <w:rPr>
          <w:rFonts w:hint="eastAsia" w:ascii="宋体" w:hAnsi="宋体" w:cs="宋体"/>
          <w:sz w:val="24"/>
          <w:lang w:val="en-US" w:eastAsia="zh-CN"/>
        </w:rPr>
        <w:t>1、</w:t>
      </w:r>
      <w:r>
        <w:rPr>
          <w:rFonts w:hint="eastAsia" w:ascii="宋体" w:hAnsi="宋体" w:cs="宋体"/>
          <w:sz w:val="24"/>
        </w:rPr>
        <w:t>合同未尽事宜，由甲、乙双方协商确认后，作为合同补充，与原合同具有同等法律效力。</w:t>
      </w:r>
    </w:p>
    <w:p>
      <w:pPr>
        <w:widowControl/>
        <w:spacing w:line="360" w:lineRule="auto"/>
        <w:ind w:firstLine="482"/>
        <w:rPr>
          <w:rFonts w:ascii="宋体" w:hAnsi="宋体" w:cs="宋体"/>
          <w:sz w:val="24"/>
        </w:rPr>
      </w:pPr>
      <w:r>
        <w:rPr>
          <w:rFonts w:hint="eastAsia" w:ascii="宋体" w:hAnsi="宋体" w:cs="宋体"/>
          <w:sz w:val="24"/>
          <w:lang w:val="en-US" w:eastAsia="zh-CN"/>
        </w:rPr>
        <w:t>2、</w:t>
      </w:r>
      <w:r>
        <w:rPr>
          <w:rFonts w:hint="eastAsia" w:ascii="宋体" w:hAnsi="宋体" w:cs="宋体"/>
          <w:sz w:val="24"/>
        </w:rPr>
        <w:t>合同一经签订，不得擅自变更、中止或终止合同。对确需变更、调整或中止、终止合同的，应按规定履行相应的手续。</w:t>
      </w:r>
    </w:p>
    <w:p>
      <w:pPr>
        <w:widowControl/>
        <w:spacing w:line="360" w:lineRule="auto"/>
        <w:ind w:firstLine="482"/>
        <w:rPr>
          <w:rFonts w:ascii="宋体" w:hAnsi="宋体" w:cs="宋体"/>
          <w:sz w:val="24"/>
        </w:rPr>
      </w:pPr>
      <w:r>
        <w:rPr>
          <w:rFonts w:hint="eastAsia" w:ascii="宋体" w:hAnsi="宋体" w:cs="宋体"/>
          <w:sz w:val="24"/>
          <w:lang w:val="en-US" w:eastAsia="zh-CN"/>
        </w:rPr>
        <w:t>3、</w:t>
      </w:r>
      <w:r>
        <w:rPr>
          <w:rFonts w:hint="eastAsia" w:ascii="宋体" w:hAnsi="宋体" w:cs="宋体"/>
          <w:sz w:val="24"/>
        </w:rPr>
        <w:t>本合同按照中华人民共和国的现行法律进行解释。</w:t>
      </w:r>
    </w:p>
    <w:p>
      <w:pPr>
        <w:widowControl/>
        <w:tabs>
          <w:tab w:val="left" w:pos="8391"/>
        </w:tabs>
        <w:autoSpaceDE w:val="0"/>
        <w:autoSpaceDN w:val="0"/>
        <w:snapToGrid w:val="0"/>
        <w:spacing w:line="360" w:lineRule="auto"/>
        <w:ind w:right="-69" w:firstLine="980" w:firstLineChars="350"/>
        <w:jc w:val="center"/>
        <w:textAlignment w:val="bottom"/>
        <w:outlineLvl w:val="9"/>
        <w:rPr>
          <w:rFonts w:hint="eastAsia" w:ascii="宋体" w:hAnsi="宋体" w:eastAsia="宋体" w:cs="宋体"/>
          <w:color w:val="FF0000"/>
          <w:kern w:val="0"/>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8"/>
        <w:gridCol w:w="3540"/>
        <w:gridCol w:w="3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48"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甲方:西安市中心血站</w:t>
            </w:r>
          </w:p>
        </w:tc>
        <w:tc>
          <w:tcPr>
            <w:tcW w:w="3540"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乙方</w:t>
            </w:r>
            <w:r>
              <w:rPr>
                <w:rFonts w:hint="eastAsia" w:ascii="宋体" w:hAnsi="宋体" w:eastAsia="宋体" w:cs="宋体"/>
                <w:color w:val="auto"/>
                <w:spacing w:val="-20"/>
                <w:kern w:val="0"/>
                <w:sz w:val="28"/>
                <w:szCs w:val="28"/>
                <w:lang w:eastAsia="zh-CN"/>
              </w:rPr>
              <w:t>：</w:t>
            </w:r>
          </w:p>
        </w:tc>
        <w:tc>
          <w:tcPr>
            <w:tcW w:w="3705"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lang w:eastAsia="zh-CN"/>
              </w:rPr>
            </w:pPr>
            <w:r>
              <w:rPr>
                <w:rFonts w:hint="eastAsia" w:ascii="宋体" w:hAnsi="宋体" w:eastAsia="宋体" w:cs="宋体"/>
                <w:color w:val="auto"/>
                <w:spacing w:val="-20"/>
                <w:kern w:val="0"/>
                <w:sz w:val="28"/>
                <w:szCs w:val="28"/>
              </w:rPr>
              <w:t>鉴证方</w:t>
            </w:r>
            <w:r>
              <w:rPr>
                <w:rFonts w:hint="eastAsia" w:ascii="宋体" w:hAnsi="宋体" w:eastAsia="宋体" w:cs="宋体"/>
                <w:color w:val="auto"/>
                <w:spacing w:val="-20"/>
                <w:kern w:val="0"/>
                <w:sz w:val="28"/>
                <w:szCs w:val="28"/>
                <w:lang w:eastAsia="zh-CN"/>
              </w:rPr>
              <w:t>：陕西卓佲项目管理有限公司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648"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地址：朱雀大街407号</w:t>
            </w:r>
          </w:p>
        </w:tc>
        <w:tc>
          <w:tcPr>
            <w:tcW w:w="3540" w:type="dxa"/>
            <w:tcBorders>
              <w:top w:val="nil"/>
              <w:left w:val="nil"/>
              <w:bottom w:val="nil"/>
              <w:right w:val="nil"/>
            </w:tcBorders>
            <w:noWrap w:val="0"/>
            <w:vAlign w:val="top"/>
          </w:tcPr>
          <w:p>
            <w:pPr>
              <w:tabs>
                <w:tab w:val="left" w:pos="480"/>
              </w:tabs>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 xml:space="preserve">地址： </w:t>
            </w:r>
          </w:p>
        </w:tc>
        <w:tc>
          <w:tcPr>
            <w:tcW w:w="3705" w:type="dxa"/>
            <w:tcBorders>
              <w:top w:val="nil"/>
              <w:left w:val="nil"/>
              <w:bottom w:val="nil"/>
              <w:right w:val="nil"/>
            </w:tcBorders>
            <w:noWrap w:val="0"/>
            <w:vAlign w:val="top"/>
          </w:tcPr>
          <w:p>
            <w:pPr>
              <w:widowControl/>
              <w:tabs>
                <w:tab w:val="left" w:pos="1620"/>
              </w:tabs>
              <w:snapToGrid w:val="0"/>
              <w:spacing w:line="360" w:lineRule="auto"/>
              <w:ind w:right="-197" w:rightChars="-94"/>
              <w:jc w:val="left"/>
              <w:outlineLvl w:val="9"/>
              <w:rPr>
                <w:rFonts w:hint="eastAsia" w:ascii="宋体" w:hAnsi="宋体" w:eastAsia="宋体" w:cs="宋体"/>
                <w:color w:val="auto"/>
                <w:kern w:val="0"/>
                <w:sz w:val="28"/>
                <w:szCs w:val="28"/>
              </w:rPr>
            </w:pPr>
            <w:r>
              <w:rPr>
                <w:rFonts w:hint="eastAsia" w:ascii="宋体" w:hAnsi="宋体" w:eastAsia="宋体" w:cs="宋体"/>
                <w:color w:val="auto"/>
                <w:spacing w:val="-20"/>
                <w:kern w:val="0"/>
                <w:sz w:val="28"/>
                <w:szCs w:val="28"/>
              </w:rPr>
              <w:t>地址：</w:t>
            </w:r>
            <w:r>
              <w:rPr>
                <w:rFonts w:hint="eastAsia" w:ascii="宋体" w:hAnsi="宋体" w:eastAsia="宋体" w:cs="宋体"/>
                <w:color w:val="auto"/>
                <w:spacing w:val="-20"/>
                <w:kern w:val="0"/>
                <w:sz w:val="28"/>
                <w:szCs w:val="28"/>
                <w:lang w:eastAsia="zh-CN"/>
              </w:rPr>
              <w:t>科技路</w:t>
            </w:r>
            <w:r>
              <w:rPr>
                <w:rFonts w:hint="eastAsia" w:ascii="宋体" w:hAnsi="宋体" w:eastAsia="宋体" w:cs="宋体"/>
                <w:color w:val="auto"/>
                <w:spacing w:val="-20"/>
                <w:kern w:val="0"/>
                <w:sz w:val="28"/>
                <w:szCs w:val="28"/>
                <w:lang w:val="en-US" w:eastAsia="zh-CN"/>
              </w:rPr>
              <w:t>10号华奥大厦A座2002室</w:t>
            </w:r>
            <w:r>
              <w:rPr>
                <w:rFonts w:hint="eastAsia" w:ascii="宋体" w:hAnsi="宋体" w:eastAsia="宋体" w:cs="宋体"/>
                <w:color w:val="auto"/>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8"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邮编：710061</w:t>
            </w:r>
          </w:p>
        </w:tc>
        <w:tc>
          <w:tcPr>
            <w:tcW w:w="3540"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邮编：</w:t>
            </w:r>
          </w:p>
        </w:tc>
        <w:tc>
          <w:tcPr>
            <w:tcW w:w="3705"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8"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 xml:space="preserve">法定代表人： </w:t>
            </w:r>
          </w:p>
        </w:tc>
        <w:tc>
          <w:tcPr>
            <w:tcW w:w="3540"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 xml:space="preserve">法定代表人： </w:t>
            </w:r>
          </w:p>
        </w:tc>
        <w:tc>
          <w:tcPr>
            <w:tcW w:w="3705"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8"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被授权代表：（签字）</w:t>
            </w:r>
          </w:p>
        </w:tc>
        <w:tc>
          <w:tcPr>
            <w:tcW w:w="3540"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被授权代表：</w:t>
            </w:r>
          </w:p>
          <w:p>
            <w:pPr>
              <w:autoSpaceDE w:val="0"/>
              <w:autoSpaceDN w:val="0"/>
              <w:adjustRightInd w:val="0"/>
              <w:spacing w:line="360" w:lineRule="auto"/>
              <w:outlineLvl w:val="9"/>
              <w:rPr>
                <w:rFonts w:hint="eastAsia" w:ascii="宋体" w:hAnsi="宋体" w:eastAsia="宋体" w:cs="宋体"/>
                <w:color w:val="auto"/>
                <w:spacing w:val="-20"/>
                <w:kern w:val="0"/>
                <w:sz w:val="28"/>
                <w:szCs w:val="28"/>
                <w:lang w:eastAsia="zh-CN"/>
              </w:rPr>
            </w:pPr>
            <w:r>
              <w:rPr>
                <w:rFonts w:hint="eastAsia" w:ascii="宋体" w:hAnsi="宋体" w:eastAsia="宋体" w:cs="宋体"/>
                <w:color w:val="auto"/>
                <w:spacing w:val="-20"/>
                <w:kern w:val="0"/>
                <w:sz w:val="28"/>
                <w:szCs w:val="28"/>
                <w:lang w:eastAsia="zh-CN"/>
              </w:rPr>
              <w:t>账号：</w:t>
            </w:r>
          </w:p>
          <w:p>
            <w:pPr>
              <w:pStyle w:val="6"/>
              <w:ind w:left="0" w:leftChars="0" w:firstLine="0" w:firstLineChars="0"/>
              <w:outlineLvl w:val="9"/>
              <w:rPr>
                <w:rFonts w:hint="eastAsia" w:ascii="宋体" w:hAnsi="宋体" w:eastAsia="宋体" w:cs="宋体"/>
                <w:color w:val="auto"/>
                <w:lang w:eastAsia="zh-CN"/>
              </w:rPr>
            </w:pPr>
            <w:r>
              <w:rPr>
                <w:rFonts w:hint="eastAsia" w:ascii="宋体" w:hAnsi="宋体" w:eastAsia="宋体" w:cs="宋体"/>
                <w:color w:val="auto"/>
                <w:spacing w:val="-20"/>
                <w:kern w:val="0"/>
                <w:sz w:val="28"/>
                <w:szCs w:val="28"/>
                <w:lang w:eastAsia="zh-CN"/>
              </w:rPr>
              <w:t>开户行名称：</w:t>
            </w:r>
          </w:p>
        </w:tc>
        <w:tc>
          <w:tcPr>
            <w:tcW w:w="3705"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承办人：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8"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电话：</w:t>
            </w:r>
          </w:p>
        </w:tc>
        <w:tc>
          <w:tcPr>
            <w:tcW w:w="3540"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p>
        </w:tc>
        <w:tc>
          <w:tcPr>
            <w:tcW w:w="3705" w:type="dxa"/>
            <w:tcBorders>
              <w:top w:val="nil"/>
              <w:left w:val="nil"/>
              <w:bottom w:val="nil"/>
              <w:right w:val="nil"/>
            </w:tcBorders>
            <w:noWrap w:val="0"/>
            <w:vAlign w:val="top"/>
          </w:tcPr>
          <w:p>
            <w:pPr>
              <w:widowControl/>
              <w:tabs>
                <w:tab w:val="left" w:pos="1620"/>
              </w:tabs>
              <w:snapToGrid w:val="0"/>
              <w:spacing w:line="360" w:lineRule="auto"/>
              <w:ind w:right="-197" w:rightChars="-94"/>
              <w:jc w:val="left"/>
              <w:outlineLvl w:val="9"/>
              <w:rPr>
                <w:rFonts w:hint="eastAsia" w:ascii="宋体" w:hAnsi="宋体" w:eastAsia="宋体" w:cs="宋体"/>
                <w:color w:val="auto"/>
                <w:spacing w:val="-20"/>
                <w:kern w:val="0"/>
                <w:sz w:val="28"/>
                <w:szCs w:val="28"/>
              </w:rPr>
            </w:pPr>
            <w:r>
              <w:rPr>
                <w:rFonts w:hint="eastAsia" w:ascii="宋体" w:hAnsi="宋体" w:eastAsia="宋体" w:cs="宋体"/>
                <w:color w:val="auto"/>
                <w:spacing w:val="-20"/>
                <w:kern w:val="0"/>
                <w:sz w:val="28"/>
                <w:szCs w:val="28"/>
              </w:rPr>
              <w:t xml:space="preserve">电话：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8"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cs="宋体"/>
                <w:color w:val="000000"/>
                <w:spacing w:val="-20"/>
                <w:kern w:val="0"/>
                <w:sz w:val="24"/>
              </w:rPr>
              <w:t>日期：      年    月     日</w:t>
            </w:r>
          </w:p>
        </w:tc>
        <w:tc>
          <w:tcPr>
            <w:tcW w:w="3540"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cs="宋体"/>
                <w:color w:val="000000"/>
                <w:spacing w:val="-20"/>
                <w:kern w:val="0"/>
                <w:sz w:val="24"/>
              </w:rPr>
              <w:t>日期：      年    月     日</w:t>
            </w:r>
          </w:p>
        </w:tc>
        <w:tc>
          <w:tcPr>
            <w:tcW w:w="3705" w:type="dxa"/>
            <w:tcBorders>
              <w:top w:val="nil"/>
              <w:left w:val="nil"/>
              <w:bottom w:val="nil"/>
              <w:right w:val="nil"/>
            </w:tcBorders>
            <w:noWrap w:val="0"/>
            <w:vAlign w:val="top"/>
          </w:tcPr>
          <w:p>
            <w:pPr>
              <w:autoSpaceDE w:val="0"/>
              <w:autoSpaceDN w:val="0"/>
              <w:adjustRightInd w:val="0"/>
              <w:spacing w:line="360" w:lineRule="auto"/>
              <w:outlineLvl w:val="9"/>
              <w:rPr>
                <w:rFonts w:hint="eastAsia" w:ascii="宋体" w:hAnsi="宋体" w:eastAsia="宋体" w:cs="宋体"/>
                <w:color w:val="auto"/>
                <w:spacing w:val="-20"/>
                <w:kern w:val="0"/>
                <w:sz w:val="28"/>
                <w:szCs w:val="28"/>
              </w:rPr>
            </w:pPr>
            <w:r>
              <w:rPr>
                <w:rFonts w:hint="eastAsia" w:ascii="宋体" w:hAnsi="宋体" w:cs="宋体"/>
                <w:color w:val="000000"/>
                <w:spacing w:val="-20"/>
                <w:kern w:val="0"/>
                <w:sz w:val="24"/>
              </w:rPr>
              <w:t>日期：      年    月     日</w:t>
            </w:r>
          </w:p>
        </w:tc>
      </w:tr>
    </w:tbl>
    <w:p>
      <w:pPr>
        <w:pStyle w:val="9"/>
        <w:rPr>
          <w:rFonts w:hint="eastAsia"/>
          <w:lang w:val="en-US" w:eastAsia="zh-Hans"/>
        </w:rPr>
      </w:pPr>
    </w:p>
    <w:p>
      <w:bookmarkStart w:id="4" w:name="_GoBack"/>
      <w:bookmarkEnd w:id="4"/>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7AD95254"/>
    <w:rsid w:val="7AD9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hint="eastAsia" w:ascii="Arial" w:hAnsi="Arial" w:eastAsia="宋体" w:cs="Times New Roman"/>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unhideWhenUsed/>
    <w:qFormat/>
    <w:uiPriority w:val="99"/>
    <w:pPr>
      <w:spacing w:line="400" w:lineRule="exact"/>
    </w:pPr>
    <w:rPr>
      <w:rFonts w:ascii="Calibri Light" w:hAnsi="Calibri Light" w:eastAsia="华文仿宋" w:cs="Calibri Light"/>
      <w:kern w:val="2"/>
      <w:sz w:val="28"/>
      <w:szCs w:val="28"/>
    </w:rPr>
  </w:style>
  <w:style w:type="paragraph" w:styleId="5">
    <w:name w:val="Body Text Indent"/>
    <w:basedOn w:val="1"/>
    <w:next w:val="1"/>
    <w:qFormat/>
    <w:uiPriority w:val="0"/>
    <w:pPr>
      <w:ind w:left="420" w:leftChars="200"/>
    </w:pPr>
  </w:style>
  <w:style w:type="paragraph" w:styleId="6">
    <w:name w:val="Body Text First Indent 2"/>
    <w:basedOn w:val="5"/>
    <w:unhideWhenUsed/>
    <w:qFormat/>
    <w:uiPriority w:val="99"/>
    <w:pPr>
      <w:ind w:firstLine="420" w:firstLineChars="200"/>
    </w:pPr>
    <w:rPr>
      <w:szCs w:val="20"/>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2024-04-08T03:18:00Z</dcterms:created>
  <dc:creator>®</dc:creator>
  <cp:lastModifiedBy>®</cp:lastModifiedBy>
  <dcterms:modified xsi:type="dcterms:W3CDTF">2024-04-08T03:18:33Z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66B45F03E676469896751DA5DB99F59F_11</vt:lpwstr>
  </property>
</Properties>
</file>