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网络安全服务</w:t>
      </w:r>
    </w:p>
    <w:p>
      <w:pPr>
        <w:pStyle w:val="null3"/>
        <w:jc w:val="center"/>
        <w:outlineLvl w:val="2"/>
      </w:pPr>
      <w:r>
        <w:rPr>
          <w:b/>
          <w:sz w:val="28"/>
        </w:rPr>
        <w:t>采购项目编号：</w:t>
      </w:r>
      <w:r>
        <w:rPr>
          <w:b/>
          <w:sz w:val="28"/>
        </w:rPr>
        <w:t>XAZTBZFCG-2024-003</w:t>
      </w:r>
      <w:r>
        <w:br/>
      </w:r>
      <w:r>
        <w:br/>
      </w:r>
      <w:r>
        <w:br/>
      </w:r>
    </w:p>
    <w:p>
      <w:pPr>
        <w:pStyle w:val="null3"/>
        <w:jc w:val="center"/>
        <w:outlineLvl w:val="2"/>
      </w:pPr>
      <w:r>
        <w:rPr>
          <w:b/>
          <w:sz w:val="28"/>
        </w:rPr>
        <w:t>西安铁路职业技术学院</w:t>
      </w:r>
    </w:p>
    <w:p>
      <w:pPr>
        <w:pStyle w:val="null3"/>
        <w:jc w:val="center"/>
        <w:outlineLvl w:val="2"/>
      </w:pPr>
      <w:r>
        <w:rPr>
          <w:b/>
          <w:sz w:val="28"/>
        </w:rPr>
        <w:t>陕西国铁经营服务有限公司</w:t>
      </w:r>
      <w:r>
        <w:rPr>
          <w:b/>
          <w:sz w:val="28"/>
        </w:rPr>
        <w:t>共同编制</w:t>
      </w:r>
    </w:p>
    <w:p>
      <w:pPr>
        <w:pStyle w:val="null3"/>
        <w:jc w:val="center"/>
        <w:outlineLvl w:val="2"/>
      </w:pPr>
      <w:r>
        <w:rPr>
          <w:b/>
          <w:sz w:val="28"/>
        </w:rPr>
        <w:t>2024年04月11日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陕西国铁经营服务有限公司</w:t>
      </w:r>
      <w:r>
        <w:rPr/>
        <w:t>（以下简称“代理机构”）受</w:t>
      </w:r>
      <w:r>
        <w:rPr/>
        <w:t>西安铁路职业技术学院</w:t>
      </w:r>
      <w:r>
        <w:rPr/>
        <w:t>委托，拟对</w:t>
      </w:r>
      <w:r>
        <w:rPr/>
        <w:t>网络安全服务</w:t>
      </w:r>
      <w:r>
        <w:rPr/>
        <w:t>采用竞争性磋商采购方式进行采购，兹邀请供应商参加本项目的竞争性磋商。</w:t>
      </w:r>
    </w:p>
    <w:p>
      <w:pPr>
        <w:pStyle w:val="null3"/>
        <w:outlineLvl w:val="2"/>
      </w:pPr>
      <w:r>
        <w:rPr>
          <w:b/>
          <w:sz w:val="28"/>
        </w:rPr>
        <w:t>一、项目编号：</w:t>
      </w:r>
      <w:r>
        <w:rPr>
          <w:b/>
          <w:sz w:val="28"/>
        </w:rPr>
        <w:t>XAZTBZFCG-2024-003</w:t>
      </w:r>
    </w:p>
    <w:p>
      <w:pPr>
        <w:pStyle w:val="null3"/>
        <w:outlineLvl w:val="2"/>
      </w:pPr>
      <w:r>
        <w:rPr>
          <w:b/>
          <w:sz w:val="28"/>
        </w:rPr>
        <w:t>二、项目名称：</w:t>
      </w:r>
      <w:r>
        <w:rPr>
          <w:b/>
          <w:sz w:val="28"/>
        </w:rPr>
        <w:t>网络安全服务</w:t>
      </w:r>
    </w:p>
    <w:p>
      <w:pPr>
        <w:pStyle w:val="null3"/>
        <w:outlineLvl w:val="2"/>
      </w:pPr>
      <w:r>
        <w:rPr>
          <w:b/>
          <w:sz w:val="28"/>
        </w:rPr>
        <w:t>三、磋商项目简介</w:t>
      </w:r>
    </w:p>
    <w:p>
      <w:pPr>
        <w:pStyle w:val="null3"/>
        <w:ind w:firstLine="480"/>
      </w:pPr>
      <w:r>
        <w:rPr/>
        <w:t>网络安全服务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采购包1（网络安全服务）：属于专门面向中小企业采购。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t>2、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t>3、本项目不接受联合体投标：本项目不接受联合体磋商，（投标主体为单一供应商，无需提供证明材料）</w:t>
      </w:r>
    </w:p>
    <w:p>
      <w:pPr>
        <w:pStyle w:val="null3"/>
      </w:pPr>
      <w:r>
        <w:rPr/>
        <w:t>4、是否面向中、小企业采购：本项目为专门面向中、小企业项目，供应商应为中型企业或小型企业或微型企业</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710000</w:t>
      </w:r>
    </w:p>
    <w:p>
      <w:pPr>
        <w:pStyle w:val="null3"/>
      </w:pPr>
      <w:r>
        <w:rPr/>
        <w:t xml:space="preserve"> 联系人： </w:t>
      </w:r>
      <w:r>
        <w:rPr/>
        <w:t>西安铁路职业技术学院经办</w:t>
      </w:r>
    </w:p>
    <w:p>
      <w:pPr>
        <w:pStyle w:val="null3"/>
      </w:pPr>
      <w:r>
        <w:rPr/>
        <w:t xml:space="preserve"> 联系电话： </w:t>
      </w:r>
      <w:r>
        <w:rPr/>
        <w:t>029-88092228</w:t>
      </w:r>
    </w:p>
    <w:p>
      <w:pPr>
        <w:pStyle w:val="null3"/>
        <w:outlineLvl w:val="3"/>
      </w:pPr>
      <w:r>
        <w:rPr>
          <w:b/>
          <w:sz w:val="24"/>
        </w:rPr>
        <w:t>代理机构：</w:t>
      </w:r>
      <w:r>
        <w:rPr>
          <w:b/>
          <w:sz w:val="24"/>
        </w:rPr>
        <w:t>陕西国铁经营服务有限公司</w:t>
      </w:r>
    </w:p>
    <w:p>
      <w:pPr>
        <w:pStyle w:val="null3"/>
      </w:pPr>
      <w:r>
        <w:rPr/>
        <w:t xml:space="preserve"> 地址： </w:t>
      </w:r>
      <w:r>
        <w:rPr/>
        <w:t>陕西省西安市友谊东路与兴庆西路十字西北角铁路局7号高层裙楼二楼</w:t>
      </w:r>
    </w:p>
    <w:p>
      <w:pPr>
        <w:pStyle w:val="null3"/>
      </w:pPr>
      <w:r>
        <w:rPr/>
        <w:t xml:space="preserve"> 邮编： </w:t>
      </w:r>
      <w:r>
        <w:rPr/>
        <w:t>710000</w:t>
      </w:r>
    </w:p>
    <w:p>
      <w:pPr>
        <w:pStyle w:val="null3"/>
      </w:pPr>
      <w:r>
        <w:rPr/>
        <w:t xml:space="preserve"> 联系人： </w:t>
      </w:r>
      <w:r>
        <w:rPr/>
        <w:t>陈彦名</w:t>
      </w:r>
    </w:p>
    <w:p>
      <w:pPr>
        <w:pStyle w:val="null3"/>
      </w:pPr>
      <w:r>
        <w:rPr/>
        <w:t xml:space="preserve"> 联系电话： </w:t>
      </w:r>
      <w:r>
        <w:rPr/>
        <w:t>18992803035</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成交供应商应向采购代理机构交纳招标代理服务费。采购代理服务费的收取参见原国家计委颁布的《招标代理服务费收费管理暂行办法》（计价格[2002]1980号）中服务类的收费标准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陕西国铁经营服务有限公司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陕西国铁经营服务有限公司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陕西国铁经营服务有限公司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陕西国铁经营服务有限公司</w:t>
      </w:r>
      <w:r>
        <w:rPr/>
        <w:t xml:space="preserve"> 负责答复；供应商对除采购需求外的采购文件的询问、质疑由</w:t>
      </w:r>
      <w:r>
        <w:rPr/>
        <w:t>陕西国铁经营服务有限公司</w:t>
      </w:r>
      <w:r>
        <w:rPr/>
        <w:t xml:space="preserve"> 负责答复；供应商对采购过程、采购结果的询问、质疑由 </w:t>
      </w:r>
      <w:r>
        <w:rPr/>
        <w:t>陕西国铁经营服务有限公司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联系人：陈工</w:t>
      </w:r>
    </w:p>
    <w:p>
      <w:pPr>
        <w:pStyle w:val="null3"/>
      </w:pPr>
      <w:r>
        <w:rPr/>
        <w:t>联系电话：18992803035</w:t>
      </w:r>
    </w:p>
    <w:p>
      <w:pPr>
        <w:pStyle w:val="null3"/>
      </w:pPr>
      <w:r>
        <w:rPr/>
        <w:t>地址：陕西省西安市碑林区友谊东路与兴庆路十字西北角铁路局高层裙楼二楼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采购不少于151个服务器终端响应，80个重要信息系统</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网络安全服务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标的名称：网络安全服务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仿宋" w:hAnsi="仿宋" w:cs="仿宋" w:eastAsia="仿宋"/>
                <w:b/>
                <w:color w:val="000000"/>
                <w:sz w:val="28"/>
              </w:rPr>
              <w:t>1</w:t>
            </w:r>
            <w:r>
              <w:rPr>
                <w:rFonts w:ascii="仿宋" w:hAnsi="仿宋" w:cs="仿宋" w:eastAsia="仿宋"/>
                <w:b/>
                <w:color w:val="000000"/>
                <w:sz w:val="28"/>
              </w:rPr>
              <w:t>.</w:t>
            </w:r>
            <w:r>
              <w:rPr/>
              <w:t xml:space="preserve"> </w:t>
            </w:r>
            <w:r>
              <w:rPr>
                <w:rFonts w:ascii="仿宋" w:hAnsi="仿宋" w:cs="仿宋" w:eastAsia="仿宋"/>
                <w:b/>
                <w:color w:val="000000"/>
                <w:sz w:val="28"/>
              </w:rPr>
              <w:t>安全托管服务</w:t>
            </w:r>
          </w:p>
          <w:tbl>
            <w:tblPr>
              <w:tblBorders>
                <w:top w:val="none" w:color="000000" w:sz="4"/>
                <w:left w:val="none" w:color="000000" w:sz="4"/>
                <w:bottom w:val="none" w:color="000000" w:sz="4"/>
                <w:right w:val="none" w:color="000000" w:sz="4"/>
                <w:insideH w:val="none"/>
                <w:insideV w:val="none"/>
              </w:tblBorders>
            </w:tblPr>
            <w:tblGrid>
              <w:gridCol w:w="336"/>
              <w:gridCol w:w="2217"/>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8"/>
                    </w:rPr>
                    <w:t>指标项</w:t>
                  </w:r>
                </w:p>
              </w:tc>
              <w:tc>
                <w:tcPr>
                  <w:tcW w:type="dxa" w:w="2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8"/>
                    </w:rPr>
                    <w:t>具体要求</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服务概述</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▲为学校不少于8</w:t>
                  </w:r>
                  <w:r>
                    <w:rPr>
                      <w:rFonts w:ascii="仿宋" w:hAnsi="仿宋" w:cs="仿宋" w:eastAsia="仿宋"/>
                      <w:color w:val="000000"/>
                      <w:sz w:val="28"/>
                    </w:rPr>
                    <w:t>0</w:t>
                  </w:r>
                  <w:r>
                    <w:rPr>
                      <w:rFonts w:ascii="仿宋" w:hAnsi="仿宋" w:cs="仿宋" w:eastAsia="仿宋"/>
                      <w:color w:val="000000"/>
                      <w:sz w:val="28"/>
                    </w:rPr>
                    <w:t>个核心资产（数据中心资产</w:t>
                  </w:r>
                  <w:r>
                    <w:rPr>
                      <w:rFonts w:ascii="仿宋" w:hAnsi="仿宋" w:cs="仿宋" w:eastAsia="仿宋"/>
                      <w:color w:val="000000"/>
                      <w:sz w:val="28"/>
                    </w:rPr>
                    <w:t>IP数量）提供7</w:t>
                  </w:r>
                  <w:r>
                    <w:rPr>
                      <w:rFonts w:ascii="仿宋" w:hAnsi="仿宋" w:cs="仿宋" w:eastAsia="仿宋"/>
                      <w:b/>
                      <w:color w:val="000000"/>
                      <w:sz w:val="28"/>
                    </w:rPr>
                    <w:t>*24小时连续性的安全保障</w:t>
                  </w:r>
                  <w:r>
                    <w:rPr>
                      <w:rFonts w:ascii="仿宋" w:hAnsi="仿宋" w:cs="仿宋" w:eastAsia="仿宋"/>
                      <w:color w:val="000000"/>
                      <w:sz w:val="28"/>
                    </w:rPr>
                    <w:t>。不论是白天、黑夜、节假日供应商都应该能做到</w:t>
                  </w:r>
                  <w:r>
                    <w:rPr>
                      <w:rFonts w:ascii="仿宋" w:hAnsi="仿宋" w:cs="仿宋" w:eastAsia="仿宋"/>
                      <w:color w:val="000000"/>
                      <w:sz w:val="28"/>
                    </w:rPr>
                    <w:t>7*24小时在</w:t>
                  </w:r>
                  <w:r>
                    <w:rPr>
                      <w:rFonts w:ascii="仿宋" w:hAnsi="仿宋" w:cs="仿宋" w:eastAsia="仿宋"/>
                      <w:color w:val="000000"/>
                      <w:sz w:val="28"/>
                    </w:rPr>
                    <w:t>线服务，</w:t>
                  </w:r>
                  <w:r>
                    <w:rPr>
                      <w:rFonts w:ascii="仿宋" w:hAnsi="仿宋" w:cs="仿宋" w:eastAsia="仿宋"/>
                      <w:color w:val="000000"/>
                      <w:sz w:val="28"/>
                    </w:rPr>
                    <w:t>供应商提供不低于以下服务效果的</w:t>
                  </w:r>
                  <w:r>
                    <w:rPr>
                      <w:rFonts w:ascii="仿宋" w:hAnsi="仿宋" w:cs="仿宋" w:eastAsia="仿宋"/>
                      <w:b/>
                      <w:color w:val="000000"/>
                      <w:sz w:val="28"/>
                    </w:rPr>
                    <w:t>SLA承诺（提供供应商服务承诺函）</w:t>
                  </w:r>
                  <w:r>
                    <w:rPr>
                      <w:rFonts w:ascii="仿宋" w:hAnsi="仿宋" w:cs="仿宋" w:eastAsia="仿宋"/>
                      <w:color w:val="000000"/>
                      <w:sz w:val="28"/>
                    </w:rPr>
                    <w:t>：</w:t>
                  </w:r>
                </w:p>
                <w:p>
                  <w:pPr>
                    <w:pStyle w:val="null3"/>
                    <w:jc w:val="left"/>
                  </w:pPr>
                  <w:r>
                    <w:rPr>
                      <w:rFonts w:ascii="仿宋" w:hAnsi="仿宋" w:cs="仿宋" w:eastAsia="仿宋"/>
                      <w:color w:val="000000"/>
                      <w:sz w:val="28"/>
                    </w:rPr>
                    <w:t>1）一</w:t>
                  </w:r>
                  <w:r>
                    <w:rPr>
                      <w:rFonts w:ascii="仿宋" w:hAnsi="仿宋" w:cs="仿宋" w:eastAsia="仿宋"/>
                      <w:color w:val="000000"/>
                      <w:sz w:val="28"/>
                    </w:rPr>
                    <w:t>般事件</w:t>
                  </w:r>
                  <w:r>
                    <w:rPr>
                      <w:rFonts w:ascii="仿宋" w:hAnsi="仿宋" w:cs="仿宋" w:eastAsia="仿宋"/>
                      <w:color w:val="000000"/>
                      <w:sz w:val="28"/>
                    </w:rPr>
                    <w:t>：</w:t>
                  </w:r>
                </w:p>
                <w:p>
                  <w:pPr>
                    <w:pStyle w:val="null3"/>
                    <w:jc w:val="left"/>
                  </w:pPr>
                  <w:r>
                    <w:rPr>
                      <w:rFonts w:ascii="仿宋" w:hAnsi="仿宋" w:cs="仿宋" w:eastAsia="仿宋"/>
                      <w:color w:val="000000"/>
                      <w:sz w:val="28"/>
                    </w:rPr>
                    <w:t>从安全日志产生到通告</w:t>
                  </w:r>
                  <w:r>
                    <w:rPr>
                      <w:rFonts w:ascii="仿宋" w:hAnsi="仿宋" w:cs="仿宋" w:eastAsia="仿宋"/>
                      <w:color w:val="000000"/>
                      <w:sz w:val="28"/>
                    </w:rPr>
                    <w:t>&lt;1Hour、遏制影响时间&lt;4H、经供应商确认后，准确率达99%、事件闭环率100%；</w:t>
                  </w:r>
                </w:p>
                <w:p>
                  <w:pPr>
                    <w:pStyle w:val="null3"/>
                    <w:jc w:val="left"/>
                  </w:pPr>
                  <w:r>
                    <w:rPr>
                      <w:rFonts w:ascii="仿宋" w:hAnsi="仿宋" w:cs="仿宋" w:eastAsia="仿宋"/>
                      <w:color w:val="000000"/>
                      <w:sz w:val="28"/>
                    </w:rPr>
                    <w:t>2）一般威胁：</w:t>
                  </w:r>
                </w:p>
                <w:p>
                  <w:pPr>
                    <w:pStyle w:val="null3"/>
                    <w:jc w:val="left"/>
                  </w:pPr>
                  <w:r>
                    <w:rPr>
                      <w:rFonts w:ascii="仿宋" w:hAnsi="仿宋" w:cs="仿宋" w:eastAsia="仿宋"/>
                      <w:color w:val="000000"/>
                      <w:sz w:val="28"/>
                    </w:rPr>
                    <w:t>从安全日志产生到通告</w:t>
                  </w:r>
                  <w:r>
                    <w:rPr>
                      <w:rFonts w:ascii="仿宋" w:hAnsi="仿宋" w:cs="仿宋" w:eastAsia="仿宋"/>
                      <w:color w:val="000000"/>
                      <w:sz w:val="28"/>
                    </w:rPr>
                    <w:t>&lt;2Hour、遏制影响时间&lt;4H、经供应商确认后，准确率达99%、威胁闭环率100%；</w:t>
                  </w:r>
                </w:p>
                <w:p>
                  <w:pPr>
                    <w:pStyle w:val="null3"/>
                    <w:jc w:val="left"/>
                  </w:pPr>
                  <w:r>
                    <w:rPr>
                      <w:rFonts w:ascii="仿宋" w:hAnsi="仿宋" w:cs="仿宋" w:eastAsia="仿宋"/>
                      <w:color w:val="000000"/>
                      <w:sz w:val="28"/>
                    </w:rPr>
                    <w:t>3）重大事件</w:t>
                  </w:r>
                </w:p>
                <w:p>
                  <w:pPr>
                    <w:pStyle w:val="null3"/>
                    <w:jc w:val="left"/>
                  </w:pPr>
                  <w:r>
                    <w:rPr>
                      <w:rFonts w:ascii="仿宋" w:hAnsi="仿宋" w:cs="仿宋" w:eastAsia="仿宋"/>
                      <w:color w:val="000000"/>
                      <w:sz w:val="28"/>
                    </w:rPr>
                    <w:t>从安全日志产生到通告</w:t>
                  </w:r>
                  <w:r>
                    <w:rPr>
                      <w:rFonts w:ascii="仿宋" w:hAnsi="仿宋" w:cs="仿宋" w:eastAsia="仿宋"/>
                      <w:color w:val="000000"/>
                      <w:sz w:val="28"/>
                    </w:rPr>
                    <w:t>(MTTD)&lt;30min</w:t>
                  </w:r>
                  <w:r>
                    <w:rPr>
                      <w:rFonts w:ascii="仿宋" w:hAnsi="仿宋" w:cs="仿宋" w:eastAsia="仿宋"/>
                      <w:color w:val="000000"/>
                      <w:sz w:val="28"/>
                    </w:rPr>
                    <w:t>、</w:t>
                  </w:r>
                  <w:r>
                    <w:rPr>
                      <w:rFonts w:ascii="仿宋" w:hAnsi="仿宋" w:cs="仿宋" w:eastAsia="仿宋"/>
                      <w:color w:val="000000"/>
                      <w:sz w:val="28"/>
                    </w:rPr>
                    <w:t>遏制影响时间</w:t>
                  </w:r>
                  <w:r>
                    <w:rPr>
                      <w:rFonts w:ascii="仿宋" w:hAnsi="仿宋" w:cs="仿宋" w:eastAsia="仿宋"/>
                      <w:color w:val="000000"/>
                      <w:sz w:val="28"/>
                    </w:rPr>
                    <w:t>&lt;1H</w:t>
                  </w:r>
                  <w:r>
                    <w:rPr>
                      <w:rFonts w:ascii="仿宋" w:hAnsi="仿宋" w:cs="仿宋" w:eastAsia="仿宋"/>
                      <w:color w:val="000000"/>
                      <w:sz w:val="28"/>
                    </w:rPr>
                    <w:t>、</w:t>
                  </w:r>
                  <w:r>
                    <w:rPr>
                      <w:rFonts w:ascii="仿宋" w:hAnsi="仿宋" w:cs="仿宋" w:eastAsia="仿宋"/>
                      <w:color w:val="000000"/>
                      <w:sz w:val="28"/>
                    </w:rPr>
                    <w:t>经</w:t>
                  </w:r>
                  <w:r>
                    <w:rPr>
                      <w:rFonts w:ascii="仿宋" w:hAnsi="仿宋" w:cs="仿宋" w:eastAsia="仿宋"/>
                      <w:color w:val="000000"/>
                      <w:sz w:val="28"/>
                    </w:rPr>
                    <w:t>供应商</w:t>
                  </w:r>
                  <w:r>
                    <w:rPr>
                      <w:rFonts w:ascii="仿宋" w:hAnsi="仿宋" w:cs="仿宋" w:eastAsia="仿宋"/>
                      <w:color w:val="000000"/>
                      <w:sz w:val="28"/>
                    </w:rPr>
                    <w:t>确认后，准确率达</w:t>
                  </w:r>
                  <w:r>
                    <w:rPr>
                      <w:rFonts w:ascii="仿宋" w:hAnsi="仿宋" w:cs="仿宋" w:eastAsia="仿宋"/>
                      <w:color w:val="000000"/>
                      <w:sz w:val="28"/>
                    </w:rPr>
                    <w:t>99%</w:t>
                  </w:r>
                  <w:r>
                    <w:rPr>
                      <w:rFonts w:ascii="仿宋" w:hAnsi="仿宋" w:cs="仿宋" w:eastAsia="仿宋"/>
                      <w:color w:val="000000"/>
                      <w:sz w:val="28"/>
                    </w:rPr>
                    <w:t>、</w:t>
                  </w:r>
                  <w:r>
                    <w:rPr>
                      <w:rFonts w:ascii="仿宋" w:hAnsi="仿宋" w:cs="仿宋" w:eastAsia="仿宋"/>
                      <w:color w:val="000000"/>
                      <w:sz w:val="28"/>
                    </w:rPr>
                    <w:t>事件闭环率</w:t>
                  </w:r>
                  <w:r>
                    <w:rPr>
                      <w:rFonts w:ascii="仿宋" w:hAnsi="仿宋" w:cs="仿宋" w:eastAsia="仿宋"/>
                      <w:color w:val="000000"/>
                      <w:sz w:val="28"/>
                    </w:rPr>
                    <w:t>100%</w:t>
                  </w:r>
                  <w:r>
                    <w:rPr>
                      <w:rFonts w:ascii="仿宋" w:hAnsi="仿宋" w:cs="仿宋" w:eastAsia="仿宋"/>
                      <w:color w:val="000000"/>
                      <w:sz w:val="28"/>
                    </w:rPr>
                    <w:t>；</w:t>
                  </w:r>
                </w:p>
                <w:p>
                  <w:pPr>
                    <w:pStyle w:val="null3"/>
                    <w:jc w:val="left"/>
                  </w:pPr>
                  <w:r>
                    <w:rPr>
                      <w:rFonts w:ascii="仿宋" w:hAnsi="仿宋" w:cs="仿宋" w:eastAsia="仿宋"/>
                      <w:color w:val="000000"/>
                      <w:sz w:val="28"/>
                    </w:rPr>
                    <w:t>4）重大威胁</w:t>
                  </w:r>
                </w:p>
                <w:p>
                  <w:pPr>
                    <w:pStyle w:val="null3"/>
                    <w:jc w:val="left"/>
                  </w:pPr>
                  <w:r>
                    <w:rPr>
                      <w:rFonts w:ascii="仿宋" w:hAnsi="仿宋" w:cs="仿宋" w:eastAsia="仿宋"/>
                      <w:color w:val="000000"/>
                      <w:sz w:val="28"/>
                    </w:rPr>
                    <w:t>从安全日志产生到通告</w:t>
                  </w:r>
                  <w:r>
                    <w:rPr>
                      <w:rFonts w:ascii="仿宋" w:hAnsi="仿宋" w:cs="仿宋" w:eastAsia="仿宋"/>
                      <w:color w:val="000000"/>
                      <w:sz w:val="28"/>
                    </w:rPr>
                    <w:t>(MTTD )&lt;1Hour</w:t>
                  </w:r>
                  <w:r>
                    <w:rPr>
                      <w:rFonts w:ascii="仿宋" w:hAnsi="仿宋" w:cs="仿宋" w:eastAsia="仿宋"/>
                      <w:color w:val="000000"/>
                      <w:sz w:val="28"/>
                    </w:rPr>
                    <w:t>、</w:t>
                  </w:r>
                  <w:r>
                    <w:rPr>
                      <w:rFonts w:ascii="仿宋" w:hAnsi="仿宋" w:cs="仿宋" w:eastAsia="仿宋"/>
                      <w:color w:val="000000"/>
                      <w:sz w:val="28"/>
                    </w:rPr>
                    <w:t>响应处置时间</w:t>
                  </w:r>
                  <w:r>
                    <w:rPr>
                      <w:rFonts w:ascii="仿宋" w:hAnsi="仿宋" w:cs="仿宋" w:eastAsia="仿宋"/>
                      <w:color w:val="000000"/>
                      <w:sz w:val="28"/>
                    </w:rPr>
                    <w:t>(MTTR)&lt;1H</w:t>
                  </w:r>
                  <w:r>
                    <w:rPr>
                      <w:rFonts w:ascii="仿宋" w:hAnsi="仿宋" w:cs="仿宋" w:eastAsia="仿宋"/>
                      <w:color w:val="000000"/>
                      <w:sz w:val="28"/>
                    </w:rPr>
                    <w:t>、</w:t>
                  </w:r>
                  <w:r>
                    <w:rPr>
                      <w:rFonts w:ascii="仿宋" w:hAnsi="仿宋" w:cs="仿宋" w:eastAsia="仿宋"/>
                      <w:color w:val="000000"/>
                      <w:sz w:val="28"/>
                    </w:rPr>
                    <w:t>经</w:t>
                  </w:r>
                  <w:r>
                    <w:rPr>
                      <w:rFonts w:ascii="仿宋" w:hAnsi="仿宋" w:cs="仿宋" w:eastAsia="仿宋"/>
                      <w:color w:val="000000"/>
                      <w:sz w:val="28"/>
                    </w:rPr>
                    <w:t>供应商</w:t>
                  </w:r>
                  <w:r>
                    <w:rPr>
                      <w:rFonts w:ascii="仿宋" w:hAnsi="仿宋" w:cs="仿宋" w:eastAsia="仿宋"/>
                      <w:color w:val="000000"/>
                      <w:sz w:val="28"/>
                    </w:rPr>
                    <w:t>确认后，准确率达</w:t>
                  </w:r>
                  <w:r>
                    <w:rPr>
                      <w:rFonts w:ascii="仿宋" w:hAnsi="仿宋" w:cs="仿宋" w:eastAsia="仿宋"/>
                      <w:color w:val="000000"/>
                      <w:sz w:val="28"/>
                    </w:rPr>
                    <w:t>99%</w:t>
                  </w:r>
                  <w:r>
                    <w:rPr>
                      <w:rFonts w:ascii="仿宋" w:hAnsi="仿宋" w:cs="仿宋" w:eastAsia="仿宋"/>
                      <w:color w:val="000000"/>
                      <w:sz w:val="28"/>
                    </w:rPr>
                    <w:t>、</w:t>
                  </w:r>
                  <w:r>
                    <w:rPr>
                      <w:rFonts w:ascii="仿宋" w:hAnsi="仿宋" w:cs="仿宋" w:eastAsia="仿宋"/>
                      <w:color w:val="000000"/>
                      <w:sz w:val="28"/>
                    </w:rPr>
                    <w:t>威胁闭环率</w:t>
                  </w:r>
                  <w:r>
                    <w:rPr>
                      <w:rFonts w:ascii="仿宋" w:hAnsi="仿宋" w:cs="仿宋" w:eastAsia="仿宋"/>
                      <w:color w:val="000000"/>
                      <w:sz w:val="28"/>
                    </w:rPr>
                    <w:t>100%</w:t>
                  </w:r>
                  <w:r>
                    <w:rPr>
                      <w:rFonts w:ascii="仿宋" w:hAnsi="仿宋" w:cs="仿宋" w:eastAsia="仿宋"/>
                      <w:color w:val="000000"/>
                      <w:sz w:val="28"/>
                    </w:rPr>
                    <w:t>；</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安全现状评估</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系统与</w:t>
                  </w:r>
                  <w:r>
                    <w:rPr>
                      <w:rFonts w:ascii="仿宋" w:hAnsi="仿宋" w:cs="仿宋" w:eastAsia="仿宋"/>
                      <w:color w:val="000000"/>
                      <w:sz w:val="28"/>
                    </w:rPr>
                    <w:t>Web漏洞扫描：对操作系统、数据库、常见应用/协议、Web通用漏洞与常规漏洞进行漏洞扫描。</w:t>
                  </w:r>
                </w:p>
                <w:p>
                  <w:pPr>
                    <w:pStyle w:val="null3"/>
                    <w:jc w:val="left"/>
                  </w:pPr>
                  <w:r>
                    <w:rPr>
                      <w:rFonts w:ascii="仿宋" w:hAnsi="仿宋" w:cs="仿宋" w:eastAsia="仿宋"/>
                      <w:color w:val="000000"/>
                      <w:sz w:val="28"/>
                    </w:rPr>
                    <w:t>弱口令扫描：实现信息化资产不同应用弱口令猜解检测，如：</w:t>
                  </w:r>
                  <w:r>
                    <w:rPr>
                      <w:rFonts w:ascii="仿宋" w:hAnsi="仿宋" w:cs="仿宋" w:eastAsia="仿宋"/>
                      <w:color w:val="000000"/>
                      <w:sz w:val="28"/>
                    </w:rPr>
                    <w:t>SMB、Mssql、Mysql、Oracle、smtp、VNC、ftp、telnet、ssh、mysql、tomcat等。</w:t>
                  </w:r>
                </w:p>
                <w:p>
                  <w:pPr>
                    <w:pStyle w:val="null3"/>
                    <w:jc w:val="left"/>
                  </w:pPr>
                  <w:r>
                    <w:rPr>
                      <w:rFonts w:ascii="仿宋" w:hAnsi="仿宋" w:cs="仿宋" w:eastAsia="仿宋"/>
                      <w:color w:val="000000"/>
                      <w:sz w:val="28"/>
                    </w:rPr>
                    <w:t>供应商应使用扫描组件对资产开展暴露面探测，以梳理资产面向互联网的开放情况，快速发现违规暴露在互联网中的资产及存在的风险并进行处置，实现对暴露面资产可管可控，降低暴露面资产的风险。</w:t>
                  </w:r>
                </w:p>
                <w:p>
                  <w:pPr>
                    <w:pStyle w:val="null3"/>
                    <w:jc w:val="left"/>
                  </w:pPr>
                  <w:r>
                    <w:rPr>
                      <w:rFonts w:ascii="仿宋" w:hAnsi="仿宋" w:cs="仿宋" w:eastAsia="仿宋"/>
                      <w:color w:val="000000"/>
                      <w:sz w:val="28"/>
                    </w:rPr>
                    <w:t>针对漏洞利用攻击行为、</w:t>
                  </w:r>
                  <w:r>
                    <w:rPr>
                      <w:rFonts w:ascii="仿宋" w:hAnsi="仿宋" w:cs="仿宋" w:eastAsia="仿宋"/>
                      <w:color w:val="000000"/>
                      <w:sz w:val="28"/>
                    </w:rPr>
                    <w:t>Webshell上传行为、Web系统目录遍历攻击行为、SQL注入攻击行为、信息泄露攻击行为、口令暴力破解攻击行为、僵尸网络攻击行为、系统命令注入攻击行为及僵尸网络攻击行为进行分析评估，判断攻击行为是否成功以及业务风险点。</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脆弱性管理</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漏洞扫描与验证：针对服务资产的系统漏洞和</w:t>
                  </w:r>
                  <w:r>
                    <w:rPr>
                      <w:rFonts w:ascii="仿宋" w:hAnsi="仿宋" w:cs="仿宋" w:eastAsia="仿宋"/>
                      <w:color w:val="000000"/>
                      <w:sz w:val="28"/>
                    </w:rPr>
                    <w:t>Web漏洞进行全量扫描，并针对发现的Web漏洞进行验证，验证漏洞的真实性及分析发生后可造成的危害。</w:t>
                  </w:r>
                </w:p>
                <w:p>
                  <w:pPr>
                    <w:pStyle w:val="null3"/>
                    <w:jc w:val="left"/>
                  </w:pPr>
                  <w:r>
                    <w:rPr>
                      <w:rFonts w:ascii="仿宋" w:hAnsi="仿宋" w:cs="仿宋" w:eastAsia="仿宋"/>
                      <w:color w:val="000000"/>
                      <w:sz w:val="28"/>
                    </w:rPr>
                    <w:t>漏洞修复优先级排序与通告：基于漏洞扫描结果、资产重要性及漏洞的威胁情报，对漏洞进行重要性排序，确定修复的优先级；并将最终结果通告给学校。</w:t>
                  </w:r>
                </w:p>
                <w:p>
                  <w:pPr>
                    <w:pStyle w:val="null3"/>
                    <w:jc w:val="left"/>
                  </w:pPr>
                  <w:r>
                    <w:rPr>
                      <w:rFonts w:ascii="仿宋" w:hAnsi="仿宋" w:cs="仿宋" w:eastAsia="仿宋"/>
                      <w:color w:val="000000"/>
                      <w:sz w:val="28"/>
                    </w:rPr>
                    <w:t>漏洞可落地修复方案：对漏洞进行分析并输出可落地的修复方案，通过工单系统跟踪修复情况。</w:t>
                  </w:r>
                </w:p>
                <w:p>
                  <w:pPr>
                    <w:pStyle w:val="null3"/>
                    <w:jc w:val="left"/>
                  </w:pPr>
                  <w:r>
                    <w:rPr>
                      <w:rFonts w:ascii="仿宋" w:hAnsi="仿宋" w:cs="仿宋" w:eastAsia="仿宋"/>
                      <w:color w:val="000000"/>
                      <w:sz w:val="28"/>
                    </w:rPr>
                    <w:t>高可利用漏洞防护：支持一键防护扫描组件发现的高可利用漏洞。</w:t>
                  </w:r>
                </w:p>
                <w:p>
                  <w:pPr>
                    <w:pStyle w:val="null3"/>
                    <w:jc w:val="left"/>
                  </w:pPr>
                  <w:r>
                    <w:rPr>
                      <w:rFonts w:ascii="仿宋" w:hAnsi="仿宋" w:cs="仿宋" w:eastAsia="仿宋"/>
                      <w:color w:val="000000"/>
                      <w:sz w:val="28"/>
                    </w:rPr>
                    <w:t>漏洞复测与状态追踪：对修复的漏洞进行复测，及时更新漏洞工单的漏洞修复状态。</w:t>
                  </w:r>
                </w:p>
                <w:p>
                  <w:pPr>
                    <w:pStyle w:val="null3"/>
                    <w:jc w:val="left"/>
                  </w:pPr>
                  <w:r>
                    <w:rPr>
                      <w:rFonts w:ascii="仿宋" w:hAnsi="仿宋" w:cs="仿宋" w:eastAsia="仿宋"/>
                      <w:color w:val="000000"/>
                      <w:sz w:val="28"/>
                    </w:rPr>
                    <w:t>实现信息化资产不同应用弱口令猜解检测，如：</w:t>
                  </w:r>
                  <w:r>
                    <w:rPr>
                      <w:rFonts w:ascii="仿宋" w:hAnsi="仿宋" w:cs="仿宋" w:eastAsia="仿宋"/>
                      <w:color w:val="000000"/>
                      <w:sz w:val="28"/>
                    </w:rPr>
                    <w:t>SMB、Mssql、Mysql、Oracle、smtp、VNC、ftp、telnet、ssh、mysql、tomcat等。</w:t>
                  </w:r>
                </w:p>
                <w:p>
                  <w:pPr>
                    <w:pStyle w:val="null3"/>
                    <w:jc w:val="left"/>
                  </w:pPr>
                  <w:r>
                    <w:rPr>
                      <w:rFonts w:ascii="仿宋" w:hAnsi="仿宋" w:cs="仿宋" w:eastAsia="仿宋"/>
                      <w:color w:val="000000"/>
                      <w:sz w:val="28"/>
                    </w:rPr>
                    <w:t>针对安全组件收集的弱密码流量及日志进行分析验证，有针对性的进行内外网的弱口令检测，并将检测发现的问题通过工单系统跟踪修复状态。</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威胁管理</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7*24小时威胁鉴定：供应商依托于安全能力平台的大数据分析和威胁检测能力实时监测用户网络安全状态，对平台监测到的安全威胁进行分析鉴定，识别到真正的安全事件。</w:t>
                  </w:r>
                </w:p>
                <w:p>
                  <w:pPr>
                    <w:pStyle w:val="null3"/>
                    <w:jc w:val="left"/>
                  </w:pPr>
                  <w:r>
                    <w:rPr>
                      <w:rFonts w:ascii="仿宋" w:hAnsi="仿宋" w:cs="仿宋" w:eastAsia="仿宋"/>
                      <w:color w:val="000000"/>
                      <w:sz w:val="28"/>
                    </w:rPr>
                    <w:t>精准威胁情报推送：实时抓取互联网最新威胁情报与详细资产信息进行匹配，对最新威胁情报进行通告与排查。</w:t>
                  </w:r>
                </w:p>
                <w:p>
                  <w:pPr>
                    <w:pStyle w:val="null3"/>
                    <w:jc w:val="left"/>
                  </w:pPr>
                  <w:r>
                    <w:rPr>
                      <w:rFonts w:ascii="仿宋" w:hAnsi="仿宋" w:cs="仿宋" w:eastAsia="仿宋"/>
                      <w:color w:val="000000"/>
                      <w:sz w:val="28"/>
                    </w:rPr>
                    <w:t>供应商可针对内</w:t>
                  </w:r>
                  <w:r>
                    <w:rPr>
                      <w:rFonts w:ascii="仿宋" w:hAnsi="仿宋" w:cs="仿宋" w:eastAsia="仿宋"/>
                      <w:color w:val="000000"/>
                      <w:sz w:val="28"/>
                    </w:rPr>
                    <w:t>/外网或特定业务系统及特定漏洞，基于学校业务定制检测逻辑，尽可能快地发现漏洞或攻击痕迹，发现潜在的安全隐患和已失陷的主机/被钓鱼成功的员工/账密信息泄露等，最大限度地降低攻击者造成的危害，评估造成的损失等内容，最终帮助学校验证风险并推动发现的问题和隐患进行闭环处理</w:t>
                  </w:r>
                </w:p>
                <w:p>
                  <w:pPr>
                    <w:pStyle w:val="null3"/>
                    <w:jc w:val="left"/>
                  </w:pPr>
                  <w:r>
                    <w:rPr>
                      <w:rFonts w:ascii="仿宋" w:hAnsi="仿宋" w:cs="仿宋" w:eastAsia="仿宋"/>
                      <w:color w:val="000000"/>
                      <w:sz w:val="28"/>
                    </w:rPr>
                    <w:t>策略检查：供应商对安全组件上的安全策略进行统一检查，确保安全组件上的安全策略始终处于最优水平，针对威胁能起到最好的防护效果。</w:t>
                  </w:r>
                </w:p>
                <w:p>
                  <w:pPr>
                    <w:pStyle w:val="null3"/>
                    <w:jc w:val="left"/>
                  </w:pPr>
                  <w:r>
                    <w:rPr>
                      <w:rFonts w:ascii="仿宋" w:hAnsi="仿宋" w:cs="仿宋" w:eastAsia="仿宋"/>
                      <w:color w:val="000000"/>
                      <w:sz w:val="28"/>
                    </w:rPr>
                    <w:t>策略调优：供应商根据安全威胁</w:t>
                  </w:r>
                  <w:r>
                    <w:rPr>
                      <w:rFonts w:ascii="仿宋" w:hAnsi="仿宋" w:cs="仿宋" w:eastAsia="仿宋"/>
                      <w:color w:val="000000"/>
                      <w:sz w:val="28"/>
                    </w:rPr>
                    <w:t>/事件分析的结果以及处置方式，按需对安全组件上的安全策略进行调整工作。</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安全问题处置</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提供</w:t>
                  </w:r>
                  <w:r>
                    <w:rPr>
                      <w:rFonts w:ascii="仿宋" w:hAnsi="仿宋" w:cs="仿宋" w:eastAsia="仿宋"/>
                      <w:color w:val="000000"/>
                      <w:sz w:val="28"/>
                    </w:rPr>
                    <w:t>7*24小时威胁分析和鉴定服务，安全告警上传至服务平台依托于平台的大数据分析和威胁检测能力实时监测用户网络安全状态，对平台监测到的安全威胁进行分析鉴定，自动生成服务工单，识别到真正的安全威胁。</w:t>
                  </w:r>
                </w:p>
                <w:p>
                  <w:pPr>
                    <w:pStyle w:val="null3"/>
                    <w:jc w:val="left"/>
                  </w:pPr>
                  <w:r>
                    <w:rPr>
                      <w:rFonts w:ascii="仿宋" w:hAnsi="仿宋" w:cs="仿宋" w:eastAsia="仿宋"/>
                      <w:color w:val="000000"/>
                      <w:sz w:val="28"/>
                    </w:rPr>
                    <w:t>提供</w:t>
                  </w:r>
                  <w:r>
                    <w:rPr>
                      <w:rFonts w:ascii="仿宋" w:hAnsi="仿宋" w:cs="仿宋" w:eastAsia="仿宋"/>
                      <w:color w:val="000000"/>
                      <w:sz w:val="28"/>
                    </w:rPr>
                    <w:t>7*24</w:t>
                  </w:r>
                  <w:r>
                    <w:rPr>
                      <w:rFonts w:ascii="仿宋" w:hAnsi="仿宋" w:cs="仿宋" w:eastAsia="仿宋"/>
                      <w:color w:val="000000"/>
                      <w:sz w:val="28"/>
                    </w:rPr>
                    <w:t>小时</w:t>
                  </w:r>
                  <w:r>
                    <w:rPr>
                      <w:rFonts w:ascii="仿宋" w:hAnsi="仿宋" w:cs="仿宋" w:eastAsia="仿宋"/>
                      <w:color w:val="000000"/>
                      <w:sz w:val="28"/>
                    </w:rPr>
                    <w:t>的</w:t>
                  </w:r>
                  <w:r>
                    <w:rPr>
                      <w:rFonts w:ascii="仿宋" w:hAnsi="仿宋" w:cs="仿宋" w:eastAsia="仿宋"/>
                      <w:color w:val="000000"/>
                      <w:sz w:val="28"/>
                    </w:rPr>
                    <w:t>供应商</w:t>
                  </w:r>
                  <w:r>
                    <w:rPr>
                      <w:rFonts w:ascii="仿宋" w:hAnsi="仿宋" w:cs="仿宋" w:eastAsia="仿宋"/>
                      <w:color w:val="000000"/>
                      <w:sz w:val="28"/>
                    </w:rPr>
                    <w:t>响应机制，</w:t>
                  </w:r>
                  <w:r>
                    <w:rPr>
                      <w:rFonts w:ascii="仿宋" w:hAnsi="仿宋" w:cs="仿宋" w:eastAsia="仿宋"/>
                      <w:color w:val="000000"/>
                      <w:sz w:val="28"/>
                    </w:rPr>
                    <w:t>供应商</w:t>
                  </w:r>
                  <w:r>
                    <w:rPr>
                      <w:rFonts w:ascii="仿宋" w:hAnsi="仿宋" w:cs="仿宋" w:eastAsia="仿宋"/>
                      <w:color w:val="000000"/>
                      <w:sz w:val="28"/>
                    </w:rPr>
                    <w:t>应对</w:t>
                  </w:r>
                  <w:r>
                    <w:rPr>
                      <w:rFonts w:ascii="仿宋" w:hAnsi="仿宋" w:cs="仿宋" w:eastAsia="仿宋"/>
                      <w:color w:val="000000"/>
                      <w:sz w:val="28"/>
                    </w:rPr>
                    <w:t>学校</w:t>
                  </w:r>
                  <w:r>
                    <w:rPr>
                      <w:rFonts w:ascii="仿宋" w:hAnsi="仿宋" w:cs="仿宋" w:eastAsia="仿宋"/>
                      <w:color w:val="000000"/>
                      <w:sz w:val="28"/>
                    </w:rPr>
                    <w:t>咨询或上报的安全问题进行及时响应并给出建议，如主机加固建议咨询、安全事件处置建议咨询等，响应时间不得超过</w:t>
                  </w:r>
                  <w:r>
                    <w:rPr>
                      <w:rFonts w:ascii="仿宋" w:hAnsi="仿宋" w:cs="仿宋" w:eastAsia="仿宋"/>
                      <w:color w:val="000000"/>
                      <w:sz w:val="28"/>
                    </w:rPr>
                    <w:t>30分钟。</w:t>
                  </w:r>
                </w:p>
                <w:p>
                  <w:pPr>
                    <w:pStyle w:val="null3"/>
                    <w:jc w:val="left"/>
                  </w:pPr>
                  <w:r>
                    <w:rPr>
                      <w:rFonts w:ascii="仿宋" w:hAnsi="仿宋" w:cs="仿宋" w:eastAsia="仿宋"/>
                      <w:color w:val="000000"/>
                      <w:sz w:val="28"/>
                    </w:rPr>
                    <w:t>7*24</w:t>
                  </w:r>
                  <w:r>
                    <w:rPr>
                      <w:rFonts w:ascii="仿宋" w:hAnsi="仿宋" w:cs="仿宋" w:eastAsia="仿宋"/>
                      <w:color w:val="000000"/>
                      <w:sz w:val="28"/>
                    </w:rPr>
                    <w:t>小时</w:t>
                  </w:r>
                  <w:r>
                    <w:rPr>
                      <w:rFonts w:ascii="仿宋" w:hAnsi="仿宋" w:cs="仿宋" w:eastAsia="仿宋"/>
                      <w:color w:val="000000"/>
                      <w:sz w:val="28"/>
                    </w:rPr>
                    <w:t>威胁鉴定：</w:t>
                  </w:r>
                  <w:r>
                    <w:rPr>
                      <w:rFonts w:ascii="仿宋" w:hAnsi="仿宋" w:cs="仿宋" w:eastAsia="仿宋"/>
                      <w:color w:val="000000"/>
                      <w:sz w:val="28"/>
                    </w:rPr>
                    <w:t>分析研判包括但不限于对脆弱性、异常流量、攻击日志、病毒日志等数据进行采集和实时分析研判，支持将同一资产的多个告警进行聚合分析发现各类安全事件并生成工单，并在告警详情中展示告警的基本信息，涉及的业务信息、攻击趋势、威胁详情、攻击原理、处置建议等内容，并支持根据</w:t>
                  </w:r>
                  <w:r>
                    <w:rPr>
                      <w:rFonts w:ascii="仿宋" w:hAnsi="仿宋" w:cs="仿宋" w:eastAsia="仿宋"/>
                      <w:color w:val="000000"/>
                      <w:sz w:val="28"/>
                    </w:rPr>
                    <w:t>学校</w:t>
                  </w:r>
                  <w:r>
                    <w:rPr>
                      <w:rFonts w:ascii="仿宋" w:hAnsi="仿宋" w:cs="仿宋" w:eastAsia="仿宋"/>
                      <w:color w:val="000000"/>
                      <w:sz w:val="28"/>
                    </w:rPr>
                    <w:t>情况提供备注</w:t>
                  </w:r>
                  <w:r>
                    <w:rPr>
                      <w:rFonts w:ascii="仿宋" w:hAnsi="仿宋" w:cs="仿宋" w:eastAsia="仿宋"/>
                      <w:color w:val="000000"/>
                      <w:sz w:val="28"/>
                    </w:rPr>
                    <w:t>。</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服务要求</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供应商</w:t>
                  </w:r>
                  <w:r>
                    <w:rPr>
                      <w:rFonts w:ascii="仿宋" w:hAnsi="仿宋" w:cs="仿宋" w:eastAsia="仿宋"/>
                      <w:color w:val="000000"/>
                      <w:sz w:val="28"/>
                    </w:rPr>
                    <w:t>需为</w:t>
                  </w:r>
                  <w:r>
                    <w:rPr>
                      <w:rFonts w:ascii="仿宋" w:hAnsi="仿宋" w:cs="仿宋" w:eastAsia="仿宋"/>
                      <w:color w:val="000000"/>
                      <w:sz w:val="28"/>
                    </w:rPr>
                    <w:t>学校提供的服务</w:t>
                  </w:r>
                  <w:r>
                    <w:rPr>
                      <w:rFonts w:ascii="仿宋" w:hAnsi="仿宋" w:cs="仿宋" w:eastAsia="仿宋"/>
                      <w:color w:val="000000"/>
                      <w:sz w:val="28"/>
                    </w:rPr>
                    <w:t>成果展示</w:t>
                  </w:r>
                  <w:r>
                    <w:rPr>
                      <w:rFonts w:ascii="仿宋" w:hAnsi="仿宋" w:cs="仿宋" w:eastAsia="仿宋"/>
                      <w:color w:val="000000"/>
                      <w:sz w:val="28"/>
                    </w:rPr>
                    <w:t>门户；具备服务质量可视化展示，至少包括脆弱性闭环率、脆弱性平均响应时长、脆弱性平均闭环时长、威胁闭环率、威胁平均响应时长、威胁平均闭环时长、事件闭环率、事件平均闭环时长，</w:t>
                  </w:r>
                  <w:r>
                    <w:rPr>
                      <w:rFonts w:ascii="仿宋" w:hAnsi="仿宋" w:cs="仿宋" w:eastAsia="仿宋"/>
                      <w:color w:val="000000"/>
                      <w:sz w:val="28"/>
                    </w:rPr>
                    <w:t>以</w:t>
                  </w:r>
                  <w:r>
                    <w:rPr>
                      <w:rFonts w:ascii="仿宋" w:hAnsi="仿宋" w:cs="仿宋" w:eastAsia="仿宋"/>
                      <w:color w:val="000000"/>
                      <w:sz w:val="28"/>
                    </w:rPr>
                    <w:t>验证供应商所承诺的服务</w:t>
                  </w:r>
                  <w:r>
                    <w:rPr>
                      <w:rFonts w:ascii="仿宋" w:hAnsi="仿宋" w:cs="仿宋" w:eastAsia="仿宋"/>
                      <w:color w:val="000000"/>
                      <w:sz w:val="28"/>
                    </w:rPr>
                    <w:t>指标（或称为服务</w:t>
                  </w:r>
                  <w:r>
                    <w:rPr>
                      <w:rFonts w:ascii="仿宋" w:hAnsi="仿宋" w:cs="仿宋" w:eastAsia="仿宋"/>
                      <w:color w:val="000000"/>
                      <w:sz w:val="28"/>
                    </w:rPr>
                    <w:t>SLA</w:t>
                  </w:r>
                  <w:r>
                    <w:rPr>
                      <w:rFonts w:ascii="仿宋" w:hAnsi="仿宋" w:cs="仿宋" w:eastAsia="仿宋"/>
                      <w:color w:val="000000"/>
                      <w:sz w:val="28"/>
                    </w:rPr>
                    <w:t>）</w:t>
                  </w:r>
                  <w:r>
                    <w:rPr>
                      <w:rFonts w:ascii="仿宋" w:hAnsi="仿宋" w:cs="仿宋" w:eastAsia="仿宋"/>
                      <w:color w:val="000000"/>
                      <w:sz w:val="28"/>
                    </w:rPr>
                    <w:t>。</w:t>
                  </w:r>
                  <w:r>
                    <w:rPr>
                      <w:rFonts w:ascii="仿宋" w:hAnsi="仿宋" w:cs="仿宋" w:eastAsia="仿宋"/>
                      <w:b/>
                      <w:color w:val="000000"/>
                      <w:sz w:val="28"/>
                    </w:rPr>
                    <w:t>提供</w:t>
                  </w:r>
                  <w:r>
                    <w:rPr>
                      <w:rFonts w:ascii="仿宋" w:hAnsi="仿宋" w:cs="仿宋" w:eastAsia="仿宋"/>
                      <w:b/>
                      <w:color w:val="000000"/>
                      <w:sz w:val="28"/>
                    </w:rPr>
                    <w:t>服务成果展示门户</w:t>
                  </w:r>
                  <w:r>
                    <w:rPr>
                      <w:rFonts w:ascii="仿宋" w:hAnsi="仿宋" w:cs="仿宋" w:eastAsia="仿宋"/>
                      <w:b/>
                      <w:color w:val="000000"/>
                      <w:sz w:val="28"/>
                    </w:rPr>
                    <w:t>中服务质量监控相关的截图证明并加盖供应商公章</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安全设备对接与数据采集</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供应商安全托管服务云端平台应当支持对接学校本次采购的主要安全设备，包括云化终端安全管理组件等，支持实时接收安全设备检测到的安全事件信息、安全日志数据提供</w:t>
                  </w:r>
                  <w:r>
                    <w:rPr>
                      <w:rFonts w:ascii="仿宋" w:hAnsi="仿宋" w:cs="仿宋" w:eastAsia="仿宋"/>
                      <w:color w:val="000000"/>
                      <w:sz w:val="28"/>
                    </w:rPr>
                    <w:t>7*24小时的服务；</w:t>
                  </w:r>
                </w:p>
                <w:p>
                  <w:pPr>
                    <w:pStyle w:val="null3"/>
                    <w:jc w:val="left"/>
                  </w:pPr>
                  <w:r>
                    <w:rPr>
                      <w:rFonts w:ascii="仿宋" w:hAnsi="仿宋" w:cs="仿宋" w:eastAsia="仿宋"/>
                      <w:color w:val="000000"/>
                      <w:sz w:val="28"/>
                    </w:rPr>
                    <w:t>供应商安全托管服务云端平台应当支持对接学校网络中已部署的主要安全设备，包括安全态势感知等，支持实时接收安全设备检测到的安全事件信息、安全日志数据提供</w:t>
                  </w:r>
                  <w:r>
                    <w:rPr>
                      <w:rFonts w:ascii="仿宋" w:hAnsi="仿宋" w:cs="仿宋" w:eastAsia="仿宋"/>
                      <w:color w:val="000000"/>
                      <w:sz w:val="28"/>
                    </w:rPr>
                    <w:t>7*24小时的安全托管服务；</w:t>
                  </w:r>
                </w:p>
                <w:p>
                  <w:pPr>
                    <w:pStyle w:val="null3"/>
                    <w:jc w:val="left"/>
                  </w:pPr>
                  <w:r>
                    <w:rPr>
                      <w:rFonts w:ascii="仿宋" w:hAnsi="仿宋" w:cs="仿宋" w:eastAsia="仿宋"/>
                      <w:color w:val="000000"/>
                      <w:sz w:val="28"/>
                    </w:rPr>
                    <w:t>提供安全托管服务云端平台支持对接的上述安全设备的能力证明，展示详细的对接步骤。</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服务交付物</w:t>
                  </w:r>
                </w:p>
              </w:tc>
              <w:tc>
                <w:tcPr>
                  <w:tcW w:type="dxa" w:w="2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▲服务期间内，提供包括但不限于以下汇报材料和内容</w:t>
                  </w:r>
                </w:p>
                <w:p>
                  <w:pPr>
                    <w:pStyle w:val="null3"/>
                    <w:jc w:val="left"/>
                  </w:pPr>
                  <w:r>
                    <w:rPr>
                      <w:rFonts w:ascii="仿宋" w:hAnsi="仿宋" w:cs="仿宋" w:eastAsia="仿宋"/>
                      <w:color w:val="000000"/>
                      <w:sz w:val="28"/>
                    </w:rPr>
                    <w:t>《项目启动会</w:t>
                  </w:r>
                  <w:r>
                    <w:rPr>
                      <w:rFonts w:ascii="仿宋" w:hAnsi="仿宋" w:cs="仿宋" w:eastAsia="仿宋"/>
                      <w:color w:val="000000"/>
                      <w:sz w:val="28"/>
                    </w:rPr>
                    <w:t>PPT》、《首次分析与处置报告》、《漏洞管理举证报告》、《漏洞清单》、《服务资产表》、《安全服务运营报告》、《应急响应报告》、《事件分析与处置报告》、《安全运营报告》、《安全通告》、《综合分析报告》、《季度汇报PPT》、《年度汇报PPT》。</w:t>
                  </w:r>
                </w:p>
                <w:p>
                  <w:pPr>
                    <w:pStyle w:val="null3"/>
                    <w:jc w:val="left"/>
                  </w:pPr>
                  <w:r>
                    <w:rPr>
                      <w:rFonts w:ascii="仿宋" w:hAnsi="仿宋" w:cs="仿宋" w:eastAsia="仿宋"/>
                      <w:color w:val="000000"/>
                      <w:sz w:val="28"/>
                    </w:rPr>
                    <w:t>提供服务成果展示门户中支持下载和管理上述交付物的相关截图证明。</w:t>
                  </w:r>
                </w:p>
              </w:tc>
            </w:tr>
          </w:tbl>
          <w:p>
            <w:pPr>
              <w:pStyle w:val="null3"/>
              <w:ind w:firstLine="562"/>
              <w:jc w:val="both"/>
            </w:pPr>
            <w:r>
              <w:rPr>
                <w:rFonts w:ascii="仿宋" w:hAnsi="仿宋" w:cs="仿宋" w:eastAsia="仿宋"/>
                <w:b/>
                <w:color w:val="000000"/>
                <w:sz w:val="28"/>
              </w:rPr>
              <w:t>2</w:t>
            </w:r>
            <w:r>
              <w:rPr>
                <w:rFonts w:ascii="仿宋" w:hAnsi="仿宋" w:cs="仿宋" w:eastAsia="仿宋"/>
                <w:b/>
                <w:color w:val="000000"/>
                <w:sz w:val="28"/>
              </w:rPr>
              <w:t>.</w:t>
            </w:r>
            <w:r>
              <w:rPr>
                <w:rFonts w:ascii="仿宋" w:hAnsi="仿宋" w:cs="仿宋" w:eastAsia="仿宋"/>
                <w:b/>
                <w:color w:val="000000"/>
                <w:sz w:val="28"/>
              </w:rPr>
              <w:t xml:space="preserve"> </w:t>
            </w:r>
            <w:r>
              <w:rPr>
                <w:rFonts w:ascii="仿宋" w:hAnsi="仿宋" w:cs="仿宋" w:eastAsia="仿宋"/>
                <w:b/>
                <w:color w:val="000000"/>
                <w:sz w:val="28"/>
              </w:rPr>
              <w:t>综合人工服务</w:t>
            </w:r>
          </w:p>
          <w:tbl>
            <w:tblPr>
              <w:tblBorders>
                <w:top w:val="none" w:color="000000" w:sz="4"/>
                <w:left w:val="none" w:color="000000" w:sz="4"/>
                <w:bottom w:val="none" w:color="000000" w:sz="4"/>
                <w:right w:val="none" w:color="000000" w:sz="4"/>
                <w:insideH w:val="none"/>
                <w:insideV w:val="none"/>
              </w:tblBorders>
            </w:tblPr>
            <w:tblGrid>
              <w:gridCol w:w="337"/>
              <w:gridCol w:w="2216"/>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8"/>
                    </w:rPr>
                    <w:t>指标项</w:t>
                  </w:r>
                </w:p>
              </w:tc>
              <w:tc>
                <w:tcPr>
                  <w:tcW w:type="dxa" w:w="2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8"/>
                    </w:rPr>
                    <w:t>具体要求</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概述</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服务期间，供应商应按照学校要求，提供不限制次数的人工服务，服务内容包括不限于以下服务项。</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服务要求</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梳理学校现有的信息安全管理体系现状，包含组织架构、制度文档、业务流程等。梳理学校当前的网络架构与安全现状，包含网络拓扑、安全设备、安全措施等。梳理学校业务清单、重要程度及等级保护要求等</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结合学校安全基线标准，对被评估对象进行配置规范检查，通过与标准基线比对，发现配置层面的安全隐患。</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借助云化终端安全管理组件，对存在问题的主机进行安全查杀，消除隐患</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对漏洞扫描结果，在与学校进行沟通确认之后，对其中部分漏洞进行验证确认，并协助用户进行加固。（数据库、核心应用服务器等联系供应商人员进行处理）</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根据操作系统安全评估及漏洞扫描、安全检测、日志分析和配置检测中发现的问题，对服务器、网络设备、数据库系统等安全漏洞进行修补，加强安全配置、安全加固处理。</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处置勒索病毒、挖矿病毒、篡改事件、</w:t>
                  </w:r>
                  <w:r>
                    <w:rPr>
                      <w:rFonts w:ascii="仿宋" w:hAnsi="仿宋" w:cs="仿宋" w:eastAsia="仿宋"/>
                      <w:color w:val="000000"/>
                      <w:sz w:val="28"/>
                    </w:rPr>
                    <w:t>webshell、僵尸网络等安全事件，通过工具和方法对恶意文件、代码进行根除，快速恢复业务，消除或减轻影响。</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安全防护巡检：从整体安全防护体系分析业务系统防护策略，包括网络设备、主机设备、安全设备等。</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安全设备巡检：对网络中的安全设备进行状态检查、策略调优、系统备份。</w:t>
                  </w:r>
                </w:p>
              </w:tc>
            </w:tr>
            <w:tr>
              <w:tc>
                <w:tcPr>
                  <w:tcW w:type="dxa" w:w="337"/>
                  <w:vMerge/>
                  <w:tcBorders>
                    <w:top w:val="none" w:color="000000" w:sz="4"/>
                    <w:left w:val="single" w:color="000000" w:sz="4"/>
                    <w:bottom w:val="single" w:color="000000" w:sz="4"/>
                    <w:right w:val="single" w:color="000000" w:sz="4"/>
                  </w:tcBorders>
                </w:tcP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持续升级巡检：安全专家持续优化防护模块，不断协助或者提醒更新设备安全等特征库和软件版本。</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培训服务</w:t>
                  </w:r>
                </w:p>
              </w:tc>
              <w:tc>
                <w:tcPr>
                  <w:tcW w:type="dxa" w:w="2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全年提供不少于</w:t>
                  </w:r>
                  <w:r>
                    <w:rPr>
                      <w:rFonts w:ascii="仿宋" w:hAnsi="仿宋" w:cs="仿宋" w:eastAsia="仿宋"/>
                      <w:color w:val="000000"/>
                      <w:sz w:val="28"/>
                    </w:rPr>
                    <w:t>5次网络安全培训服务，包括但不限于针对各部门网络安全联络员、教师、学生等提供网络安全意识培训服务，针对各部门网络安全联络员提供弱密码管理、威胁管理、应急处置培训服务，针对教师提供网络安全行业前沿技术培训服务。</w:t>
                  </w:r>
                </w:p>
              </w:tc>
            </w:tr>
          </w:tbl>
          <w:p>
            <w:pPr>
              <w:pStyle w:val="null3"/>
              <w:jc w:val="both"/>
            </w:pPr>
            <w:r>
              <w:rPr>
                <w:rFonts w:ascii="仿宋" w:hAnsi="仿宋" w:cs="仿宋" w:eastAsia="仿宋"/>
                <w:b/>
                <w:color w:val="000000"/>
                <w:sz w:val="28"/>
              </w:rPr>
              <w:t>3.云化终端安全管理组件</w:t>
            </w:r>
          </w:p>
          <w:tbl>
            <w:tblPr>
              <w:tblBorders>
                <w:top w:val="none" w:color="000000" w:sz="4"/>
                <w:left w:val="none" w:color="000000" w:sz="4"/>
                <w:bottom w:val="none" w:color="000000" w:sz="4"/>
                <w:right w:val="none" w:color="000000" w:sz="4"/>
                <w:insideH w:val="none"/>
                <w:insideV w:val="none"/>
              </w:tblBorders>
            </w:tblPr>
            <w:tblGrid>
              <w:gridCol w:w="335"/>
              <w:gridCol w:w="2218"/>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color w:val="000000"/>
                      <w:sz w:val="28"/>
                    </w:rPr>
                    <w:t>指标项</w:t>
                  </w:r>
                </w:p>
              </w:tc>
              <w:tc>
                <w:tcPr>
                  <w:tcW w:type="dxa" w:w="2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8"/>
                    </w:rPr>
                    <w:t>技术要求</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基本要求</w:t>
                  </w:r>
                </w:p>
              </w:tc>
              <w:tc>
                <w:tcPr>
                  <w:tcW w:type="dxa" w:w="2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▲单一管理控制中心可统一管理分别部署在Windows服务器、Linux服务器以及国产化服务器的客户端软件，本次配置不少于</w:t>
                  </w:r>
                  <w:r>
                    <w:rPr>
                      <w:rFonts w:ascii="仿宋" w:hAnsi="仿宋" w:cs="仿宋" w:eastAsia="仿宋"/>
                      <w:color w:val="000000"/>
                      <w:sz w:val="28"/>
                    </w:rPr>
                    <w:t>151</w:t>
                  </w:r>
                  <w:r>
                    <w:rPr>
                      <w:rFonts w:ascii="仿宋" w:hAnsi="仿宋" w:cs="仿宋" w:eastAsia="仿宋"/>
                      <w:color w:val="000000"/>
                      <w:sz w:val="28"/>
                    </w:rPr>
                    <w:t>个服务器端授权，不区分</w:t>
                  </w:r>
                  <w:r>
                    <w:rPr>
                      <w:rFonts w:ascii="仿宋" w:hAnsi="仿宋" w:cs="仿宋" w:eastAsia="仿宋"/>
                      <w:color w:val="000000"/>
                      <w:sz w:val="28"/>
                    </w:rPr>
                    <w:t>windows和Linux授权，控制中心云端部署，不占用本地资源。</w:t>
                  </w:r>
                </w:p>
                <w:p>
                  <w:pPr>
                    <w:pStyle w:val="null3"/>
                    <w:jc w:val="left"/>
                  </w:pPr>
                  <w:r>
                    <w:rPr>
                      <w:rFonts w:ascii="仿宋" w:hAnsi="仿宋" w:cs="仿宋" w:eastAsia="仿宋"/>
                      <w:color w:val="000000"/>
                      <w:sz w:val="28"/>
                    </w:rPr>
                    <w:t>软件归属于学校，含</w:t>
                  </w:r>
                  <w:r>
                    <w:rPr>
                      <w:rFonts w:ascii="仿宋" w:hAnsi="仿宋" w:cs="仿宋" w:eastAsia="仿宋"/>
                      <w:color w:val="000000"/>
                      <w:sz w:val="28"/>
                    </w:rPr>
                    <w:t>1年软件升级和云端服务；</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功能要求</w:t>
                  </w:r>
                </w:p>
              </w:tc>
              <w:tc>
                <w:tcPr>
                  <w:tcW w:type="dxa" w:w="2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1、支持安全策略一体化配置，通过单一策略即可实现不同安全功能的配置，包括：终端病毒查杀的文件扫描配置、文件实时监控的参数配置、WebShell检测和威胁处置方式、暴力破解的威胁处置方式和Windows白名单信任目录</w:t>
                  </w:r>
                </w:p>
                <w:p>
                  <w:pPr>
                    <w:pStyle w:val="null3"/>
                    <w:jc w:val="left"/>
                  </w:pPr>
                  <w:r>
                    <w:rPr>
                      <w:rFonts w:ascii="仿宋" w:hAnsi="仿宋" w:cs="仿宋" w:eastAsia="仿宋"/>
                      <w:color w:val="000000"/>
                      <w:sz w:val="28"/>
                    </w:rPr>
                    <w:t>▲2、支持开启agent自动降级机制，可设置主机资源如CPU利用率、剩余内存、等待任务长度、磁盘列队长度达到的阈值，当任意资源达到阈值持续一段时间后，agent会进入降级状态，当资源占用恢复到正常值时，agent自动恢复为在线状态</w:t>
                  </w:r>
                  <w:r>
                    <w:rPr>
                      <w:rFonts w:ascii="仿宋" w:hAnsi="仿宋" w:cs="仿宋" w:eastAsia="仿宋"/>
                      <w:b/>
                      <w:color w:val="000000"/>
                      <w:sz w:val="28"/>
                    </w:rPr>
                    <w:t>（需提供截图证明并加盖</w:t>
                  </w:r>
                  <w:r>
                    <w:rPr>
                      <w:rFonts w:ascii="仿宋" w:hAnsi="仿宋" w:cs="仿宋" w:eastAsia="仿宋"/>
                      <w:b/>
                      <w:color w:val="000000"/>
                      <w:sz w:val="28"/>
                    </w:rPr>
                    <w:t>供应商</w:t>
                  </w:r>
                  <w:r>
                    <w:rPr>
                      <w:rFonts w:ascii="仿宋" w:hAnsi="仿宋" w:cs="仿宋" w:eastAsia="仿宋"/>
                      <w:b/>
                      <w:color w:val="000000"/>
                      <w:sz w:val="28"/>
                    </w:rPr>
                    <w:t>公章）</w:t>
                  </w:r>
                </w:p>
                <w:p>
                  <w:pPr>
                    <w:pStyle w:val="null3"/>
                    <w:jc w:val="left"/>
                  </w:pPr>
                  <w:r>
                    <w:rPr>
                      <w:rFonts w:ascii="仿宋" w:hAnsi="仿宋" w:cs="仿宋" w:eastAsia="仿宋"/>
                      <w:color w:val="000000"/>
                      <w:sz w:val="28"/>
                    </w:rPr>
                    <w:t>3、通过智能识别终端环境情况（低配硬件、老旧设备、虚拟化等）和当前终端资源占用，在闲时实时监控和病毒扫描场景，都可智能调整客户端的资源占用（CPU、IO等），为业务让出资源，不卡业务，对业务零摩擦</w:t>
                  </w:r>
                </w:p>
                <w:p>
                  <w:pPr>
                    <w:pStyle w:val="null3"/>
                    <w:jc w:val="left"/>
                  </w:pPr>
                  <w:r>
                    <w:rPr>
                      <w:rFonts w:ascii="仿宋" w:hAnsi="仿宋" w:cs="仿宋" w:eastAsia="仿宋"/>
                      <w:color w:val="000000"/>
                      <w:sz w:val="28"/>
                    </w:rPr>
                    <w:t>4、支持windows服务器RDP远程登录保护，可开启RDP远程登录二次认证，以防止黑客对服务器的入侵</w:t>
                  </w:r>
                </w:p>
                <w:p>
                  <w:pPr>
                    <w:pStyle w:val="null3"/>
                    <w:jc w:val="left"/>
                  </w:pPr>
                  <w:r>
                    <w:rPr>
                      <w:rFonts w:ascii="仿宋" w:hAnsi="仿宋" w:cs="仿宋" w:eastAsia="仿宋"/>
                      <w:color w:val="000000"/>
                      <w:sz w:val="28"/>
                    </w:rPr>
                    <w:t>5、支持监控诱饵文件，诱饵文件可被实时监控，当勒索病毒对该文件进行修改或加密操作时进行拦截</w:t>
                  </w:r>
                </w:p>
                <w:p>
                  <w:pPr>
                    <w:pStyle w:val="null3"/>
                    <w:jc w:val="left"/>
                  </w:pPr>
                  <w:r>
                    <w:rPr>
                      <w:rFonts w:ascii="仿宋" w:hAnsi="仿宋" w:cs="仿宋" w:eastAsia="仿宋"/>
                      <w:color w:val="000000"/>
                      <w:sz w:val="28"/>
                    </w:rPr>
                    <w:t>6、支持对Windows终端的漏洞情况进行扫描，并查看漏洞具体情况及KB号，并显示具体修复情况；支持流行Windows高危漏洞的轻补丁免疫防御，支持Windows补丁批量一键修复；支持对Linux终端扫描系统漏洞、提供漏洞分析详情和修复建议。</w:t>
                  </w:r>
                </w:p>
                <w:p>
                  <w:pPr>
                    <w:pStyle w:val="null3"/>
                    <w:jc w:val="left"/>
                  </w:pPr>
                  <w:r>
                    <w:rPr>
                      <w:rFonts w:ascii="仿宋" w:hAnsi="仿宋" w:cs="仿宋" w:eastAsia="仿宋"/>
                      <w:color w:val="000000"/>
                      <w:sz w:val="28"/>
                    </w:rPr>
                    <w:t>7、支持根据统计周期、终端名称、IP地址，补丁信息和漏洞等级等多维度的入侵检测日志，杀毒扫描日志，微隔离日志，合规检测日志，管理员操作日志，运维日志，联动日志等的日志查询和检测</w:t>
                  </w:r>
                </w:p>
                <w:p>
                  <w:pPr>
                    <w:pStyle w:val="null3"/>
                    <w:jc w:val="left"/>
                  </w:pPr>
                  <w:r>
                    <w:rPr>
                      <w:rFonts w:ascii="仿宋" w:hAnsi="仿宋" w:cs="仿宋" w:eastAsia="仿宋"/>
                      <w:color w:val="000000"/>
                      <w:sz w:val="28"/>
                    </w:rPr>
                    <w:t>8、具备强力专杀云端下发通道，支持在管理端批量下发强力专杀工具到内网各终端快速响应终端威胁</w:t>
                  </w:r>
                </w:p>
                <w:p>
                  <w:pPr>
                    <w:pStyle w:val="null3"/>
                    <w:jc w:val="left"/>
                  </w:pPr>
                  <w:r>
                    <w:rPr>
                      <w:rFonts w:ascii="仿宋" w:hAnsi="仿宋" w:cs="仿宋" w:eastAsia="仿宋"/>
                      <w:color w:val="000000"/>
                      <w:sz w:val="28"/>
                    </w:rPr>
                    <w:t>▲9、支持为此次的威胁监测平台提供溯源举证和处置联动的功能，如可在威胁监测平台侧进行威胁事件的溯源分析，定位到该主机上发起恶意域名访问的具体进程、及其进程链信息，并且威胁监测平台根据返回的举证信息，联动客户端对恶意进程进行处置。</w:t>
                  </w:r>
                  <w:r>
                    <w:rPr>
                      <w:rFonts w:ascii="仿宋" w:hAnsi="仿宋" w:cs="仿宋" w:eastAsia="仿宋"/>
                      <w:b/>
                      <w:color w:val="000000"/>
                      <w:sz w:val="28"/>
                    </w:rPr>
                    <w:t>（需提供截图证明并加盖</w:t>
                  </w:r>
                  <w:r>
                    <w:rPr>
                      <w:rFonts w:ascii="仿宋" w:hAnsi="仿宋" w:cs="仿宋" w:eastAsia="仿宋"/>
                      <w:b/>
                      <w:color w:val="000000"/>
                      <w:sz w:val="28"/>
                    </w:rPr>
                    <w:t>供应商公章</w:t>
                  </w:r>
                  <w:r>
                    <w:rPr>
                      <w:rFonts w:ascii="仿宋" w:hAnsi="仿宋" w:cs="仿宋" w:eastAsia="仿宋"/>
                      <w:b/>
                      <w:color w:val="000000"/>
                      <w:sz w:val="28"/>
                    </w:rPr>
                    <w:t>）</w:t>
                  </w:r>
                </w:p>
              </w:tc>
            </w:tr>
          </w:tbl>
          <w:p>
            <w:pPr>
              <w:pStyle w:val="null3"/>
              <w:ind w:firstLine="562"/>
              <w:jc w:val="both"/>
            </w:pPr>
            <w:r>
              <w:rPr>
                <w:rFonts w:ascii="仿宋" w:hAnsi="仿宋" w:cs="仿宋" w:eastAsia="仿宋"/>
                <w:b/>
                <w:color w:val="000000"/>
                <w:sz w:val="28"/>
              </w:rPr>
              <w:t>4</w:t>
            </w:r>
            <w:r>
              <w:rPr>
                <w:rFonts w:ascii="仿宋" w:hAnsi="仿宋" w:cs="仿宋" w:eastAsia="仿宋"/>
                <w:b/>
                <w:color w:val="000000"/>
                <w:sz w:val="28"/>
              </w:rPr>
              <w:t>.</w:t>
            </w:r>
            <w:r>
              <w:rPr/>
              <w:t xml:space="preserve"> </w:t>
            </w:r>
            <w:r>
              <w:rPr>
                <w:rFonts w:ascii="仿宋" w:hAnsi="仿宋" w:cs="仿宋" w:eastAsia="仿宋"/>
                <w:b/>
                <w:color w:val="000000"/>
                <w:sz w:val="28"/>
              </w:rPr>
              <w:t>现网设备维保续费</w:t>
            </w:r>
          </w:p>
          <w:tbl>
            <w:tblPr>
              <w:tblBorders>
                <w:top w:val="none" w:color="000000" w:sz="4"/>
                <w:left w:val="none" w:color="000000" w:sz="4"/>
                <w:bottom w:val="none" w:color="000000" w:sz="4"/>
                <w:right w:val="none" w:color="000000" w:sz="4"/>
                <w:insideH w:val="none"/>
                <w:insideV w:val="none"/>
              </w:tblBorders>
            </w:tblPr>
            <w:tblGrid>
              <w:gridCol w:w="335"/>
              <w:gridCol w:w="2218"/>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color w:val="000000"/>
                      <w:sz w:val="28"/>
                    </w:rPr>
                    <w:t>指标项</w:t>
                  </w:r>
                </w:p>
              </w:tc>
              <w:tc>
                <w:tcPr>
                  <w:tcW w:type="dxa" w:w="2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8"/>
                    </w:rPr>
                    <w:t>技术要求</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STA-100-B2200</w:t>
                  </w:r>
                </w:p>
              </w:tc>
              <w:tc>
                <w:tcPr>
                  <w:tcW w:type="dxa" w:w="2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★提供1年基础软件升级、规则库升级和产品质保服务。</w:t>
                  </w:r>
                </w:p>
                <w:p>
                  <w:pPr>
                    <w:pStyle w:val="null3"/>
                    <w:jc w:val="left"/>
                  </w:pPr>
                  <w:r>
                    <w:rPr>
                      <w:rFonts w:ascii="仿宋" w:hAnsi="仿宋" w:cs="仿宋" w:eastAsia="仿宋"/>
                      <w:color w:val="000000"/>
                      <w:sz w:val="28"/>
                    </w:rPr>
                    <w:t>提供</w:t>
                  </w:r>
                  <w:r>
                    <w:rPr>
                      <w:rFonts w:ascii="仿宋" w:hAnsi="仿宋" w:cs="仿宋" w:eastAsia="仿宋"/>
                      <w:color w:val="000000"/>
                      <w:sz w:val="28"/>
                    </w:rPr>
                    <w:t>供应商</w:t>
                  </w:r>
                  <w:r>
                    <w:rPr>
                      <w:rFonts w:ascii="仿宋" w:hAnsi="仿宋" w:cs="仿宋" w:eastAsia="仿宋"/>
                      <w:color w:val="000000"/>
                      <w:sz w:val="28"/>
                    </w:rPr>
                    <w:t>服务承诺函并加盖公章。</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SIP-1000-B400</w:t>
                  </w:r>
                </w:p>
              </w:tc>
              <w:tc>
                <w:tcPr>
                  <w:tcW w:type="dxa" w:w="2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★提供1年基础软件升级、规则库升级和产品质保服务。</w:t>
                  </w:r>
                </w:p>
                <w:p>
                  <w:pPr>
                    <w:pStyle w:val="null3"/>
                    <w:jc w:val="left"/>
                  </w:pPr>
                  <w:r>
                    <w:rPr>
                      <w:rFonts w:ascii="仿宋" w:hAnsi="仿宋" w:cs="仿宋" w:eastAsia="仿宋"/>
                      <w:color w:val="000000"/>
                      <w:sz w:val="28"/>
                    </w:rPr>
                    <w:t>提供</w:t>
                  </w:r>
                  <w:r>
                    <w:rPr>
                      <w:rFonts w:ascii="仿宋" w:hAnsi="仿宋" w:cs="仿宋" w:eastAsia="仿宋"/>
                      <w:color w:val="000000"/>
                      <w:sz w:val="28"/>
                    </w:rPr>
                    <w:t>供应商</w:t>
                  </w:r>
                  <w:r>
                    <w:rPr>
                      <w:rFonts w:ascii="仿宋" w:hAnsi="仿宋" w:cs="仿宋" w:eastAsia="仿宋"/>
                      <w:color w:val="000000"/>
                      <w:sz w:val="28"/>
                    </w:rPr>
                    <w:t>服务承诺函并加盖公章。</w:t>
                  </w:r>
                </w:p>
              </w:tc>
            </w:tr>
          </w:tbl>
          <w:p>
            <w:pPr>
              <w:pStyle w:val="null3"/>
              <w:jc w:val="both"/>
            </w:pPr>
          </w:p>
        </w:tc>
      </w:tr>
    </w:tbl>
    <w:p>
      <w:pPr>
        <w:pStyle w:val="null3"/>
        <w:outlineLvl w:val="2"/>
      </w:pPr>
      <w:r>
        <w:rPr>
          <w:b/>
          <w:sz w:val="28"/>
        </w:rPr>
        <w:t>3.2.3人员配置要求</w:t>
      </w:r>
    </w:p>
    <w:p>
      <w:pPr>
        <w:pStyle w:val="null3"/>
      </w:pPr>
      <w:r>
        <w:rPr/>
        <w:t>采购包1：</w:t>
      </w:r>
    </w:p>
    <w:p>
      <w:pPr>
        <w:pStyle w:val="null3"/>
      </w:pPr>
      <w:r>
        <w:rPr/>
        <w:t>满足采购需求</w:t>
      </w:r>
    </w:p>
    <w:p>
      <w:pPr>
        <w:pStyle w:val="null3"/>
        <w:outlineLvl w:val="2"/>
      </w:pPr>
      <w:r>
        <w:rPr>
          <w:b/>
          <w:sz w:val="28"/>
        </w:rPr>
        <w:t>3.2.4设施设备要求</w:t>
      </w:r>
    </w:p>
    <w:p>
      <w:pPr>
        <w:pStyle w:val="null3"/>
      </w:pPr>
      <w:r>
        <w:rPr/>
        <w:t>采购包1：</w:t>
      </w:r>
    </w:p>
    <w:p>
      <w:pPr>
        <w:pStyle w:val="null3"/>
      </w:pPr>
      <w:r>
        <w:rPr/>
        <w:t>满足采购需求</w:t>
      </w:r>
    </w:p>
    <w:p>
      <w:pPr>
        <w:pStyle w:val="null3"/>
        <w:outlineLvl w:val="2"/>
      </w:pPr>
      <w:r>
        <w:rPr>
          <w:b/>
          <w:sz w:val="28"/>
        </w:rPr>
        <w:t>3.2.5其他要求</w:t>
      </w:r>
    </w:p>
    <w:p>
      <w:pPr>
        <w:pStyle w:val="null3"/>
      </w:pPr>
      <w:r>
        <w:rPr/>
        <w:t>采购包1：</w:t>
      </w:r>
    </w:p>
    <w:p>
      <w:pPr>
        <w:pStyle w:val="null3"/>
      </w:pPr>
      <w:r>
        <w:rPr/>
        <w:t>满足采购需求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西安铁路职业技术学院指定地点</w:t>
      </w:r>
    </w:p>
    <w:p>
      <w:pPr>
        <w:pStyle w:val="null3"/>
        <w:outlineLvl w:val="3"/>
      </w:pPr>
      <w:r>
        <w:rPr>
          <w:b/>
          <w:sz w:val="24"/>
        </w:rPr>
        <w:t>3.3.3考核（验收）标准和方法</w:t>
      </w:r>
    </w:p>
    <w:p>
      <w:pPr>
        <w:pStyle w:val="null3"/>
      </w:pPr>
      <w:r>
        <w:rPr/>
        <w:t>采购包1：</w:t>
      </w:r>
    </w:p>
    <w:p>
      <w:pPr>
        <w:pStyle w:val="null3"/>
      </w:pPr>
      <w:r>
        <w:rPr/>
        <w:t>通过学校验收</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验收合格后20个工作日内一次性付清</w:t>
      </w:r>
      <w:r>
        <w:rPr/>
        <w:t xml:space="preserve"> ，达到付款条件起 </w:t>
      </w:r>
      <w:r>
        <w:rPr/>
        <w:t>20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按《中华人民共和国中华人民共和国民法典》中的相关条款执行。（2）未按合同要求提供产品或设备质量不能满足技术要求，采购方有权终止合同，并保留追究投标方违约责任的权利。（3）时间迟延的，违约方按照每天1%向对方承担违约责任。</w:t>
      </w:r>
    </w:p>
    <w:p>
      <w:pPr>
        <w:pStyle w:val="null3"/>
        <w:outlineLvl w:val="2"/>
      </w:pPr>
      <w:r>
        <w:rPr>
          <w:b/>
          <w:sz w:val="28"/>
        </w:rPr>
        <w:t>3.4其他要求</w:t>
      </w:r>
    </w:p>
    <w:p>
      <w:pPr>
        <w:pStyle w:val="null3"/>
      </w:pPr>
      <w:r>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本项目不接受联合体磋商，（投标主体为单一供应商，无需提供证明材料）</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是否面向中、小企业采购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自合同签订之日起一年</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验收合格后一次性付清</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90个日历天</w:t>
            </w:r>
          </w:p>
        </w:tc>
        <w:tc>
          <w:tcPr>
            <w:tcW w:type="dxa" w:w="1661"/>
          </w:tcPr>
          <w:p>
            <w:pPr>
              <w:pStyle w:val="null3"/>
            </w:pPr>
            <w:r>
              <w:rPr/>
              <w:t>商务及技术偏离表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服务及技术参数要求清晰明确，满足项目服务要求，“★”参数为实质性指标，每有一项负偏离视为非实质性响应，投标文件无效；“▲”参数为重要指标，每有一项负偏离扣2分，其他参数每有一项负偏离，扣1分，扣完为止。</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项目需求</w:t>
            </w:r>
          </w:p>
        </w:tc>
        <w:tc>
          <w:tcPr>
            <w:tcW w:type="dxa" w:w="2492"/>
          </w:tcPr>
          <w:p>
            <w:pPr>
              <w:pStyle w:val="null3"/>
            </w:pPr>
            <w:r>
              <w:rPr/>
              <w:t>供应商对项目需求理解准确，整体服务方案描述详细、合理，架构清晰，充分考虑用户实际需求，能够实现本项目网络安全服务要求。方案合理全面得[7-10]分；方案较全面得[3-7)分；方案不全面，缺乏可操作性的得[1-3)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w:t>
            </w:r>
          </w:p>
        </w:tc>
        <w:tc>
          <w:tcPr>
            <w:tcW w:type="dxa" w:w="2492"/>
          </w:tcPr>
          <w:p>
            <w:pPr>
              <w:pStyle w:val="null3"/>
            </w:pPr>
            <w:r>
              <w:rPr/>
              <w:t>根据本项目采购需求，提供网络安全服务方案。服务方案详实、措施具体、满足采购要求，可行性强得[10-15]分；服务方案一般、措施片面、可行性一般得[5-10)分；服务方案空泛、可行性差、方案不具体得[1-5)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安全事件应急响应</w:t>
            </w:r>
          </w:p>
        </w:tc>
        <w:tc>
          <w:tcPr>
            <w:tcW w:type="dxa" w:w="2492"/>
          </w:tcPr>
          <w:p>
            <w:pPr>
              <w:pStyle w:val="null3"/>
            </w:pPr>
            <w:r>
              <w:rPr/>
              <w:t>安全事件应急响应方案满足网络安全服务要求，响应迅速，措施具体，内容详实，应急方案针对性、可行性强得[7-10]分；安全事件应急响应方案基本满足采购要求，一定的可行性得[4-7)分；内容空泛，可行性差得[1-4)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项目重难点分析</w:t>
            </w:r>
          </w:p>
        </w:tc>
        <w:tc>
          <w:tcPr>
            <w:tcW w:type="dxa" w:w="2492"/>
          </w:tcPr>
          <w:p>
            <w:pPr>
              <w:pStyle w:val="null3"/>
            </w:pPr>
            <w:r>
              <w:rPr/>
              <w:t>对项目理解深刻，对项目工作重点、难点认识准确，描述清晰，能对重难点提出针对性的措施，措施具体，内容详实得[5-10]分；内容空泛、缺乏针对性得[1-5)分；未提供不计分。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服务团队</w:t>
            </w:r>
          </w:p>
        </w:tc>
        <w:tc>
          <w:tcPr>
            <w:tcW w:type="dxa" w:w="2492"/>
          </w:tcPr>
          <w:p>
            <w:pPr>
              <w:pStyle w:val="null3"/>
            </w:pPr>
            <w:r>
              <w:rPr/>
              <w:t>针对本项目人员配备满足项目实际需求，设有项目负责人，项目团队专业，有明确的组织形式、人员结构配置合理、职责任务明确、时间安排及分工合理，能够确保项目顺利实施。完全满足项目需求，得[10-15]分；人员配备较齐全，技术团队有一定专业性，基本能够满足项目需求，得[5-10)分；人员配备不齐全，技术团队专业性较差，不能满足项目需求，得[1-5)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提供售后服务方案（包含售后服务承诺、售后服务保障措施、人员配置安排计划、故障处理响应时间安排计划、应急处理等）。方案完整详细、可操作性强、合理、可行，符合实际需求，得[5-9]分；方案基本完整，可操作性一般，与实际需求有偏差，得[1-5)分；未提供不计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进行评分，培训采购人指定的技术人员和管理人员，制定培训课程计划表，列出培训的内容、方式、次数等，培训内容应包括所提供技术性能、操作维护方法、排除故障等各个方面。方案完整详细、可操作性强、合理、可行，符合实际需求，得[4-7]分；方案基本完整，可操作性一般，与实际需求有偏差，得[1-4)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满足磋商文件要求且磋商价格最低的磋商报价为评标基准价，其价格分为满分。其他供应商的价格分统一按照下列公式计算：磋商报价得分=（评标基准价/磋商报价）×10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响应函</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ind w:firstLine="960"/>
      </w:pPr>
      <w:r>
        <w:rPr/>
        <w:t>详见附件：资格响应表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详见附件：网络安全-西安铁路职业技术学院服务合同.docx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