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信息系统等级保护测评</w:t>
      </w:r>
    </w:p>
    <w:p>
      <w:pPr>
        <w:pStyle w:val="null3"/>
        <w:jc w:val="center"/>
        <w:outlineLvl w:val="2"/>
      </w:pPr>
      <w:r>
        <w:rPr>
          <w:b/>
          <w:sz w:val="28"/>
        </w:rPr>
        <w:t>采购项目编号：</w:t>
      </w:r>
      <w:r>
        <w:rPr>
          <w:b/>
          <w:sz w:val="28"/>
        </w:rPr>
        <w:t>XAZTBZFCG-2024-002</w:t>
      </w:r>
      <w:r>
        <w:br/>
      </w:r>
      <w:r>
        <w:br/>
      </w:r>
      <w:r>
        <w:br/>
      </w:r>
    </w:p>
    <w:p>
      <w:pPr>
        <w:pStyle w:val="null3"/>
        <w:jc w:val="center"/>
        <w:outlineLvl w:val="2"/>
      </w:pPr>
      <w:r>
        <w:rPr>
          <w:b/>
          <w:sz w:val="28"/>
        </w:rPr>
        <w:t>西安铁路职业技术学院</w:t>
      </w:r>
    </w:p>
    <w:p>
      <w:pPr>
        <w:pStyle w:val="null3"/>
        <w:jc w:val="center"/>
        <w:outlineLvl w:val="2"/>
      </w:pPr>
      <w:r>
        <w:rPr>
          <w:b/>
          <w:sz w:val="28"/>
        </w:rPr>
        <w:t>陕西国铁经营服务有限公司</w:t>
      </w:r>
      <w:r>
        <w:rPr>
          <w:b/>
          <w:sz w:val="28"/>
        </w:rPr>
        <w:t>共同编制</w:t>
      </w:r>
    </w:p>
    <w:p>
      <w:pPr>
        <w:pStyle w:val="null3"/>
        <w:jc w:val="center"/>
        <w:outlineLvl w:val="2"/>
      </w:pPr>
      <w:r>
        <w:rPr>
          <w:b/>
          <w:sz w:val="28"/>
        </w:rPr>
        <w:t>2024年04月11日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陕西国铁经营服务有限公司</w:t>
      </w:r>
      <w:r>
        <w:rPr/>
        <w:t>（以下简称“代理机构”）受</w:t>
      </w:r>
      <w:r>
        <w:rPr/>
        <w:t>西安铁路职业技术学院</w:t>
      </w:r>
      <w:r>
        <w:rPr/>
        <w:t>委托，拟对</w:t>
      </w:r>
      <w:r>
        <w:rPr/>
        <w:t>信息系统等级保护测评</w:t>
      </w:r>
      <w:r>
        <w:rPr/>
        <w:t>采用竞争性磋商采购方式进行采购，兹邀请供应商参加本项目的竞争性磋商。</w:t>
      </w:r>
    </w:p>
    <w:p>
      <w:pPr>
        <w:pStyle w:val="null3"/>
        <w:outlineLvl w:val="2"/>
      </w:pPr>
      <w:r>
        <w:rPr>
          <w:b/>
          <w:sz w:val="28"/>
        </w:rPr>
        <w:t>一、项目编号：</w:t>
      </w:r>
      <w:r>
        <w:rPr>
          <w:b/>
          <w:sz w:val="28"/>
        </w:rPr>
        <w:t>XAZTBZFCG-2024-002</w:t>
      </w:r>
    </w:p>
    <w:p>
      <w:pPr>
        <w:pStyle w:val="null3"/>
        <w:outlineLvl w:val="2"/>
      </w:pPr>
      <w:r>
        <w:rPr>
          <w:b/>
          <w:sz w:val="28"/>
        </w:rPr>
        <w:t>二、项目名称：</w:t>
      </w:r>
      <w:r>
        <w:rPr>
          <w:b/>
          <w:sz w:val="28"/>
        </w:rPr>
        <w:t>信息系统等级保护测评</w:t>
      </w:r>
    </w:p>
    <w:p>
      <w:pPr>
        <w:pStyle w:val="null3"/>
        <w:outlineLvl w:val="2"/>
      </w:pPr>
      <w:r>
        <w:rPr>
          <w:b/>
          <w:sz w:val="28"/>
        </w:rPr>
        <w:t>三、磋商项目简介</w:t>
      </w:r>
    </w:p>
    <w:p>
      <w:pPr>
        <w:pStyle w:val="null3"/>
        <w:ind w:firstLine="480"/>
      </w:pPr>
      <w:r>
        <w:rPr/>
        <w:t>信息系统等级保护测评</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采购包1（信息系统等级保护测评）：属于专门面向中小企业采购。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t>2、资质要求：供应商具备网络安全等级测评与检测评估机构服务认证证书</w:t>
      </w:r>
    </w:p>
    <w:p>
      <w:pPr>
        <w:pStyle w:val="null3"/>
      </w:pPr>
      <w:r>
        <w:rPr/>
        <w:t>3、信誉：不得为“信用中国”网站(http://www.creditchina.gov.cn)列入“失信被执行人、税收违法黑名单、政府采购严重违法失信行为记录名单”的投标方；不得为中国政府采购网(http://www.ccgp.gov.cn)“政府采购严重违法失信行为记录名单”中的供应商</w:t>
      </w:r>
    </w:p>
    <w:p>
      <w:pPr>
        <w:pStyle w:val="null3"/>
      </w:pPr>
      <w:r>
        <w:rPr/>
        <w:t>4、本项目不接受联合体投标：本项目不接受联合体磋商，（投标主体为单一供应商，无需提供证明材料）</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西安铁路职业技术学院</w:t>
      </w:r>
    </w:p>
    <w:p>
      <w:pPr>
        <w:pStyle w:val="null3"/>
      </w:pPr>
      <w:r>
        <w:rPr/>
        <w:t xml:space="preserve"> 地址： </w:t>
      </w:r>
      <w:r>
        <w:rPr/>
        <w:t>西安市国际港务区港务大道396号</w:t>
      </w:r>
    </w:p>
    <w:p>
      <w:pPr>
        <w:pStyle w:val="null3"/>
      </w:pPr>
      <w:r>
        <w:rPr/>
        <w:t xml:space="preserve"> 邮编： </w:t>
      </w:r>
      <w:r>
        <w:rPr/>
        <w:t>710000</w:t>
      </w:r>
    </w:p>
    <w:p>
      <w:pPr>
        <w:pStyle w:val="null3"/>
      </w:pPr>
      <w:r>
        <w:rPr/>
        <w:t xml:space="preserve"> 联系人： </w:t>
      </w:r>
      <w:r>
        <w:rPr/>
        <w:t>西安铁路职业技术学院经办</w:t>
      </w:r>
    </w:p>
    <w:p>
      <w:pPr>
        <w:pStyle w:val="null3"/>
      </w:pPr>
      <w:r>
        <w:rPr/>
        <w:t xml:space="preserve"> 联系电话： </w:t>
      </w:r>
      <w:r>
        <w:rPr/>
        <w:t>029-88092228</w:t>
      </w:r>
    </w:p>
    <w:p>
      <w:pPr>
        <w:pStyle w:val="null3"/>
        <w:outlineLvl w:val="3"/>
      </w:pPr>
      <w:r>
        <w:rPr>
          <w:b/>
          <w:sz w:val="24"/>
        </w:rPr>
        <w:t>代理机构：</w:t>
      </w:r>
      <w:r>
        <w:rPr>
          <w:b/>
          <w:sz w:val="24"/>
        </w:rPr>
        <w:t>陕西国铁经营服务有限公司</w:t>
      </w:r>
    </w:p>
    <w:p>
      <w:pPr>
        <w:pStyle w:val="null3"/>
      </w:pPr>
      <w:r>
        <w:rPr/>
        <w:t xml:space="preserve"> 地址： </w:t>
      </w:r>
      <w:r>
        <w:rPr/>
        <w:t>陕西省西安市友谊东路与兴庆西路十字西北角铁路局7号高层裙楼二楼</w:t>
      </w:r>
    </w:p>
    <w:p>
      <w:pPr>
        <w:pStyle w:val="null3"/>
      </w:pPr>
      <w:r>
        <w:rPr/>
        <w:t xml:space="preserve"> 邮编： </w:t>
      </w:r>
      <w:r>
        <w:rPr/>
        <w:t>710000</w:t>
      </w:r>
    </w:p>
    <w:p>
      <w:pPr>
        <w:pStyle w:val="null3"/>
      </w:pPr>
      <w:r>
        <w:rPr/>
        <w:t xml:space="preserve"> 联系人： </w:t>
      </w:r>
      <w:r>
        <w:rPr/>
        <w:t>陈彦名</w:t>
      </w:r>
    </w:p>
    <w:p>
      <w:pPr>
        <w:pStyle w:val="null3"/>
      </w:pPr>
      <w:r>
        <w:rPr/>
        <w:t xml:space="preserve"> 联系电话： </w:t>
      </w:r>
      <w:r>
        <w:rPr/>
        <w:t>18992803035</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说明：名称：西安铁路职业技术学院 纳税人识别号：12610100437202545W 地址、电话：西安国际港务区港务大道396号 029-88092201 开户行及账号：建行西安经济技术开发区支行 61001930041052515973</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代理服务费收费标准：本项目收取代理服务费 代理服务费用收取对象：中标/成交供应商 代理服务费收费标准：成交供应商应向采购代理机构交纳招标代理服务费。采购代理服务费的收取参见原国家计委颁布的《招标代理服务费收费管理暂行办法》（计价格[2002]1980号）中服务类的收费标准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西安铁路职业技术学院</w:t>
      </w:r>
      <w:r>
        <w:rPr/>
        <w:t>和</w:t>
      </w:r>
      <w:r>
        <w:rPr/>
        <w:t>陕西国铁经营服务有限公司</w:t>
      </w:r>
      <w:r>
        <w:rPr/>
        <w:t>享有。对磋商文件中供应商参加本次政府采购活动应当具备的条件，磋商项目技术、服务、商务及其他要求，评审细则及标准由</w:t>
      </w:r>
      <w:r>
        <w:rPr/>
        <w:t>西安铁路职业技术学院</w:t>
      </w:r>
      <w:r>
        <w:rPr/>
        <w:t>负责解释。除上述磋商文件内容，其他内容由</w:t>
      </w:r>
      <w:r>
        <w:rPr/>
        <w:t>陕西国铁经营服务有限公司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西安铁路职业技术学院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陕西国铁经营服务有限公司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陕西国铁经营服务有限公司</w:t>
      </w:r>
      <w:r>
        <w:rPr/>
        <w:t xml:space="preserve"> 负责答复；供应商对除采购需求外的采购文件的询问、质疑由</w:t>
      </w:r>
      <w:r>
        <w:rPr/>
        <w:t>陕西国铁经营服务有限公司</w:t>
      </w:r>
      <w:r>
        <w:rPr/>
        <w:t xml:space="preserve"> 负责答复；供应商对采购过程、采购结果的询问、质疑由 </w:t>
      </w:r>
      <w:r>
        <w:rPr/>
        <w:t>陕西国铁经营服务有限公司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联系人：陈彦名</w:t>
      </w:r>
    </w:p>
    <w:p>
      <w:pPr>
        <w:pStyle w:val="null3"/>
      </w:pPr>
      <w:r>
        <w:rPr/>
        <w:t>联系电话：18992803035</w:t>
      </w:r>
    </w:p>
    <w:p>
      <w:pPr>
        <w:pStyle w:val="null3"/>
      </w:pPr>
      <w:r>
        <w:rPr/>
        <w:t>地址：陕西省西安市友谊东路与兴庆西路十字西北角铁路局7号高层裙楼二楼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根据国家《信息安全等级保护管理办法》(公通字[2007]43号)、《关于推动信息安全等级保护测评体系建设和开展等级测评工作的通知》（公信安[2010]303号）、《陕西省信息安全等级保护安全建设整改工作指导意见》（陕等保办2011 2号）《信息安全技术安全通信网络等级保护基本要求》（GB-T 22239-2019）等相关文件要求，进行本次安全等级保护测评。 具体采购项目：1.学院网站站群系统（第二级）2.图书馆集成管理系统（第二级）3 .财务综合业务管理系统（第二级）4.教务综合业务管理系统（第二级）5.教科研管理系统（第二级）6.人事管理系统（第二级）7.数据中台（第二级）8.应用中台（第二级）9.教师发展信息管理系统（第二级）</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信息系统等级保护测评</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标的名称：信息系统等级保护测评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both"/>
            </w:pPr>
            <w:r>
              <w:rPr>
                <w:rFonts w:ascii="calibri" w:hAnsi="calibri" w:cs="calibri" w:eastAsia="calibri"/>
                <w:b/>
                <w:color w:val="000000"/>
                <w:sz w:val="28"/>
              </w:rPr>
              <w:t>一、</w:t>
            </w:r>
            <w:r>
              <w:rPr>
                <w:rFonts w:ascii="calibri" w:hAnsi="calibri" w:cs="calibri" w:eastAsia="calibri"/>
                <w:b/>
                <w:color w:val="000000"/>
                <w:sz w:val="28"/>
              </w:rPr>
              <w:t>项目概况与服务内容</w:t>
            </w:r>
          </w:p>
          <w:p>
            <w:pPr>
              <w:pStyle w:val="null3"/>
              <w:spacing w:before="75" w:after="75"/>
              <w:ind w:firstLine="562"/>
              <w:jc w:val="both"/>
            </w:pPr>
            <w:r>
              <w:rPr>
                <w:rFonts w:ascii="calibri" w:hAnsi="calibri" w:cs="calibri" w:eastAsia="calibri"/>
                <w:b/>
                <w:color w:val="000000"/>
                <w:sz w:val="28"/>
              </w:rPr>
              <w:t>（一）、项目概况：</w:t>
            </w:r>
          </w:p>
          <w:p>
            <w:pPr>
              <w:pStyle w:val="null3"/>
              <w:spacing w:before="150" w:after="150"/>
              <w:ind w:firstLine="480"/>
            </w:pPr>
            <w:r>
              <w:rPr>
                <w:rFonts w:ascii="宋体" w:hAnsi="宋体" w:cs="宋体" w:eastAsia="宋体"/>
                <w:sz w:val="24"/>
              </w:rPr>
              <w:t>根据国家《信息安全等级保护管理办法》</w:t>
            </w:r>
            <w:r>
              <w:rPr>
                <w:rFonts w:ascii="宋体" w:hAnsi="宋体" w:cs="宋体" w:eastAsia="宋体"/>
                <w:sz w:val="24"/>
              </w:rPr>
              <w:t>(公通字[2007]43号)、《关于推动信息安全等级保护测评体系建设和开展等级测评工作的通知》（公信安[2010]303号）、《陕西省信息安全等级保护安全建设整改工作指导意见》（陕等保办2011 2号）《信息安全技术安全通信网络等级保护基本要求》（GB-T 22239-2019）等相关文件要求，进行本次安全等级保护测评。</w:t>
            </w:r>
          </w:p>
          <w:p>
            <w:pPr>
              <w:pStyle w:val="null3"/>
              <w:ind w:firstLine="480"/>
              <w:jc w:val="left"/>
            </w:pPr>
            <w:r>
              <w:rPr>
                <w:rFonts w:ascii="calibri" w:hAnsi="calibri" w:cs="calibri" w:eastAsia="calibri"/>
                <w:sz w:val="24"/>
              </w:rPr>
              <w:t>具体采购项目</w:t>
            </w:r>
            <w:r>
              <w:rPr>
                <w:rFonts w:ascii="calibri" w:hAnsi="calibri" w:cs="calibri" w:eastAsia="calibri"/>
                <w:sz w:val="24"/>
              </w:rPr>
              <w:t>如下表：</w:t>
            </w:r>
          </w:p>
          <w:tbl>
            <w:tblPr>
              <w:tblBorders>
                <w:top w:val="none" w:color="000000" w:sz="4"/>
                <w:left w:val="none" w:color="000000" w:sz="4"/>
                <w:bottom w:val="none" w:color="000000" w:sz="4"/>
                <w:right w:val="none" w:color="000000" w:sz="4"/>
                <w:insideH w:val="none"/>
                <w:insideV w:val="none"/>
              </w:tblBorders>
            </w:tblPr>
            <w:tblGrid>
              <w:gridCol w:w="217"/>
              <w:gridCol w:w="1745"/>
              <w:gridCol w:w="371"/>
              <w:gridCol w:w="220"/>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序号</w:t>
                  </w:r>
                </w:p>
              </w:tc>
              <w:tc>
                <w:tcPr>
                  <w:tcW w:type="dxa" w:w="1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系统</w:t>
                  </w:r>
                  <w:r>
                    <w:rPr>
                      <w:rFonts w:ascii="calibri" w:hAnsi="calibri" w:cs="calibri" w:eastAsia="calibri"/>
                      <w:sz w:val="24"/>
                    </w:rPr>
                    <w:t>名称</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级别</w:t>
                  </w:r>
                  <w:r>
                    <w:rPr>
                      <w:rFonts w:ascii="宋体" w:hAnsi="宋体" w:cs="宋体" w:eastAsia="宋体"/>
                      <w:sz w:val="24"/>
                    </w:rPr>
                    <w:t>/</w:t>
                  </w:r>
                  <w:r>
                    <w:rPr>
                      <w:rFonts w:ascii="calibri" w:hAnsi="calibri" w:cs="calibri" w:eastAsia="calibri"/>
                      <w:sz w:val="24"/>
                    </w:rPr>
                    <w:t>次</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备注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b/>
                      <w:sz w:val="24"/>
                    </w:rPr>
                    <w:t>学院网站站群系统</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第二级</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b/>
                      <w:sz w:val="24"/>
                    </w:rPr>
                    <w:t>图书馆集成管理系统</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第二级</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b/>
                      <w:sz w:val="24"/>
                    </w:rPr>
                    <w:t>财务综合业务管理系统</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第二级</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b/>
                      <w:sz w:val="24"/>
                    </w:rPr>
                    <w:t>教务综合业务管理系统</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第二级</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b/>
                      <w:sz w:val="24"/>
                    </w:rPr>
                    <w:t>教科研管理系统</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第二级</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b/>
                      <w:sz w:val="24"/>
                    </w:rPr>
                    <w:t>人事管理系统</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第二级</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b/>
                      <w:sz w:val="24"/>
                    </w:rPr>
                    <w:t>数据中台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第二级</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b/>
                      <w:sz w:val="24"/>
                    </w:rPr>
                    <w:t>应用中台</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第二级</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b/>
                      <w:sz w:val="24"/>
                    </w:rPr>
                    <w:t>教师发展信息管理系统</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第二级</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calibri" w:hAnsi="calibri" w:cs="calibri" w:eastAsia="calibri"/>
                <w:b/>
                <w:color w:val="000000"/>
                <w:sz w:val="28"/>
              </w:rPr>
              <w:t>（二）、</w:t>
            </w:r>
            <w:r>
              <w:rPr>
                <w:rFonts w:ascii="calibri" w:hAnsi="calibri" w:cs="calibri" w:eastAsia="calibri"/>
                <w:b/>
                <w:color w:val="000000"/>
                <w:sz w:val="28"/>
              </w:rPr>
              <w:t>项目服务内容</w:t>
            </w:r>
          </w:p>
          <w:p>
            <w:pPr>
              <w:pStyle w:val="null3"/>
              <w:numPr>
                <w:ilvl w:val="0"/>
                <w:numId w:val="1"/>
              </w:numPr>
              <w:spacing w:before="150" w:after="150"/>
              <w:jc w:val="both"/>
            </w:pPr>
            <w:r>
              <w:rPr>
                <w:rFonts w:ascii="calibri" w:hAnsi="calibri" w:cs="calibri" w:eastAsia="calibri"/>
                <w:sz w:val="24"/>
              </w:rPr>
              <w:t>系统调研：在系统相关人员的协助下，对信息系统进行调研和梳理，了解</w:t>
            </w:r>
            <w:r>
              <w:rPr>
                <w:rFonts w:ascii="calibri" w:hAnsi="calibri" w:cs="calibri" w:eastAsia="calibri"/>
                <w:sz w:val="24"/>
              </w:rPr>
              <w:t>系统</w:t>
            </w:r>
            <w:r>
              <w:rPr>
                <w:rFonts w:ascii="calibri" w:hAnsi="calibri" w:cs="calibri" w:eastAsia="calibri"/>
                <w:sz w:val="24"/>
              </w:rPr>
              <w:t>当前信息系统资产现状。</w:t>
            </w:r>
          </w:p>
          <w:p>
            <w:pPr>
              <w:pStyle w:val="null3"/>
              <w:numPr>
                <w:ilvl w:val="0"/>
                <w:numId w:val="1"/>
              </w:numPr>
              <w:spacing w:before="150" w:after="150"/>
              <w:jc w:val="both"/>
            </w:pPr>
            <w:r>
              <w:rPr>
                <w:rFonts w:ascii="calibri" w:hAnsi="calibri" w:cs="calibri" w:eastAsia="calibri"/>
                <w:sz w:val="24"/>
              </w:rPr>
              <w:t>现场测评：根据国家等级测评的相关标准及已编制的相关等级保护测评指导书对信息系统中的相关资产进行测评项的检查、记录检查结果。</w:t>
            </w:r>
          </w:p>
          <w:p>
            <w:pPr>
              <w:pStyle w:val="null3"/>
              <w:numPr>
                <w:ilvl w:val="0"/>
                <w:numId w:val="1"/>
              </w:numPr>
              <w:spacing w:before="150" w:after="150"/>
              <w:jc w:val="both"/>
            </w:pPr>
            <w:r>
              <w:rPr>
                <w:rFonts w:ascii="calibri" w:hAnsi="calibri" w:cs="calibri" w:eastAsia="calibri"/>
                <w:sz w:val="24"/>
              </w:rPr>
              <w:t>分析整改：根据前述工作内容，分析信息系统安全情况与等级保护基本要求的差距</w:t>
            </w:r>
            <w:r>
              <w:rPr>
                <w:rFonts w:ascii="宋体" w:hAnsi="宋体" w:cs="宋体" w:eastAsia="宋体"/>
                <w:sz w:val="24"/>
              </w:rPr>
              <w:t>,</w:t>
            </w:r>
            <w:r>
              <w:rPr>
                <w:rFonts w:ascii="calibri" w:hAnsi="calibri" w:cs="calibri" w:eastAsia="calibri"/>
                <w:sz w:val="24"/>
              </w:rPr>
              <w:t>提供差异化测评服务，并进行风险分析，可根据现场情况出具科学合理的整改建议及整改方案，配合采购单位安全整改工作。</w:t>
            </w:r>
          </w:p>
          <w:p>
            <w:pPr>
              <w:pStyle w:val="null3"/>
              <w:numPr>
                <w:ilvl w:val="0"/>
                <w:numId w:val="1"/>
              </w:numPr>
              <w:spacing w:before="150" w:after="150"/>
              <w:jc w:val="both"/>
            </w:pPr>
            <w:r>
              <w:rPr>
                <w:rFonts w:ascii="calibri" w:hAnsi="calibri" w:cs="calibri" w:eastAsia="calibri"/>
                <w:sz w:val="24"/>
              </w:rPr>
              <w:t>结论报告：根据前述工作内容，分析当前信息系统安全保护能力是否符合相应等级的安全要求，针对整改项进行再次测评</w:t>
            </w:r>
            <w:r>
              <w:rPr>
                <w:rFonts w:ascii="宋体" w:hAnsi="宋体" w:cs="宋体" w:eastAsia="宋体"/>
                <w:sz w:val="24"/>
              </w:rPr>
              <w:t>,</w:t>
            </w:r>
            <w:r>
              <w:rPr>
                <w:rFonts w:ascii="calibri" w:hAnsi="calibri" w:cs="calibri" w:eastAsia="calibri"/>
                <w:sz w:val="24"/>
              </w:rPr>
              <w:t>提供安全等级符合性测评服务，出具相关系统测评报告。</w:t>
            </w:r>
          </w:p>
          <w:p>
            <w:pPr>
              <w:pStyle w:val="null3"/>
              <w:numPr>
                <w:ilvl w:val="0"/>
                <w:numId w:val="1"/>
              </w:numPr>
              <w:spacing w:before="150" w:after="150"/>
              <w:jc w:val="both"/>
            </w:pPr>
            <w:r>
              <w:rPr>
                <w:rFonts w:ascii="calibri" w:hAnsi="calibri" w:cs="calibri" w:eastAsia="calibri"/>
                <w:sz w:val="24"/>
              </w:rPr>
              <w:t>配合验收：整理项目过程中所有相关的过程文档，提交</w:t>
            </w:r>
            <w:r>
              <w:rPr>
                <w:rFonts w:ascii="calibri" w:hAnsi="calibri" w:cs="calibri" w:eastAsia="calibri"/>
                <w:sz w:val="24"/>
              </w:rPr>
              <w:t>系统</w:t>
            </w:r>
            <w:r>
              <w:rPr>
                <w:rFonts w:ascii="calibri" w:hAnsi="calibri" w:cs="calibri" w:eastAsia="calibri"/>
                <w:sz w:val="24"/>
              </w:rPr>
              <w:t>相关人员。</w:t>
            </w:r>
          </w:p>
          <w:p>
            <w:pPr>
              <w:pStyle w:val="null3"/>
              <w:ind w:firstLine="562"/>
              <w:jc w:val="both"/>
            </w:pPr>
            <w:r>
              <w:rPr>
                <w:rFonts w:ascii="calibri" w:hAnsi="calibri" w:cs="calibri" w:eastAsia="calibri"/>
                <w:b/>
                <w:color w:val="000000"/>
                <w:sz w:val="28"/>
              </w:rPr>
              <w:t>（三）、其他要求</w:t>
            </w:r>
          </w:p>
          <w:p>
            <w:pPr>
              <w:pStyle w:val="null3"/>
              <w:spacing w:before="150" w:after="150"/>
              <w:ind w:firstLine="480"/>
            </w:pPr>
            <w:r>
              <w:rPr>
                <w:rFonts w:ascii="宋体" w:hAnsi="宋体" w:cs="宋体" w:eastAsia="宋体"/>
                <w:sz w:val="24"/>
              </w:rPr>
              <w:t>1. 测评人员要求：本项目的测评人员需具有1年或1年以上测评工作经验，项目经理和质量负责人必须具备丰富的安全服务经验及相关资质认证，并提供人员管理及配备方案，并确保人员稳定。如需更换测评人员，须由采购单位同意。</w:t>
            </w:r>
          </w:p>
          <w:p>
            <w:pPr>
              <w:pStyle w:val="null3"/>
              <w:spacing w:before="150" w:after="150"/>
              <w:ind w:firstLine="480"/>
            </w:pPr>
            <w:r>
              <w:rPr>
                <w:rFonts w:ascii="宋体" w:hAnsi="宋体" w:cs="宋体" w:eastAsia="宋体"/>
                <w:sz w:val="24"/>
              </w:rPr>
              <w:t>2. 人员配备：供应商参与此项目不少于4人。其中，现场测评人员不得少于4人（至少包含</w:t>
            </w:r>
            <w:r>
              <w:rPr>
                <w:rFonts w:ascii="宋体" w:hAnsi="宋体" w:cs="宋体" w:eastAsia="宋体"/>
                <w:sz w:val="24"/>
              </w:rPr>
              <w:t>1</w:t>
            </w:r>
            <w:r>
              <w:rPr>
                <w:rFonts w:ascii="宋体" w:hAnsi="宋体" w:cs="宋体" w:eastAsia="宋体"/>
                <w:sz w:val="24"/>
              </w:rPr>
              <w:t>名高级测评师，</w:t>
            </w:r>
            <w:r>
              <w:rPr>
                <w:rFonts w:ascii="宋体" w:hAnsi="宋体" w:cs="宋体" w:eastAsia="宋体"/>
                <w:sz w:val="24"/>
              </w:rPr>
              <w:t>2名中级测评师,1名渗透测试人员）。由测评小组组长统一负责，测评小组组长具有一定的技术及管理知识和经验，能容易地与客户沟通，能很好的执行与完成测评工作，并根据适当情况增加测评人员。</w:t>
            </w:r>
          </w:p>
          <w:p>
            <w:pPr>
              <w:pStyle w:val="null3"/>
              <w:spacing w:before="150" w:after="150"/>
              <w:ind w:firstLine="480"/>
            </w:pPr>
            <w:r>
              <w:rPr>
                <w:rFonts w:ascii="宋体" w:hAnsi="宋体" w:cs="宋体" w:eastAsia="宋体"/>
                <w:sz w:val="24"/>
              </w:rPr>
              <w:t>3. 供应商应按等级保护测评要求制定测评过程中产生的文档，做到科学、规范、详尽、统一。</w:t>
            </w:r>
          </w:p>
          <w:p>
            <w:pPr>
              <w:pStyle w:val="null3"/>
              <w:spacing w:before="150"/>
              <w:jc w:val="both"/>
            </w:pPr>
            <w:r>
              <w:rPr>
                <w:rFonts w:ascii="calibri" w:hAnsi="calibri" w:cs="calibri" w:eastAsia="calibri"/>
                <w:b/>
                <w:color w:val="000000"/>
                <w:sz w:val="28"/>
              </w:rPr>
              <w:t>二、测评要求</w:t>
            </w:r>
          </w:p>
          <w:p>
            <w:pPr>
              <w:pStyle w:val="null3"/>
              <w:numPr>
                <w:ilvl w:val="0"/>
                <w:numId w:val="2"/>
              </w:numPr>
              <w:spacing w:before="150" w:after="150"/>
              <w:ind w:left="390"/>
              <w:jc w:val="left"/>
            </w:pPr>
            <w:r>
              <w:rPr>
                <w:rFonts w:ascii="宋体" w:hAnsi="宋体" w:cs="宋体" w:eastAsia="宋体"/>
                <w:b/>
                <w:sz w:val="28"/>
              </w:rPr>
              <w:t>总体要求</w:t>
            </w:r>
          </w:p>
          <w:p>
            <w:pPr>
              <w:pStyle w:val="null3"/>
              <w:spacing w:before="150" w:after="150"/>
              <w:ind w:firstLine="480"/>
            </w:pPr>
            <w:r>
              <w:rPr>
                <w:rFonts w:ascii="宋体" w:hAnsi="宋体" w:cs="宋体" w:eastAsia="宋体"/>
                <w:sz w:val="24"/>
              </w:rPr>
              <w:t>根据国家《信息安全技术</w:t>
            </w:r>
            <w:r>
              <w:rPr>
                <w:rFonts w:ascii="宋体" w:hAnsi="宋体" w:cs="宋体" w:eastAsia="宋体"/>
                <w:sz w:val="24"/>
              </w:rPr>
              <w:t xml:space="preserve"> </w:t>
            </w:r>
            <w:r>
              <w:rPr>
                <w:rFonts w:ascii="宋体" w:hAnsi="宋体" w:cs="宋体" w:eastAsia="宋体"/>
                <w:sz w:val="24"/>
              </w:rPr>
              <w:t>网络</w:t>
            </w:r>
            <w:r>
              <w:rPr>
                <w:rFonts w:ascii="宋体" w:hAnsi="宋体" w:cs="宋体" w:eastAsia="宋体"/>
                <w:sz w:val="24"/>
              </w:rPr>
              <w:t>安全等级保护基本要求》</w:t>
            </w:r>
            <w:r>
              <w:rPr>
                <w:rFonts w:ascii="宋体" w:hAnsi="宋体" w:cs="宋体" w:eastAsia="宋体"/>
                <w:sz w:val="24"/>
              </w:rPr>
              <w:t>GB/T22239-20</w:t>
            </w:r>
            <w:r>
              <w:rPr>
                <w:rFonts w:ascii="宋体" w:hAnsi="宋体" w:cs="宋体" w:eastAsia="宋体"/>
                <w:sz w:val="24"/>
              </w:rPr>
              <w:t>19</w:t>
            </w:r>
            <w:r>
              <w:rPr>
                <w:rFonts w:ascii="宋体" w:hAnsi="宋体" w:cs="宋体" w:eastAsia="宋体"/>
                <w:sz w:val="24"/>
              </w:rPr>
              <w:t>要求</w:t>
            </w:r>
            <w:r>
              <w:rPr>
                <w:rFonts w:ascii="宋体" w:hAnsi="宋体" w:cs="宋体" w:eastAsia="宋体"/>
                <w:sz w:val="24"/>
              </w:rPr>
              <w:t>，</w:t>
            </w:r>
            <w:r>
              <w:rPr>
                <w:rFonts w:ascii="宋体" w:hAnsi="宋体" w:cs="宋体" w:eastAsia="宋体"/>
                <w:sz w:val="24"/>
              </w:rPr>
              <w:t>等级测评</w:t>
            </w:r>
            <w:r>
              <w:rPr>
                <w:rFonts w:ascii="宋体" w:hAnsi="宋体" w:cs="宋体" w:eastAsia="宋体"/>
                <w:sz w:val="24"/>
              </w:rPr>
              <w:t>工作须</w:t>
            </w:r>
            <w:r>
              <w:rPr>
                <w:rFonts w:ascii="宋体" w:hAnsi="宋体" w:cs="宋体" w:eastAsia="宋体"/>
                <w:sz w:val="24"/>
              </w:rPr>
              <w:t>覆盖</w:t>
            </w:r>
            <w:r>
              <w:rPr>
                <w:rFonts w:ascii="宋体" w:hAnsi="宋体" w:cs="宋体" w:eastAsia="宋体"/>
                <w:sz w:val="24"/>
              </w:rPr>
              <w:t>安全</w:t>
            </w:r>
            <w:r>
              <w:rPr>
                <w:rFonts w:ascii="宋体" w:hAnsi="宋体" w:cs="宋体" w:eastAsia="宋体"/>
                <w:sz w:val="24"/>
              </w:rPr>
              <w:t>物理环境、</w:t>
            </w:r>
            <w:r>
              <w:rPr>
                <w:rFonts w:ascii="宋体" w:hAnsi="宋体" w:cs="宋体" w:eastAsia="宋体"/>
                <w:sz w:val="24"/>
              </w:rPr>
              <w:t>安全通信网络</w:t>
            </w:r>
            <w:r>
              <w:rPr>
                <w:rFonts w:ascii="宋体" w:hAnsi="宋体" w:cs="宋体" w:eastAsia="宋体"/>
                <w:sz w:val="24"/>
              </w:rPr>
              <w:t>、</w:t>
            </w:r>
            <w:r>
              <w:rPr>
                <w:rFonts w:ascii="宋体" w:hAnsi="宋体" w:cs="宋体" w:eastAsia="宋体"/>
                <w:sz w:val="24"/>
              </w:rPr>
              <w:t>安全区域边界</w:t>
            </w:r>
            <w:r>
              <w:rPr>
                <w:rFonts w:ascii="宋体" w:hAnsi="宋体" w:cs="宋体" w:eastAsia="宋体"/>
                <w:sz w:val="24"/>
              </w:rPr>
              <w:t>、</w:t>
            </w:r>
            <w:r>
              <w:rPr>
                <w:rFonts w:ascii="宋体" w:hAnsi="宋体" w:cs="宋体" w:eastAsia="宋体"/>
                <w:sz w:val="24"/>
              </w:rPr>
              <w:t>安全计算环境</w:t>
            </w:r>
            <w:r>
              <w:rPr>
                <w:rFonts w:ascii="宋体" w:hAnsi="宋体" w:cs="宋体" w:eastAsia="宋体"/>
                <w:sz w:val="24"/>
              </w:rPr>
              <w:t>、</w:t>
            </w:r>
            <w:r>
              <w:rPr>
                <w:rFonts w:ascii="宋体" w:hAnsi="宋体" w:cs="宋体" w:eastAsia="宋体"/>
                <w:sz w:val="24"/>
              </w:rPr>
              <w:t>安全管理中心、安全管理制度、安全管理机构、安全管理人员、安全建设管理、安全运维管理</w:t>
            </w:r>
            <w:r>
              <w:rPr>
                <w:rFonts w:ascii="宋体" w:hAnsi="宋体" w:cs="宋体" w:eastAsia="宋体"/>
                <w:sz w:val="24"/>
              </w:rPr>
              <w:t>等方面的内容</w:t>
            </w:r>
            <w:r>
              <w:rPr>
                <w:rFonts w:ascii="宋体" w:hAnsi="宋体" w:cs="宋体" w:eastAsia="宋体"/>
                <w:sz w:val="24"/>
              </w:rPr>
              <w:t>，并根据现场实际情况完成风险分析工作</w:t>
            </w:r>
            <w:r>
              <w:rPr>
                <w:rFonts w:ascii="宋体" w:hAnsi="宋体" w:cs="宋体" w:eastAsia="宋体"/>
                <w:sz w:val="24"/>
              </w:rPr>
              <w:t>,</w:t>
            </w:r>
            <w:r>
              <w:rPr>
                <w:rFonts w:ascii="宋体" w:hAnsi="宋体" w:cs="宋体" w:eastAsia="宋体"/>
                <w:sz w:val="24"/>
              </w:rPr>
              <w:t>最终为完善等级保护安全防护体系提供指导依据。</w:t>
            </w:r>
          </w:p>
          <w:p>
            <w:pPr>
              <w:pStyle w:val="null3"/>
              <w:numPr>
                <w:ilvl w:val="0"/>
                <w:numId w:val="2"/>
              </w:numPr>
              <w:spacing w:before="150" w:after="150"/>
              <w:ind w:left="390"/>
              <w:jc w:val="left"/>
            </w:pPr>
            <w:r>
              <w:rPr>
                <w:rFonts w:ascii="宋体" w:hAnsi="宋体" w:cs="宋体" w:eastAsia="宋体"/>
                <w:b/>
                <w:sz w:val="28"/>
              </w:rPr>
              <w:t>分阶段要求</w:t>
            </w:r>
          </w:p>
          <w:p>
            <w:pPr>
              <w:pStyle w:val="null3"/>
              <w:spacing w:before="150" w:after="150"/>
              <w:ind w:left="420"/>
              <w:jc w:val="left"/>
            </w:pPr>
            <w:r>
              <w:rPr>
                <w:rFonts w:ascii="宋体" w:hAnsi="宋体" w:cs="宋体" w:eastAsia="宋体"/>
                <w:b/>
                <w:sz w:val="28"/>
              </w:rPr>
              <w:t>第一阶段：等级保护</w:t>
            </w:r>
          </w:p>
          <w:p>
            <w:pPr>
              <w:pStyle w:val="null3"/>
              <w:ind w:firstLine="480"/>
              <w:jc w:val="both"/>
            </w:pPr>
            <w:r>
              <w:rPr>
                <w:rFonts w:ascii="calibri" w:hAnsi="calibri" w:cs="calibri" w:eastAsia="calibri"/>
                <w:sz w:val="24"/>
              </w:rPr>
              <w:t>信息安全等级保护工作共分为五步，分别是：</w:t>
            </w:r>
            <w:r>
              <w:rPr>
                <w:rFonts w:ascii="calibri" w:hAnsi="calibri" w:cs="calibri" w:eastAsia="calibri"/>
                <w:sz w:val="24"/>
              </w:rPr>
              <w:t>“定级、备案、建设整改、等级测评、监督检查”。该项目主要完成信息系统的安全测评工作，依据安全技术和安全管理两个方面的测评要求，分别从</w:t>
            </w:r>
            <w:r>
              <w:rPr>
                <w:rFonts w:ascii="calibri" w:hAnsi="calibri" w:cs="calibri" w:eastAsia="calibri"/>
                <w:sz w:val="24"/>
              </w:rPr>
              <w:t>安全</w:t>
            </w:r>
            <w:r>
              <w:rPr>
                <w:rFonts w:ascii="calibri" w:hAnsi="calibri" w:cs="calibri" w:eastAsia="calibri"/>
                <w:sz w:val="24"/>
              </w:rPr>
              <w:t>物理环境、</w:t>
            </w:r>
            <w:r>
              <w:rPr>
                <w:rFonts w:ascii="calibri" w:hAnsi="calibri" w:cs="calibri" w:eastAsia="calibri"/>
                <w:sz w:val="24"/>
              </w:rPr>
              <w:t>安全通信网络</w:t>
            </w:r>
            <w:r>
              <w:rPr>
                <w:rFonts w:ascii="calibri" w:hAnsi="calibri" w:cs="calibri" w:eastAsia="calibri"/>
                <w:sz w:val="24"/>
              </w:rPr>
              <w:t>、</w:t>
            </w:r>
            <w:r>
              <w:rPr>
                <w:rFonts w:ascii="calibri" w:hAnsi="calibri" w:cs="calibri" w:eastAsia="calibri"/>
                <w:sz w:val="24"/>
              </w:rPr>
              <w:t>安全区域边界</w:t>
            </w:r>
            <w:r>
              <w:rPr>
                <w:rFonts w:ascii="calibri" w:hAnsi="calibri" w:cs="calibri" w:eastAsia="calibri"/>
                <w:sz w:val="24"/>
              </w:rPr>
              <w:t>、</w:t>
            </w:r>
            <w:r>
              <w:rPr>
                <w:rFonts w:ascii="calibri" w:hAnsi="calibri" w:cs="calibri" w:eastAsia="calibri"/>
                <w:sz w:val="24"/>
              </w:rPr>
              <w:t>安全计算环境</w:t>
            </w:r>
            <w:r>
              <w:rPr>
                <w:rFonts w:ascii="calibri" w:hAnsi="calibri" w:cs="calibri" w:eastAsia="calibri"/>
                <w:sz w:val="24"/>
              </w:rPr>
              <w:t>、</w:t>
            </w:r>
            <w:r>
              <w:rPr>
                <w:rFonts w:ascii="calibri" w:hAnsi="calibri" w:cs="calibri" w:eastAsia="calibri"/>
                <w:sz w:val="24"/>
              </w:rPr>
              <w:t>安全管理中心、安全管理制度、安全管理机构、安全管理人员、安全建设管理、安全运维管理等</w:t>
            </w:r>
            <w:r>
              <w:rPr>
                <w:rFonts w:ascii="calibri" w:hAnsi="calibri" w:cs="calibri" w:eastAsia="calibri"/>
                <w:sz w:val="24"/>
              </w:rPr>
              <w:t>十个安全类别进行安全测评。</w:t>
            </w:r>
          </w:p>
          <w:p>
            <w:pPr>
              <w:pStyle w:val="null3"/>
              <w:ind w:firstLine="480"/>
              <w:jc w:val="both"/>
            </w:pPr>
            <w:r>
              <w:rPr>
                <w:rFonts w:ascii="宋体" w:hAnsi="宋体" w:cs="宋体" w:eastAsia="宋体"/>
                <w:sz w:val="24"/>
              </w:rPr>
              <w:t>1</w:t>
            </w:r>
            <w:r>
              <w:rPr>
                <w:rFonts w:ascii="宋体" w:hAnsi="宋体" w:cs="宋体" w:eastAsia="宋体"/>
                <w:sz w:val="24"/>
              </w:rPr>
              <w:t>.</w:t>
            </w:r>
            <w:r>
              <w:rPr>
                <w:rFonts w:ascii="calibri" w:hAnsi="calibri" w:cs="calibri" w:eastAsia="calibri"/>
                <w:sz w:val="24"/>
              </w:rPr>
              <w:t>定级要求</w:t>
            </w:r>
          </w:p>
          <w:p>
            <w:pPr>
              <w:pStyle w:val="null3"/>
              <w:ind w:firstLine="573"/>
              <w:jc w:val="both"/>
            </w:pPr>
            <w:r>
              <w:rPr>
                <w:rFonts w:ascii="calibri" w:hAnsi="calibri" w:cs="calibri" w:eastAsia="calibri"/>
                <w:sz w:val="24"/>
              </w:rPr>
              <w:t>该项工作开展的主要依据是《网络安全等级保护定级指南》</w:t>
            </w:r>
            <w:r>
              <w:rPr>
                <w:rFonts w:ascii="calibri" w:hAnsi="calibri" w:cs="calibri" w:eastAsia="calibri"/>
                <w:sz w:val="24"/>
              </w:rPr>
              <w:t>（</w:t>
            </w:r>
            <w:r>
              <w:rPr>
                <w:rFonts w:ascii="calibri" w:hAnsi="calibri" w:cs="calibri" w:eastAsia="calibri"/>
                <w:sz w:val="24"/>
              </w:rPr>
              <w:t>GB</w:t>
            </w:r>
            <w:r>
              <w:rPr>
                <w:rFonts w:ascii="calibri" w:hAnsi="calibri" w:cs="calibri" w:eastAsia="calibri"/>
                <w:sz w:val="24"/>
              </w:rPr>
              <w:t>-</w:t>
            </w:r>
            <w:r>
              <w:rPr>
                <w:rFonts w:ascii="calibri" w:hAnsi="calibri" w:cs="calibri" w:eastAsia="calibri"/>
                <w:sz w:val="24"/>
              </w:rPr>
              <w:t>T 22240-2020</w:t>
            </w:r>
            <w:r>
              <w:rPr>
                <w:rFonts w:ascii="calibri" w:hAnsi="calibri" w:cs="calibri" w:eastAsia="calibri"/>
                <w:sz w:val="24"/>
              </w:rPr>
              <w:t>）</w:t>
            </w:r>
            <w:r>
              <w:rPr>
                <w:rFonts w:ascii="calibri" w:hAnsi="calibri" w:cs="calibri" w:eastAsia="calibri"/>
                <w:sz w:val="24"/>
              </w:rPr>
              <w:t>确定系统等级。</w:t>
            </w:r>
          </w:p>
          <w:p>
            <w:pPr>
              <w:pStyle w:val="null3"/>
              <w:ind w:firstLine="480"/>
              <w:jc w:val="both"/>
            </w:pPr>
            <w:r>
              <w:rPr>
                <w:rFonts w:ascii="宋体" w:hAnsi="宋体" w:cs="宋体" w:eastAsia="宋体"/>
                <w:sz w:val="24"/>
              </w:rPr>
              <w:t>2.</w:t>
            </w:r>
            <w:r>
              <w:rPr>
                <w:rFonts w:ascii="calibri" w:hAnsi="calibri" w:cs="calibri" w:eastAsia="calibri"/>
                <w:sz w:val="24"/>
              </w:rPr>
              <w:t>备案</w:t>
            </w:r>
          </w:p>
          <w:p>
            <w:pPr>
              <w:pStyle w:val="null3"/>
              <w:ind w:firstLine="480"/>
              <w:jc w:val="both"/>
            </w:pPr>
            <w:r>
              <w:rPr>
                <w:rFonts w:ascii="calibri" w:hAnsi="calibri" w:cs="calibri" w:eastAsia="calibri"/>
                <w:sz w:val="24"/>
              </w:rPr>
              <w:t>信息系统的安全保护等级确定后，二级以上（含二级）信息系统的运营使用单位或主管部门应到属地公安机关办理备案手续。按照国家政策要求，跨省或者全国统一联网运行的信息系统在各地运行、应用的分支系统，向当地设区的市级以上公安机关备案。该项目系统应向归属地网安支队申请重要信息系统备案。</w:t>
            </w:r>
          </w:p>
          <w:p>
            <w:pPr>
              <w:pStyle w:val="null3"/>
              <w:ind w:firstLine="480"/>
              <w:jc w:val="both"/>
            </w:pPr>
            <w:r>
              <w:rPr>
                <w:rFonts w:ascii="calibri" w:hAnsi="calibri" w:cs="calibri" w:eastAsia="calibri"/>
                <w:sz w:val="24"/>
              </w:rPr>
              <w:t>完成备案的信息系统，将获得公安机关颁发的《信息系统安全等级保护备案证明》。</w:t>
            </w:r>
          </w:p>
          <w:p>
            <w:pPr>
              <w:pStyle w:val="null3"/>
              <w:ind w:firstLine="480"/>
              <w:jc w:val="both"/>
            </w:pPr>
            <w:r>
              <w:rPr>
                <w:rFonts w:ascii="宋体" w:hAnsi="宋体" w:cs="宋体" w:eastAsia="宋体"/>
                <w:sz w:val="24"/>
              </w:rPr>
              <w:t>3.</w:t>
            </w:r>
            <w:r>
              <w:rPr>
                <w:rFonts w:ascii="calibri" w:hAnsi="calibri" w:cs="calibri" w:eastAsia="calibri"/>
                <w:sz w:val="24"/>
              </w:rPr>
              <w:t>等级保护测评要求</w:t>
            </w:r>
          </w:p>
          <w:p>
            <w:pPr>
              <w:pStyle w:val="null3"/>
              <w:spacing w:before="150" w:after="150"/>
              <w:ind w:firstLine="480"/>
            </w:pPr>
            <w:r>
              <w:rPr>
                <w:rFonts w:ascii="宋体" w:hAnsi="宋体" w:cs="宋体" w:eastAsia="宋体"/>
                <w:sz w:val="24"/>
              </w:rPr>
              <w:t>服务商在测评过程中要求按照《计算机信息系统安全保护等级划分准则》（</w:t>
            </w:r>
            <w:r>
              <w:rPr>
                <w:rFonts w:ascii="宋体" w:hAnsi="宋体" w:cs="宋体" w:eastAsia="宋体"/>
                <w:sz w:val="24"/>
              </w:rPr>
              <w:t>GB17859-1999）、《信息安全技术 信息系统安全等级保护实施指南》（GB/T25058-201</w:t>
            </w:r>
            <w:r>
              <w:rPr>
                <w:rFonts w:ascii="宋体" w:hAnsi="宋体" w:cs="宋体" w:eastAsia="宋体"/>
                <w:sz w:val="24"/>
              </w:rPr>
              <w:t>9</w:t>
            </w:r>
            <w:r>
              <w:rPr>
                <w:rFonts w:ascii="宋体" w:hAnsi="宋体" w:cs="宋体" w:eastAsia="宋体"/>
                <w:sz w:val="24"/>
              </w:rPr>
              <w:t>）、《信息安全技术</w:t>
            </w:r>
            <w:r>
              <w:rPr>
                <w:rFonts w:ascii="宋体" w:hAnsi="宋体" w:cs="宋体" w:eastAsia="宋体"/>
                <w:sz w:val="24"/>
              </w:rPr>
              <w:t>网络安全等级保护基本要求》（</w:t>
            </w:r>
            <w:r>
              <w:rPr>
                <w:rFonts w:ascii="宋体" w:hAnsi="宋体" w:cs="宋体" w:eastAsia="宋体"/>
                <w:sz w:val="24"/>
              </w:rPr>
              <w:t>GB/T22239-2019）、《信息安全技术 网络安全等级保护测评要求》（GB/T2</w:t>
            </w:r>
            <w:r>
              <w:rPr>
                <w:rFonts w:ascii="宋体" w:hAnsi="宋体" w:cs="宋体" w:eastAsia="宋体"/>
                <w:sz w:val="24"/>
              </w:rPr>
              <w:t>8448</w:t>
            </w:r>
            <w:r>
              <w:rPr>
                <w:rFonts w:ascii="宋体" w:hAnsi="宋体" w:cs="宋体" w:eastAsia="宋体"/>
                <w:sz w:val="24"/>
              </w:rPr>
              <w:t>-2019）、《信息安全技术 网络安全等级保护测评过程指南》（GB/T28449-2018）等相关的标准规范开展等级测评工作，测评指标如下：</w:t>
            </w:r>
          </w:p>
          <w:p>
            <w:pPr>
              <w:pStyle w:val="null3"/>
              <w:ind w:firstLine="480"/>
              <w:jc w:val="both"/>
            </w:pPr>
            <w:r>
              <w:rPr>
                <w:rFonts w:ascii="calibri" w:hAnsi="calibri" w:cs="calibri" w:eastAsia="calibri"/>
                <w:sz w:val="24"/>
              </w:rPr>
              <w:t>测评指标要求项（二级）</w:t>
            </w:r>
          </w:p>
          <w:tbl>
            <w:tblPr>
              <w:tblBorders>
                <w:top w:val="none" w:color="000000" w:sz="4"/>
                <w:left w:val="none" w:color="000000" w:sz="4"/>
                <w:bottom w:val="none" w:color="000000" w:sz="4"/>
                <w:right w:val="none" w:color="000000" w:sz="4"/>
                <w:insideH w:val="none"/>
                <w:insideV w:val="none"/>
              </w:tblBorders>
            </w:tblPr>
            <w:tblGrid>
              <w:gridCol w:w="478"/>
              <w:gridCol w:w="573"/>
              <w:gridCol w:w="2136"/>
            </w:tblGrid>
            <w:tr>
              <w:tc>
                <w:tcPr>
                  <w:tcW w:type="dxa" w:w="478"/>
                  <w:tcBorders>
                    <w:top w:val="single" w:color="000000" w:sz="4"/>
                    <w:left w:val="singl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calibri" w:hAnsi="calibri" w:cs="calibri" w:eastAsia="calibri"/>
                      <w:b/>
                      <w:sz w:val="24"/>
                    </w:rPr>
                    <w:t>安全层面</w:t>
                  </w:r>
                </w:p>
              </w:tc>
              <w:tc>
                <w:tcPr>
                  <w:tcW w:type="dxa" w:w="573"/>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calibri" w:hAnsi="calibri" w:cs="calibri" w:eastAsia="calibri"/>
                      <w:b/>
                      <w:sz w:val="24"/>
                    </w:rPr>
                    <w:t>安全控制点</w:t>
                  </w:r>
                </w:p>
              </w:tc>
              <w:tc>
                <w:tcPr>
                  <w:tcW w:type="dxa" w:w="2136"/>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calibri" w:hAnsi="calibri" w:cs="calibri" w:eastAsia="calibri"/>
                      <w:b/>
                      <w:sz w:val="24"/>
                    </w:rPr>
                    <w:t>测评指标</w:t>
                  </w:r>
                </w:p>
              </w:tc>
            </w:tr>
            <w:tr>
              <w:tc>
                <w:tcPr>
                  <w:tcW w:type="dxa" w:w="478"/>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安全物理环境</w:t>
                  </w:r>
                </w:p>
              </w:tc>
              <w:tc>
                <w:tcPr>
                  <w:tcW w:type="dxa" w:w="573"/>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物理位置选择</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a</w:t>
                  </w:r>
                  <w:r>
                    <w:rPr>
                      <w:rFonts w:ascii="calibri" w:hAnsi="calibri" w:cs="calibri" w:eastAsia="calibri"/>
                      <w:sz w:val="21"/>
                    </w:rPr>
                    <w:t>）机房和办公场地应选择在具有防震、防风和防雨等能力的建筑内；</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non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b</w:t>
                  </w:r>
                  <w:r>
                    <w:rPr>
                      <w:rFonts w:ascii="calibri" w:hAnsi="calibri" w:cs="calibri" w:eastAsia="calibri"/>
                      <w:sz w:val="21"/>
                    </w:rPr>
                    <w:t>）机房场地应避免设在建筑物的高层或地下室，否则应加强防水和防潮措施。</w:t>
                  </w:r>
                </w:p>
              </w:tc>
            </w:tr>
            <w:tr>
              <w:tc>
                <w:tcPr>
                  <w:tcW w:type="dxa" w:w="478"/>
                  <w:vMerge/>
                  <w:tcBorders>
                    <w:top w:val="none" w:color="000000" w:sz="4"/>
                    <w:left w:val="single" w:color="000000" w:sz="4"/>
                    <w:bottom w:val="non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物理访问控制</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机房出入口应有专人值守，控制、鉴别和记录进入的人员。</w:t>
                  </w:r>
                </w:p>
              </w:tc>
            </w:tr>
            <w:tr>
              <w:tc>
                <w:tcPr>
                  <w:tcW w:type="dxa" w:w="478"/>
                  <w:vMerge/>
                  <w:tcBorders>
                    <w:top w:val="none" w:color="000000" w:sz="4"/>
                    <w:left w:val="single" w:color="000000" w:sz="4"/>
                    <w:bottom w:val="none" w:color="000000" w:sz="4"/>
                    <w:right w:val="single" w:color="000000" w:sz="4"/>
                  </w:tcBorders>
                </w:tcPr>
                <w:p/>
              </w:tc>
              <w:tc>
                <w:tcPr>
                  <w:tcW w:type="dxa" w:w="573"/>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防盗窃和防破坏</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a</w:t>
                  </w:r>
                  <w:r>
                    <w:rPr>
                      <w:rFonts w:ascii="calibri" w:hAnsi="calibri" w:cs="calibri" w:eastAsia="calibri"/>
                      <w:sz w:val="21"/>
                    </w:rPr>
                    <w:t>）应将设备或主要部件进行固定，并设置明显的不易除去的标记；</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non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b</w:t>
                  </w:r>
                  <w:r>
                    <w:rPr>
                      <w:rFonts w:ascii="calibri" w:hAnsi="calibri" w:cs="calibri" w:eastAsia="calibri"/>
                      <w:sz w:val="21"/>
                    </w:rPr>
                    <w:t>）应将通信线缆铺设在隐蔽安全处；</w:t>
                  </w:r>
                </w:p>
              </w:tc>
            </w:tr>
            <w:tr>
              <w:tc>
                <w:tcPr>
                  <w:tcW w:type="dxa" w:w="478"/>
                  <w:vMerge/>
                  <w:tcBorders>
                    <w:top w:val="none" w:color="000000" w:sz="4"/>
                    <w:left w:val="single" w:color="000000" w:sz="4"/>
                    <w:bottom w:val="none" w:color="000000" w:sz="4"/>
                    <w:right w:val="single" w:color="000000" w:sz="4"/>
                  </w:tcBorders>
                </w:tcPr>
                <w:p/>
              </w:tc>
              <w:tc>
                <w:tcPr>
                  <w:tcW w:type="dxa" w:w="5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防雷击</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应将各类机柜、设施和设备等通过接地系统安全接地。</w:t>
                  </w:r>
                </w:p>
              </w:tc>
            </w:tr>
            <w:tr>
              <w:tc>
                <w:tcPr>
                  <w:tcW w:type="dxa" w:w="478"/>
                  <w:vMerge/>
                  <w:tcBorders>
                    <w:top w:val="none" w:color="000000" w:sz="4"/>
                    <w:left w:val="single" w:color="000000" w:sz="4"/>
                    <w:bottom w:val="non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防火</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a</w:t>
                  </w:r>
                  <w:r>
                    <w:rPr>
                      <w:rFonts w:ascii="calibri" w:hAnsi="calibri" w:cs="calibri" w:eastAsia="calibri"/>
                      <w:sz w:val="21"/>
                    </w:rPr>
                    <w:t>）机房应设置火灾自动消防系统，自动检测火情、自动报警，并自动灭火；</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b</w:t>
                  </w:r>
                  <w:r>
                    <w:rPr>
                      <w:rFonts w:ascii="calibri" w:hAnsi="calibri" w:cs="calibri" w:eastAsia="calibri"/>
                      <w:sz w:val="21"/>
                    </w:rPr>
                    <w:t>）机房及相关的工作房间和辅助房应采用具有耐火等级的建筑材料；</w:t>
                  </w:r>
                </w:p>
              </w:tc>
            </w:tr>
            <w:tr>
              <w:tc>
                <w:tcPr>
                  <w:tcW w:type="dxa" w:w="478"/>
                  <w:vMerge/>
                  <w:tcBorders>
                    <w:top w:val="none" w:color="000000" w:sz="4"/>
                    <w:left w:val="single" w:color="000000" w:sz="4"/>
                    <w:bottom w:val="non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防水和防潮</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a</w:t>
                  </w:r>
                  <w:r>
                    <w:rPr>
                      <w:rFonts w:ascii="calibri" w:hAnsi="calibri" w:cs="calibri" w:eastAsia="calibri"/>
                      <w:sz w:val="21"/>
                    </w:rPr>
                    <w:t>）应采取措施防止雨水通过机房窗户、屋顶和墙壁渗透；</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b</w:t>
                  </w:r>
                  <w:r>
                    <w:rPr>
                      <w:rFonts w:ascii="calibri" w:hAnsi="calibri" w:cs="calibri" w:eastAsia="calibri"/>
                      <w:sz w:val="21"/>
                    </w:rPr>
                    <w:t>）应采取措施防止机房内水蒸气结露和地下积水的转移与渗透。</w:t>
                  </w:r>
                </w:p>
              </w:tc>
            </w:tr>
            <w:tr>
              <w:tc>
                <w:tcPr>
                  <w:tcW w:type="dxa" w:w="478"/>
                  <w:vMerge/>
                  <w:tcBorders>
                    <w:top w:val="none" w:color="000000" w:sz="4"/>
                    <w:left w:val="single" w:color="000000" w:sz="4"/>
                    <w:bottom w:val="none" w:color="000000" w:sz="4"/>
                    <w:right w:val="single" w:color="000000" w:sz="4"/>
                  </w:tcBorders>
                </w:tcPr>
                <w:p/>
              </w:tc>
              <w:tc>
                <w:tcPr>
                  <w:tcW w:type="dxa" w:w="573"/>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防静电</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应采用防静电地板或地面并采用必要的接地防静电措施。</w:t>
                  </w:r>
                </w:p>
              </w:tc>
            </w:tr>
            <w:tr>
              <w:tc>
                <w:tcPr>
                  <w:tcW w:type="dxa" w:w="478"/>
                  <w:vMerge/>
                  <w:tcBorders>
                    <w:top w:val="none" w:color="000000" w:sz="4"/>
                    <w:left w:val="single" w:color="000000" w:sz="4"/>
                    <w:bottom w:val="none" w:color="000000" w:sz="4"/>
                    <w:right w:val="single" w:color="000000" w:sz="4"/>
                  </w:tcBorders>
                </w:tcPr>
                <w:p/>
              </w:tc>
              <w:tc>
                <w:tcPr>
                  <w:tcW w:type="dxa" w:w="5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温湿度控制</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应设置温湿度自动调节设施，使机房温、湿度的变化在设备运行所允许的范围之内。</w:t>
                  </w:r>
                </w:p>
              </w:tc>
            </w:tr>
            <w:tr>
              <w:tc>
                <w:tcPr>
                  <w:tcW w:type="dxa" w:w="478"/>
                  <w:vMerge/>
                  <w:tcBorders>
                    <w:top w:val="none" w:color="000000" w:sz="4"/>
                    <w:left w:val="single" w:color="000000" w:sz="4"/>
                    <w:bottom w:val="non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电力供应</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a</w:t>
                  </w:r>
                  <w:r>
                    <w:rPr>
                      <w:rFonts w:ascii="calibri" w:hAnsi="calibri" w:cs="calibri" w:eastAsia="calibri"/>
                      <w:sz w:val="21"/>
                    </w:rPr>
                    <w:t>）应在机房供电线路上配置稳压器和过电压防护设备；</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b</w:t>
                  </w:r>
                  <w:r>
                    <w:rPr>
                      <w:rFonts w:ascii="calibri" w:hAnsi="calibri" w:cs="calibri" w:eastAsia="calibri"/>
                      <w:sz w:val="21"/>
                    </w:rPr>
                    <w:t>）应提供短期的备用电力供应，至少满足主要设备在断电情况下的正常运行要求。</w:t>
                  </w:r>
                </w:p>
              </w:tc>
            </w:tr>
            <w:tr>
              <w:tc>
                <w:tcPr>
                  <w:tcW w:type="dxa" w:w="478"/>
                  <w:vMerge/>
                  <w:tcBorders>
                    <w:top w:val="none" w:color="000000" w:sz="4"/>
                    <w:left w:val="single" w:color="000000" w:sz="4"/>
                    <w:bottom w:val="none" w:color="000000" w:sz="4"/>
                    <w:right w:val="single" w:color="000000" w:sz="4"/>
                  </w:tcBorders>
                </w:tcPr>
                <w:p/>
              </w:tc>
              <w:tc>
                <w:tcPr>
                  <w:tcW w:type="dxa" w:w="573"/>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电磁防护</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电源线和通信线缆应隔离铺设，避免互相干扰。</w:t>
                  </w:r>
                </w:p>
              </w:tc>
            </w:tr>
            <w:tr>
              <w:tc>
                <w:tcPr>
                  <w:tcW w:type="dxa" w:w="478"/>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安全通信网络</w:t>
                  </w:r>
                </w:p>
              </w:tc>
              <w:tc>
                <w:tcPr>
                  <w:tcW w:type="dxa" w:w="573"/>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网络架构</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a) </w:t>
                  </w:r>
                  <w:r>
                    <w:rPr>
                      <w:rFonts w:ascii="calibri" w:hAnsi="calibri" w:cs="calibri" w:eastAsia="calibri"/>
                      <w:sz w:val="21"/>
                    </w:rPr>
                    <w:t>应划分不同的网络区域，并按照方便管理和控制的原则为各网络区域分配地址；</w:t>
                  </w:r>
                </w:p>
              </w:tc>
            </w:tr>
            <w:tr>
              <w:tc>
                <w:tcPr>
                  <w:tcW w:type="dxa" w:w="478"/>
                  <w:vMerge/>
                  <w:tcBorders>
                    <w:top w:val="single" w:color="000000" w:sz="4"/>
                    <w:left w:val="single" w:color="000000" w:sz="4"/>
                    <w:bottom w:val="single" w:color="000000" w:sz="4"/>
                    <w:right w:val="single" w:color="000000" w:sz="4"/>
                  </w:tcBorders>
                </w:tcPr>
                <w:p/>
              </w:tc>
              <w:tc>
                <w:tcPr>
                  <w:tcW w:type="dxa" w:w="573"/>
                  <w:vMerge/>
                  <w:tcBorders>
                    <w:top w:val="singl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b) </w:t>
                  </w:r>
                  <w:r>
                    <w:rPr>
                      <w:rFonts w:ascii="calibri" w:hAnsi="calibri" w:cs="calibri" w:eastAsia="calibri"/>
                      <w:sz w:val="21"/>
                    </w:rPr>
                    <w:t>应避免将重要网络区域部署在边界处，重要网络区域与其他网络区域之间应采取可靠的技术隔离于段。</w:t>
                  </w:r>
                </w:p>
              </w:tc>
            </w:tr>
            <w:tr>
              <w:tc>
                <w:tcPr>
                  <w:tcW w:type="dxa" w:w="478"/>
                  <w:vMerge/>
                  <w:tcBorders>
                    <w:top w:val="singl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通信传输</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应采用校验技术保证通信过程中数据的完整性。</w:t>
                  </w:r>
                </w:p>
              </w:tc>
            </w:tr>
            <w:tr>
              <w:tc>
                <w:tcPr>
                  <w:tcW w:type="dxa" w:w="478"/>
                  <w:vMerge/>
                  <w:tcBorders>
                    <w:top w:val="singl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可信验证</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可基于可信根对通信设备的系统引导程序、系统程序、重要配置参数和通信应用程序等进行可信验证，并在检测到其可信性受到破坏后进行报警，并将验证结果形成审计记录送至安全管理中心。</w:t>
                  </w:r>
                </w:p>
              </w:tc>
            </w:tr>
            <w:tr>
              <w:tc>
                <w:tcPr>
                  <w:tcW w:type="dxa" w:w="47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安全区域边界</w:t>
                  </w: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边界防护</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应保证跨越边界的访问和数据流通过边界设备提供的受控接口进行通信。</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访问控制</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a</w:t>
                  </w:r>
                  <w:r>
                    <w:rPr>
                      <w:rFonts w:ascii="calibri" w:hAnsi="calibri" w:cs="calibri" w:eastAsia="calibri"/>
                      <w:sz w:val="21"/>
                    </w:rPr>
                    <w:t>）应在网络边界或区域之间根据访问控制策略设置访问控制规则，默认情况下除允许通信外受控接口拒绝所有通信；</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b) </w:t>
                  </w:r>
                  <w:r>
                    <w:rPr>
                      <w:rFonts w:ascii="calibri" w:hAnsi="calibri" w:cs="calibri" w:eastAsia="calibri"/>
                      <w:sz w:val="21"/>
                    </w:rPr>
                    <w:t>应删除多余或无效的访问控制规则，优化访问控制列表，并保证访问控制规则数量最小化；</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c) </w:t>
                  </w:r>
                  <w:r>
                    <w:rPr>
                      <w:rFonts w:ascii="calibri" w:hAnsi="calibri" w:cs="calibri" w:eastAsia="calibri"/>
                      <w:sz w:val="21"/>
                    </w:rPr>
                    <w:t>应对源地址、目的地址、源端口、目的端口和协议等进行检查，以允许／拒绝数据包进出；</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d</w:t>
                  </w:r>
                  <w:r>
                    <w:rPr>
                      <w:rFonts w:ascii="calibri" w:hAnsi="calibri" w:cs="calibri" w:eastAsia="calibri"/>
                      <w:sz w:val="21"/>
                    </w:rPr>
                    <w:t>） 应能根据会状态话信息对进出数据流提供明确的允许</w:t>
                  </w:r>
                  <w:r>
                    <w:rPr>
                      <w:rFonts w:ascii="宋体" w:hAnsi="宋体" w:cs="宋体" w:eastAsia="宋体"/>
                      <w:sz w:val="21"/>
                    </w:rPr>
                    <w:t>/</w:t>
                  </w:r>
                  <w:r>
                    <w:rPr>
                      <w:rFonts w:ascii="calibri" w:hAnsi="calibri" w:cs="calibri" w:eastAsia="calibri"/>
                      <w:sz w:val="21"/>
                    </w:rPr>
                    <w:t>拒绝访问的能力；</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入侵防范</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应在关键网络节点处监视网络攻击行为。</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恶意代码防范</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应在关键网络节点处对恶意代码进行检测和清除，并维护恶意代码防护机制的升级和更新。</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安全审计</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 xml:space="preserve">a) </w:t>
                  </w:r>
                  <w:r>
                    <w:rPr>
                      <w:rFonts w:ascii="calibri" w:hAnsi="calibri" w:cs="calibri" w:eastAsia="calibri"/>
                      <w:sz w:val="21"/>
                    </w:rPr>
                    <w:t>应在网络边界、重要网络节点处进行安全审计，审计覆盖到每个用户，对重要的用户行为和重要安全事件进行审计；</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 xml:space="preserve">b) </w:t>
                  </w:r>
                  <w:r>
                    <w:rPr>
                      <w:rFonts w:ascii="calibri" w:hAnsi="calibri" w:cs="calibri" w:eastAsia="calibri"/>
                      <w:sz w:val="21"/>
                    </w:rPr>
                    <w:t>审计记录应包括事件的日期和时间、用户、事件类型、事件是否成功及其他与审计相关的信息；</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 xml:space="preserve">c) </w:t>
                  </w:r>
                  <w:r>
                    <w:rPr>
                      <w:rFonts w:ascii="calibri" w:hAnsi="calibri" w:cs="calibri" w:eastAsia="calibri"/>
                      <w:sz w:val="21"/>
                    </w:rPr>
                    <w:t>应对审计记录进行保护，定期备份，避免受到未预期的删除、修改或覆盖等。</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可信验证</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可基于可信根对边界设备的系统引导程序、系统程序、重要配置参数和边界防护应用程序等进行可信验证，并在检测到其可信性受到破坏后进行报警，并将验证结果形成审计记录送至安全管理中心。</w:t>
                  </w:r>
                </w:p>
              </w:tc>
            </w:tr>
            <w:tr>
              <w:tc>
                <w:tcPr>
                  <w:tcW w:type="dxa" w:w="47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安全计算环境</w:t>
                  </w:r>
                </w:p>
                <w:p>
                  <w:pPr>
                    <w:pStyle w:val="null3"/>
                    <w:jc w:val="center"/>
                  </w:pPr>
                  <w:r>
                    <w:rPr>
                      <w:rFonts w:ascii="calibri" w:hAnsi="calibri" w:cs="calibri" w:eastAsia="calibri"/>
                      <w:sz w:val="21"/>
                    </w:rPr>
                    <w:t>安全计算环境</w:t>
                  </w: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身份鉴别</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a)</w:t>
                  </w:r>
                  <w:r>
                    <w:rPr>
                      <w:rFonts w:ascii="calibri" w:hAnsi="calibri" w:cs="calibri" w:eastAsia="calibri"/>
                      <w:sz w:val="21"/>
                    </w:rPr>
                    <w:t>应对登录的用户进行身份标识和鉴别，身份标识具有唯一性，身份鉴别信息具有复杂度要求并定期更换；</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b</w:t>
                  </w:r>
                  <w:r>
                    <w:rPr>
                      <w:rFonts w:ascii="calibri" w:hAnsi="calibri" w:cs="calibri" w:eastAsia="calibri"/>
                      <w:sz w:val="21"/>
                    </w:rPr>
                    <w:t>）应具有登录失败处理功能，应配置并启用结束会话、限制非法登录次数和当登录连接超时自动退出等相关措施；</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c)</w:t>
                  </w:r>
                  <w:r>
                    <w:rPr>
                      <w:rFonts w:ascii="calibri" w:hAnsi="calibri" w:cs="calibri" w:eastAsia="calibri"/>
                      <w:sz w:val="21"/>
                    </w:rPr>
                    <w:t>当进行远程管理时，应采取必要措施防止鉴别信息在网络传输过程中被窃听。</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访问控制</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a) </w:t>
                  </w:r>
                  <w:r>
                    <w:rPr>
                      <w:rFonts w:ascii="calibri" w:hAnsi="calibri" w:cs="calibri" w:eastAsia="calibri"/>
                      <w:sz w:val="21"/>
                    </w:rPr>
                    <w:t>应对登录的用户分配账户和权限；</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b) </w:t>
                  </w:r>
                  <w:r>
                    <w:rPr>
                      <w:rFonts w:ascii="calibri" w:hAnsi="calibri" w:cs="calibri" w:eastAsia="calibri"/>
                      <w:sz w:val="21"/>
                    </w:rPr>
                    <w:t>应重命名或删除默认账户，修改默认账户的默认口令；</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c) </w:t>
                  </w:r>
                  <w:r>
                    <w:rPr>
                      <w:rFonts w:ascii="calibri" w:hAnsi="calibri" w:cs="calibri" w:eastAsia="calibri"/>
                      <w:sz w:val="21"/>
                    </w:rPr>
                    <w:t>应及时删除或停用多余的、过期的账户，避免共享账户的存在；</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d) </w:t>
                  </w:r>
                  <w:r>
                    <w:rPr>
                      <w:rFonts w:ascii="calibri" w:hAnsi="calibri" w:cs="calibri" w:eastAsia="calibri"/>
                      <w:sz w:val="21"/>
                    </w:rPr>
                    <w:t>应授予管理用户所需的最小权限，实现管理用户的权限分离。</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安全审计</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a) </w:t>
                  </w:r>
                  <w:r>
                    <w:rPr>
                      <w:rFonts w:ascii="calibri" w:hAnsi="calibri" w:cs="calibri" w:eastAsia="calibri"/>
                      <w:sz w:val="21"/>
                    </w:rPr>
                    <w:t>应启用安全审计功能，审计覆盖到每个用户，对重要的用户行为和重要安全事件进行审计；</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b)</w:t>
                  </w:r>
                  <w:r>
                    <w:rPr>
                      <w:rFonts w:ascii="calibri" w:hAnsi="calibri" w:cs="calibri" w:eastAsia="calibri"/>
                      <w:sz w:val="21"/>
                    </w:rPr>
                    <w:t>审计记录应包括事件的日期和时间、用户、事件类型、事件是否成功及其他与审计相关的信息；</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c</w:t>
                  </w:r>
                  <w:r>
                    <w:rPr>
                      <w:rFonts w:ascii="calibri" w:hAnsi="calibri" w:cs="calibri" w:eastAsia="calibri"/>
                      <w:sz w:val="21"/>
                    </w:rPr>
                    <w:t>）应对审计记录进行保护，定期备份，避免受到未预期的删除、修改或覆盖等。</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入侵防范</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a</w:t>
                  </w:r>
                  <w:r>
                    <w:rPr>
                      <w:rFonts w:ascii="calibri" w:hAnsi="calibri" w:cs="calibri" w:eastAsia="calibri"/>
                      <w:sz w:val="21"/>
                    </w:rPr>
                    <w:t>）应遵循最小安装的原则，仅安装需要的组件和应用程序；</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b)</w:t>
                  </w:r>
                  <w:r>
                    <w:rPr>
                      <w:rFonts w:ascii="calibri" w:hAnsi="calibri" w:cs="calibri" w:eastAsia="calibri"/>
                      <w:sz w:val="21"/>
                    </w:rPr>
                    <w:t>应关闭不需要的系统服务、默认共享和高危端口；</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c</w:t>
                  </w:r>
                  <w:r>
                    <w:rPr>
                      <w:rFonts w:ascii="calibri" w:hAnsi="calibri" w:cs="calibri" w:eastAsia="calibri"/>
                      <w:sz w:val="21"/>
                    </w:rPr>
                    <w:t>）应通过设定终端接入方式或网络地址范围对通过网络进行管理的管理终端进行限制；</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d</w:t>
                  </w:r>
                  <w:r>
                    <w:rPr>
                      <w:rFonts w:ascii="calibri" w:hAnsi="calibri" w:cs="calibri" w:eastAsia="calibri"/>
                      <w:sz w:val="21"/>
                    </w:rPr>
                    <w:t>）应提供数据有效性检验功能，保证通过人机接口输入或通过通信接口输入的内容符合系统设定要求；</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e</w:t>
                  </w:r>
                  <w:r>
                    <w:rPr>
                      <w:rFonts w:ascii="calibri" w:hAnsi="calibri" w:cs="calibri" w:eastAsia="calibri"/>
                      <w:sz w:val="21"/>
                    </w:rPr>
                    <w:t>）应能发现可能存在的已知漏洞，并在经过充分测试评估后，及时修补漏洞；</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恶意代码防范</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应安装防恶意代码软件或配置具有相应功能的软件，并定期进行升级和更新防恶意代码库。</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可信验证</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可基于可信根对计算设备的系统引导程序、系统程序、重要配置参数和应用程序等进行可信验证，并在检测到其可信性受到破坏后进行报警，并将验证结果形成审计记录送至安全管理中心。</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数据完整性</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应采用校验技术保证重要数据在传输过程中的完整性。</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数据备份恢复</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a) </w:t>
                  </w:r>
                  <w:r>
                    <w:rPr>
                      <w:rFonts w:ascii="calibri" w:hAnsi="calibri" w:cs="calibri" w:eastAsia="calibri"/>
                      <w:sz w:val="21"/>
                    </w:rPr>
                    <w:t>应提供重要数据的本地数据备份与恢复功能；</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b) </w:t>
                  </w:r>
                  <w:r>
                    <w:rPr>
                      <w:rFonts w:ascii="calibri" w:hAnsi="calibri" w:cs="calibri" w:eastAsia="calibri"/>
                      <w:sz w:val="21"/>
                    </w:rPr>
                    <w:t>应提供异地数据备份功能，利用通信网络将重要数据定时批量传送至备用场地。</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剩余信息保护</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calibri" w:hAnsi="calibri" w:cs="calibri" w:eastAsia="calibri"/>
                      <w:sz w:val="21"/>
                    </w:rPr>
                    <w:t>应保证鉴别信息所在的存储空间被释放或重新分配前得到完全清除。</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个人信息保护</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a) </w:t>
                  </w:r>
                  <w:r>
                    <w:rPr>
                      <w:rFonts w:ascii="calibri" w:hAnsi="calibri" w:cs="calibri" w:eastAsia="calibri"/>
                      <w:sz w:val="21"/>
                    </w:rPr>
                    <w:t>应仅采集和保存业务必需的用户个人信息；</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 xml:space="preserve">b) </w:t>
                  </w:r>
                  <w:r>
                    <w:rPr>
                      <w:rFonts w:ascii="calibri" w:hAnsi="calibri" w:cs="calibri" w:eastAsia="calibri"/>
                      <w:sz w:val="21"/>
                    </w:rPr>
                    <w:t>应禁止未授权访问和非法使用用户个人信息。</w:t>
                  </w:r>
                </w:p>
              </w:tc>
            </w:tr>
            <w:tr>
              <w:tc>
                <w:tcPr>
                  <w:tcW w:type="dxa" w:w="47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安全管理中心</w:t>
                  </w: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系统管理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 xml:space="preserve">a) </w:t>
                  </w:r>
                  <w:r>
                    <w:rPr>
                      <w:rFonts w:ascii="calibri" w:hAnsi="calibri" w:cs="calibri" w:eastAsia="calibri"/>
                      <w:sz w:val="21"/>
                    </w:rPr>
                    <w:t>应对系统管理员进行身份鉴别，只允许其通过特定的命令或操作界面进行系统管理操作，并对这些操作进行审计；</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 xml:space="preserve">b) </w:t>
                  </w:r>
                  <w:r>
                    <w:rPr>
                      <w:rFonts w:ascii="calibri" w:hAnsi="calibri" w:cs="calibri" w:eastAsia="calibri"/>
                      <w:sz w:val="21"/>
                    </w:rPr>
                    <w:t>应通过系统管理员对系统的资源和运行进行配置、控制和管理，包括用户身份、系统资源配置、系统加载和启动、系统运行的异常处理、数据和设备的备份与恢复等。</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审计管理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 xml:space="preserve">a) </w:t>
                  </w:r>
                  <w:r>
                    <w:rPr>
                      <w:rFonts w:ascii="calibri" w:hAnsi="calibri" w:cs="calibri" w:eastAsia="calibri"/>
                      <w:sz w:val="21"/>
                    </w:rPr>
                    <w:t>应对审计管理员进行身份鉴别，只允许其通过特定的命令或操作界面进行安全审计操作，并对这些操作进行审计；</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 xml:space="preserve">b) </w:t>
                  </w:r>
                  <w:r>
                    <w:rPr>
                      <w:rFonts w:ascii="calibri" w:hAnsi="calibri" w:cs="calibri" w:eastAsia="calibri"/>
                      <w:sz w:val="21"/>
                    </w:rPr>
                    <w:t>应通过审计管理员对审计记录应进行分析，并根据分析结果进行处理，包括根据安全审计策略对审计记录进行存储、管理和查询等。</w:t>
                  </w:r>
                </w:p>
              </w:tc>
            </w:tr>
            <w:tr>
              <w:tc>
                <w:tcPr>
                  <w:tcW w:type="dxa" w:w="47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安全管理制度</w:t>
                  </w: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安全策略</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应制定网络安全工作的总体方针和安全策略，阐明机构安全工作的总体目标、范围、原则和安全框架等。</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管理制度</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应对安全管理活动中的各类管理内容建立安全管理制度；</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应对要求管理人员或操作人员执行的日常管理操作建立操作规程。</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制定和发布</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应指定或授权专门的部门或人员负责安全管理制度的制定。</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安全管理制度应通过正式、有效的方式发布，并进行版本控制。</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评审和修订</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应定期对安全管理制度的合理性和适用性进行论证和审定，对存在不足或需要改进的安全管理制度进行修订。</w:t>
                  </w:r>
                </w:p>
              </w:tc>
            </w:tr>
            <w:tr>
              <w:tc>
                <w:tcPr>
                  <w:tcW w:type="dxa" w:w="47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安全管理机构</w:t>
                  </w: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岗位设置</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宋体" w:hAnsi="宋体" w:cs="宋体" w:eastAsia="宋体"/>
                      <w:sz w:val="21"/>
                    </w:rPr>
                    <w:t>)</w:t>
                  </w:r>
                  <w:r>
                    <w:rPr>
                      <w:rFonts w:ascii="calibri" w:hAnsi="calibri" w:cs="calibri" w:eastAsia="calibri"/>
                      <w:sz w:val="21"/>
                    </w:rPr>
                    <w:t>应设立网络安全管理工作的职能部门，设立安全主管、安全管理各个方面的负责人岗位，并定义各负责人的职责；</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宋体" w:hAnsi="宋体" w:cs="宋体" w:eastAsia="宋体"/>
                      <w:sz w:val="21"/>
                    </w:rPr>
                    <w:t>)</w:t>
                  </w:r>
                  <w:r>
                    <w:rPr>
                      <w:rFonts w:ascii="calibri" w:hAnsi="calibri" w:cs="calibri" w:eastAsia="calibri"/>
                      <w:sz w:val="21"/>
                    </w:rPr>
                    <w:t>应设立系统管理员、审计管理员和安全管理员等岗位，并定义部门及各个工作岗位的职责。</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人员配备</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应配备一定数量的系统管理员、审计管理员和安全管理员等。</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授权和审批</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应根据各个部门和岗位的职责明确授权审批事项、审批部门和批准人等；</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应针对系统变更、重要操作、物理访问和系统接入等事项执行审批过程。</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沟通和合作</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应加强各类管理人员 、组织内部机构和网络安全管理部门之间的合作与沟通</w:t>
                  </w:r>
                  <w:r>
                    <w:rPr>
                      <w:rFonts w:ascii="宋体" w:hAnsi="宋体" w:cs="宋体" w:eastAsia="宋体"/>
                      <w:sz w:val="21"/>
                    </w:rPr>
                    <w:t>,</w:t>
                  </w:r>
                  <w:r>
                    <w:rPr>
                      <w:rFonts w:ascii="calibri" w:hAnsi="calibri" w:cs="calibri" w:eastAsia="calibri"/>
                      <w:sz w:val="21"/>
                    </w:rPr>
                    <w:t>定期召开协调会议，共同协作处理网络安全问题；</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应加强与网络安全职能部门、各类供应商、业界专家及安全组织的合作与沟通；</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c)</w:t>
                  </w:r>
                  <w:r>
                    <w:rPr>
                      <w:rFonts w:ascii="calibri" w:hAnsi="calibri" w:cs="calibri" w:eastAsia="calibri"/>
                      <w:sz w:val="21"/>
                    </w:rPr>
                    <w:t>应建立外联单位联系列表，包括外联单位名称、合作内容、联系人和联系方式等信息。</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审核和检查</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应定期进行常规安全检查</w:t>
                  </w:r>
                  <w:r>
                    <w:rPr>
                      <w:rFonts w:ascii="宋体" w:hAnsi="宋体" w:cs="宋体" w:eastAsia="宋体"/>
                      <w:sz w:val="21"/>
                    </w:rPr>
                    <w:t>,</w:t>
                  </w:r>
                  <w:r>
                    <w:rPr>
                      <w:rFonts w:ascii="calibri" w:hAnsi="calibri" w:cs="calibri" w:eastAsia="calibri"/>
                      <w:sz w:val="21"/>
                    </w:rPr>
                    <w:t>检查内容包括系统日常运行、系统漏洞和数据备份等情况。</w:t>
                  </w:r>
                </w:p>
              </w:tc>
            </w:tr>
            <w:tr>
              <w:tc>
                <w:tcPr>
                  <w:tcW w:type="dxa" w:w="47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安全管理人员</w:t>
                  </w: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人员录用</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应指定或授权专门的部门或人员负责人员录用；</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应对被录用人员的身份、安全背景、专业资格或资质等进行审查。</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人员离岗</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应及时终止离岗人员的所有访问权限，取回各种身份证件、钥匙、徽章等以及机构提供的软硬件设备。</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安全意识教育和培训</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应对各类人员进行安全意识教育和岗位技能培训，并告知相关的安全责任和惩戒措施。</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外部人员访问管理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应在外部人员物理访问受控区域前先提出书面申请，批准后由专人全程陪同，并登记备案。</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应在外部人员接人受控网络访问系统前先提出书面申请，批准后由专人开设账户、分配权限，并登记备案；</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c)</w:t>
                  </w:r>
                  <w:r>
                    <w:rPr>
                      <w:rFonts w:ascii="calibri" w:hAnsi="calibri" w:cs="calibri" w:eastAsia="calibri"/>
                      <w:sz w:val="21"/>
                    </w:rPr>
                    <w:t>外部人员离场后应及时清除其所有的访问权限。</w:t>
                  </w:r>
                </w:p>
              </w:tc>
            </w:tr>
            <w:tr>
              <w:tc>
                <w:tcPr>
                  <w:tcW w:type="dxa" w:w="47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安全建设管理</w:t>
                  </w:r>
                </w:p>
                <w:p>
                  <w:pPr>
                    <w:pStyle w:val="null3"/>
                    <w:jc w:val="center"/>
                  </w:pPr>
                  <w:r>
                    <w:rPr>
                      <w:rFonts w:ascii="calibri" w:hAnsi="calibri" w:cs="calibri" w:eastAsia="calibri"/>
                      <w:sz w:val="21"/>
                    </w:rPr>
                    <w:t>理</w:t>
                  </w:r>
                </w:p>
              </w:tc>
              <w:tc>
                <w:tcPr>
                  <w:tcW w:type="dxa" w:w="573"/>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定级和备案</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应以书面的形式说明保护对象的安全保护等级及确定等级的方法和理由；</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non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应组织相关部门和有关安全技术专家对定级结果的合理性和正确性进行论证和审定；</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non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c)</w:t>
                  </w:r>
                  <w:r>
                    <w:rPr>
                      <w:rFonts w:ascii="calibri" w:hAnsi="calibri" w:cs="calibri" w:eastAsia="calibri"/>
                      <w:sz w:val="21"/>
                    </w:rPr>
                    <w:t>应保证定级结果经过相关部门的批准；</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non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d)</w:t>
                  </w:r>
                  <w:r>
                    <w:rPr>
                      <w:rFonts w:ascii="calibri" w:hAnsi="calibri" w:cs="calibri" w:eastAsia="calibri"/>
                      <w:sz w:val="21"/>
                    </w:rPr>
                    <w:t>应将备案材料报主管部门和相应公安机关备案。</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安全方案设计</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a)</w:t>
                  </w:r>
                  <w:r>
                    <w:rPr>
                      <w:rFonts w:ascii="calibri" w:hAnsi="calibri" w:cs="calibri" w:eastAsia="calibri"/>
                      <w:sz w:val="21"/>
                    </w:rPr>
                    <w:t>应根据安全保护等级选择基本安全措施，依据风险分析的结果补充和调整安全措施；</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b)</w:t>
                  </w:r>
                  <w:r>
                    <w:rPr>
                      <w:rFonts w:ascii="calibri" w:hAnsi="calibri" w:cs="calibri" w:eastAsia="calibri"/>
                      <w:sz w:val="21"/>
                    </w:rPr>
                    <w:t>应根据保护对象的安全保护等级进行安全方案设计；</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c)</w:t>
                  </w:r>
                  <w:r>
                    <w:rPr>
                      <w:rFonts w:ascii="calibri" w:hAnsi="calibri" w:cs="calibri" w:eastAsia="calibri"/>
                      <w:sz w:val="21"/>
                    </w:rPr>
                    <w:t>应组织相关部门和有关安全专家对安全方案的合理性和正确性进行论证和审定，经过批准后才能正式实施。</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产品采购和使用</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应确保网络安全产品采购和使用符合国家的有关规定；</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应确保密码产品与服务的采购和使用符合国家密码管理主管部门的要求。</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自行软件开发</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）应将开发环境与实际运行环境物理分开，测试数据和测试结果受到控制；</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应在软件开发过程中对安全性进行测试，在软件安装前对可能存在的恶意代码进行检测。</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外包软件开发</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）应在软件交付前检测其中可能存在的恶意代码；</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）应保证开发单位提供软件设计文档和使用指南。</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工程实施</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 xml:space="preserve"> </w:t>
                  </w:r>
                  <w:r>
                    <w:rPr>
                      <w:rFonts w:ascii="calibri" w:hAnsi="calibri" w:cs="calibri" w:eastAsia="calibri"/>
                      <w:sz w:val="21"/>
                    </w:rPr>
                    <w:t>应指定或授权专门的部门或人员负责工程实施过程的管理；</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）应制定安全工程实施方案控制工程实施过程。</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测试验收</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）应制定测试验收方案，并依据测试验收方案实施测试验收，形成测试验收报告；</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应进行上线前的安全性测试，并出具安全测试报告。</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系统交付</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应制定交付清单，并根据交付清单对所交接的设备、软件和文档等进行清点；</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应对负责运行维护的技术人员进行相应的技能培训；</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c)</w:t>
                  </w:r>
                  <w:r>
                    <w:rPr>
                      <w:rFonts w:ascii="calibri" w:hAnsi="calibri" w:cs="calibri" w:eastAsia="calibri"/>
                      <w:sz w:val="21"/>
                    </w:rPr>
                    <w:t>应提供建设过程文档和运行维护文档。</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等级测评</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应定期进行等级测评，发现不符合相应等级保护标准要求的及时整改；</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应在发生重大变更或级别发生变化时进行等级测评；</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c)</w:t>
                  </w:r>
                  <w:r>
                    <w:rPr>
                      <w:rFonts w:ascii="calibri" w:hAnsi="calibri" w:cs="calibri" w:eastAsia="calibri"/>
                      <w:sz w:val="21"/>
                    </w:rPr>
                    <w:t>应确保测评机构的选择符合国家有关规定。</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服务供应商选择</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应确保服务供应商的选择符合国家的有关规定；</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应与选定的服务供应商签订相关协议，明确整个服务供应链各方需履行的网络安全相关义务。</w:t>
                  </w:r>
                </w:p>
              </w:tc>
            </w:tr>
            <w:tr>
              <w:tc>
                <w:tcPr>
                  <w:tcW w:type="dxa" w:w="478"/>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安全运维管理</w:t>
                  </w: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环境管理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宋体" w:hAnsi="宋体" w:cs="宋体" w:eastAsia="宋体"/>
                      <w:sz w:val="21"/>
                    </w:rPr>
                    <w:t>)</w:t>
                  </w:r>
                  <w:r>
                    <w:rPr>
                      <w:rFonts w:ascii="calibri" w:hAnsi="calibri" w:cs="calibri" w:eastAsia="calibri"/>
                      <w:sz w:val="21"/>
                    </w:rPr>
                    <w:t>应指定专门的部门或人员负责机房安全，对机房出入进行管理，定期对机房供配电、空调、温湿度控制、消防等设施进行维护管理；</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宋体" w:hAnsi="宋体" w:cs="宋体" w:eastAsia="宋体"/>
                      <w:sz w:val="21"/>
                    </w:rPr>
                    <w:t>)</w:t>
                  </w:r>
                  <w:r>
                    <w:rPr>
                      <w:rFonts w:ascii="calibri" w:hAnsi="calibri" w:cs="calibri" w:eastAsia="calibri"/>
                      <w:sz w:val="21"/>
                    </w:rPr>
                    <w:t>应对机房的安全管理做出规定，包括物理访问、物品进出和环境安全等；</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c)</w:t>
                  </w:r>
                  <w:r>
                    <w:rPr>
                      <w:rFonts w:ascii="calibri" w:hAnsi="calibri" w:cs="calibri" w:eastAsia="calibri"/>
                      <w:sz w:val="21"/>
                    </w:rPr>
                    <w:t>应不在重要区域接待来访人员，不随意放置含有敏感信息的纸档文件和移动介质等。</w:t>
                  </w:r>
                </w:p>
              </w:tc>
            </w:tr>
            <w:tr>
              <w:tc>
                <w:tcPr>
                  <w:tcW w:type="dxa" w:w="478"/>
                  <w:vMerge/>
                  <w:tcBorders>
                    <w:top w:val="none" w:color="000000" w:sz="4"/>
                    <w:left w:val="single" w:color="000000" w:sz="4"/>
                    <w:bottom w:val="non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资产管理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应编制并保存与保护对象相关的资产清单，包括资产责任部门、重要程度和所处位置等内容。</w:t>
                  </w:r>
                </w:p>
              </w:tc>
            </w:tr>
            <w:tr>
              <w:tc>
                <w:tcPr>
                  <w:tcW w:type="dxa" w:w="478"/>
                  <w:vMerge/>
                  <w:tcBorders>
                    <w:top w:val="none" w:color="000000" w:sz="4"/>
                    <w:left w:val="single" w:color="000000" w:sz="4"/>
                    <w:bottom w:val="non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介质管理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宋体" w:hAnsi="宋体" w:cs="宋体" w:eastAsia="宋体"/>
                      <w:sz w:val="21"/>
                    </w:rPr>
                    <w:t>)</w:t>
                  </w:r>
                  <w:r>
                    <w:rPr>
                      <w:rFonts w:ascii="calibri" w:hAnsi="calibri" w:cs="calibri" w:eastAsia="calibri"/>
                      <w:sz w:val="21"/>
                    </w:rPr>
                    <w:t>应将介质存放在安全的环境中，对各类介质进行控制和保护，实行存储环境专人管理，并根据存档介质的目录清单定期盘点；</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应对介质在物理传输过程中的人员选择、打包、交付等情况进行控制，并对介质的归档和查询等进行登记记录。</w:t>
                  </w:r>
                </w:p>
              </w:tc>
            </w:tr>
            <w:tr>
              <w:tc>
                <w:tcPr>
                  <w:tcW w:type="dxa" w:w="478"/>
                  <w:vMerge/>
                  <w:tcBorders>
                    <w:top w:val="none" w:color="000000" w:sz="4"/>
                    <w:left w:val="single" w:color="000000" w:sz="4"/>
                    <w:bottom w:val="non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设备维护管理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应对各种设备</w:t>
                  </w:r>
                  <w:r>
                    <w:rPr>
                      <w:rFonts w:ascii="宋体" w:hAnsi="宋体" w:cs="宋体" w:eastAsia="宋体"/>
                      <w:sz w:val="21"/>
                    </w:rPr>
                    <w:t>(</w:t>
                  </w:r>
                  <w:r>
                    <w:rPr>
                      <w:rFonts w:ascii="calibri" w:hAnsi="calibri" w:cs="calibri" w:eastAsia="calibri"/>
                      <w:sz w:val="21"/>
                    </w:rPr>
                    <w:t>包括备份和冗余设备</w:t>
                  </w:r>
                  <w:r>
                    <w:rPr>
                      <w:rFonts w:ascii="宋体" w:hAnsi="宋体" w:cs="宋体" w:eastAsia="宋体"/>
                      <w:sz w:val="21"/>
                    </w:rPr>
                    <w:t>)</w:t>
                  </w:r>
                  <w:r>
                    <w:rPr>
                      <w:rFonts w:ascii="calibri" w:hAnsi="calibri" w:cs="calibri" w:eastAsia="calibri"/>
                      <w:sz w:val="21"/>
                    </w:rPr>
                    <w:t>、线路等指定专门的部门或人员定期进行维护管理；</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应对配套设施、软硬件维护管理做出规定，包括明确维护人员的责任、维修和服务的审批、维修过程的监督控制等。</w:t>
                  </w:r>
                </w:p>
              </w:tc>
            </w:tr>
            <w:tr>
              <w:tc>
                <w:tcPr>
                  <w:tcW w:type="dxa" w:w="478"/>
                  <w:vMerge/>
                  <w:tcBorders>
                    <w:top w:val="none" w:color="000000" w:sz="4"/>
                    <w:left w:val="single" w:color="000000" w:sz="4"/>
                    <w:bottom w:val="non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漏洞和风险管理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应采取必要的措施识别安全漏洞和隐患，对发现的安全漏洞和隐患及时进行修补或评估可能的影响后进行修补。</w:t>
                  </w:r>
                </w:p>
              </w:tc>
            </w:tr>
            <w:tr>
              <w:tc>
                <w:tcPr>
                  <w:tcW w:type="dxa" w:w="478"/>
                  <w:vMerge/>
                  <w:tcBorders>
                    <w:top w:val="none" w:color="000000" w:sz="4"/>
                    <w:left w:val="single" w:color="000000" w:sz="4"/>
                    <w:bottom w:val="non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网络与系统安全管理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应划分不同的管理员角色进行网络和系统的运维管理，明确各个角色的责任和权限；</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应指定专门的部门或人员进行账户管理，对申请账户、建立账户、删除账户等进行控制；</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c)</w:t>
                  </w:r>
                  <w:r>
                    <w:rPr>
                      <w:rFonts w:ascii="calibri" w:hAnsi="calibri" w:cs="calibri" w:eastAsia="calibri"/>
                      <w:sz w:val="21"/>
                    </w:rPr>
                    <w:t>应建立网络和系统安全管理制度，对安全策略、账户管理、配置管理、日志管理、日常操作、升级与打补丁、口令更新周期等方面作出规定；</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d)</w:t>
                  </w:r>
                  <w:r>
                    <w:rPr>
                      <w:rFonts w:ascii="calibri" w:hAnsi="calibri" w:cs="calibri" w:eastAsia="calibri"/>
                      <w:sz w:val="21"/>
                    </w:rPr>
                    <w:t>应制定重要设备的配置和操作手册，依据手册对设备进行安全配置和优化配置等；</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e</w:t>
                  </w:r>
                  <w:r>
                    <w:rPr>
                      <w:rFonts w:ascii="宋体" w:hAnsi="宋体" w:cs="宋体" w:eastAsia="宋体"/>
                      <w:sz w:val="21"/>
                    </w:rPr>
                    <w:t>)</w:t>
                  </w:r>
                  <w:r>
                    <w:rPr>
                      <w:rFonts w:ascii="calibri" w:hAnsi="calibri" w:cs="calibri" w:eastAsia="calibri"/>
                      <w:sz w:val="21"/>
                    </w:rPr>
                    <w:t>应详细记录运维操作日志，包括日常巡检工作、运行维护记录、参数的设置和修改等内容。</w:t>
                  </w:r>
                </w:p>
              </w:tc>
            </w:tr>
            <w:tr>
              <w:tc>
                <w:tcPr>
                  <w:tcW w:type="dxa" w:w="478"/>
                  <w:vMerge/>
                  <w:tcBorders>
                    <w:top w:val="none" w:color="000000" w:sz="4"/>
                    <w:left w:val="single" w:color="000000" w:sz="4"/>
                    <w:bottom w:val="non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恶意代码防范管理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应提高所有用户的防恶意代码意识，对外来计算机或存储设备接入系统前进行恶意代码检查等；</w:t>
                  </w:r>
                </w:p>
              </w:tc>
            </w:tr>
            <w:tr>
              <w:tc>
                <w:tcPr>
                  <w:tcW w:type="dxa" w:w="478"/>
                  <w:vMerge/>
                  <w:tcBorders>
                    <w:top w:val="none" w:color="000000" w:sz="4"/>
                    <w:left w:val="single" w:color="000000" w:sz="4"/>
                    <w:bottom w:val="non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应对恶意代码防范要求做出规定，包括防恶意代码软件的授权使用、恶意代码库升级、恶意代码的定期查杀等；</w:t>
                  </w:r>
                </w:p>
              </w:tc>
            </w:tr>
            <w:tr>
              <w:tc>
                <w:tcPr>
                  <w:tcW w:type="dxa" w:w="47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c)</w:t>
                  </w:r>
                  <w:r>
                    <w:rPr>
                      <w:rFonts w:ascii="calibri" w:hAnsi="calibri" w:cs="calibri" w:eastAsia="calibri"/>
                      <w:sz w:val="21"/>
                    </w:rPr>
                    <w:t>应定期检查恶意代码库的升级情况，对截获的恶意代码进行及时分析处理。</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配置管理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应记录和保存基本配置信息，包括网络拓扑结构、各个设备安装的软件组件、软件组件的版本和补丁信息、各个设备或软件组件的配置参数等。</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密码管理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应遵循密码相关国家标准和行业标准；</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应使用国家密码管理主管部门认证核准的密码技术和产品。</w:t>
                  </w:r>
                </w:p>
              </w:tc>
            </w:tr>
            <w:tr>
              <w:tc>
                <w:tcPr>
                  <w:tcW w:type="dxa" w:w="478"/>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变更管理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calibri" w:hAnsi="calibri" w:cs="calibri" w:eastAsia="calibri"/>
                      <w:sz w:val="21"/>
                    </w:rPr>
                    <w:t>应明确变更需求，变更前根据变更需求制定变更方案，变更方案经过评审，审批后方可实施。</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备份与恢复管理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应识别需要定期备份的重要业务信息、系统数据及软件系统等；</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宋体" w:hAnsi="宋体" w:cs="宋体" w:eastAsia="宋体"/>
                      <w:sz w:val="21"/>
                    </w:rPr>
                    <w:t>)</w:t>
                  </w:r>
                  <w:r>
                    <w:rPr>
                      <w:rFonts w:ascii="calibri" w:hAnsi="calibri" w:cs="calibri" w:eastAsia="calibri"/>
                      <w:sz w:val="21"/>
                    </w:rPr>
                    <w:t>应规定备份信息的备份方式、备份频度、存储介质、保存期等；</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c</w:t>
                  </w:r>
                  <w:r>
                    <w:rPr>
                      <w:rFonts w:ascii="宋体" w:hAnsi="宋体" w:cs="宋体" w:eastAsia="宋体"/>
                      <w:sz w:val="21"/>
                    </w:rPr>
                    <w:t>)</w:t>
                  </w:r>
                  <w:r>
                    <w:rPr>
                      <w:rFonts w:ascii="calibri" w:hAnsi="calibri" w:cs="calibri" w:eastAsia="calibri"/>
                      <w:sz w:val="21"/>
                    </w:rPr>
                    <w:t>应</w:t>
                  </w:r>
                  <w:r>
                    <w:rPr>
                      <w:rFonts w:ascii="calibri" w:hAnsi="calibri" w:cs="calibri" w:eastAsia="calibri"/>
                      <w:sz w:val="21"/>
                    </w:rPr>
                    <w:t>根据数据的重要性和数据对系统运行的影响，制定数据的备份策略和恢复策略、备份程序和恢复程序等。</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安全事件处置</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宋体" w:hAnsi="宋体" w:cs="宋体" w:eastAsia="宋体"/>
                      <w:sz w:val="21"/>
                    </w:rPr>
                    <w:t>)</w:t>
                  </w:r>
                  <w:r>
                    <w:rPr>
                      <w:rFonts w:ascii="calibri" w:hAnsi="calibri" w:cs="calibri" w:eastAsia="calibri"/>
                      <w:sz w:val="21"/>
                    </w:rPr>
                    <w:t>应及时向安全管理部门报告所发现的安全弱点和可疑事件；</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应制定全事件报告和处置管理制度，明确不同安全事件的报告、处置和响应流程，规定安全事件的现场处理、事件报告和后期恢复的管理职责等；</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c</w:t>
                  </w:r>
                  <w:r>
                    <w:rPr>
                      <w:rFonts w:ascii="宋体" w:hAnsi="宋体" w:cs="宋体" w:eastAsia="宋体"/>
                      <w:sz w:val="21"/>
                    </w:rPr>
                    <w:t>)</w:t>
                  </w:r>
                  <w:r>
                    <w:rPr>
                      <w:rFonts w:ascii="calibri" w:hAnsi="calibri" w:cs="calibri" w:eastAsia="calibri"/>
                      <w:sz w:val="21"/>
                    </w:rPr>
                    <w:t xml:space="preserve"> </w:t>
                  </w:r>
                  <w:r>
                    <w:rPr>
                      <w:rFonts w:ascii="calibri" w:hAnsi="calibri" w:cs="calibri" w:eastAsia="calibri"/>
                      <w:sz w:val="21"/>
                    </w:rPr>
                    <w:t>应在事件报告和响应处理过程中，分析和鉴定事件产生的原因，收集证据，记录处理过程，总结经验教训。</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应急预案管理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应制定重要事件的应急预案，包括应急处理流程、系统恢复流程等内容；</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singl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宋体" w:hAnsi="宋体" w:cs="宋体" w:eastAsia="宋体"/>
                      <w:sz w:val="21"/>
                    </w:rPr>
                    <w:t>)</w:t>
                  </w:r>
                  <w:r>
                    <w:rPr>
                      <w:rFonts w:ascii="calibri" w:hAnsi="calibri" w:cs="calibri" w:eastAsia="calibri"/>
                      <w:sz w:val="21"/>
                    </w:rPr>
                    <w:t>应定期对系统相关的人员进行应急预案培训，并进行应急预案的演练。</w:t>
                  </w:r>
                </w:p>
              </w:tc>
            </w:tr>
            <w:tr>
              <w:tc>
                <w:tcPr>
                  <w:tcW w:type="dxa" w:w="478"/>
                  <w:vMerge/>
                  <w:tcBorders>
                    <w:top w:val="none" w:color="000000" w:sz="4"/>
                    <w:left w:val="single" w:color="000000" w:sz="4"/>
                    <w:bottom w:val="single" w:color="000000" w:sz="4"/>
                    <w:right w:val="single" w:color="000000" w:sz="4"/>
                  </w:tcBorders>
                </w:tcPr>
                <w:p/>
              </w:tc>
              <w:tc>
                <w:tcPr>
                  <w:tcW w:type="dxa" w:w="573"/>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calibri" w:hAnsi="calibri" w:cs="calibri" w:eastAsia="calibri"/>
                      <w:sz w:val="21"/>
                    </w:rPr>
                    <w:t>外包运维管理</w:t>
                  </w: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a)</w:t>
                  </w:r>
                  <w:r>
                    <w:rPr>
                      <w:rFonts w:ascii="calibri" w:hAnsi="calibri" w:cs="calibri" w:eastAsia="calibri"/>
                      <w:sz w:val="21"/>
                    </w:rPr>
                    <w:t>应确保外包运维服务商的选择符合国家的有关规定；</w:t>
                  </w:r>
                </w:p>
              </w:tc>
            </w:tr>
            <w:tr>
              <w:tc>
                <w:tcPr>
                  <w:tcW w:type="dxa" w:w="478"/>
                  <w:vMerge/>
                  <w:tcBorders>
                    <w:top w:val="none" w:color="000000" w:sz="4"/>
                    <w:left w:val="single" w:color="000000" w:sz="4"/>
                    <w:bottom w:val="single" w:color="000000" w:sz="4"/>
                    <w:right w:val="single" w:color="000000" w:sz="4"/>
                  </w:tcBorders>
                </w:tcPr>
                <w:p/>
              </w:tc>
              <w:tc>
                <w:tcPr>
                  <w:tcW w:type="dxa" w:w="573"/>
                  <w:vMerge/>
                  <w:tcBorders>
                    <w:top w:val="none" w:color="000000" w:sz="4"/>
                    <w:left w:val="none" w:color="000000" w:sz="4"/>
                    <w:bottom w:val="none" w:color="000000" w:sz="4"/>
                    <w:right w:val="single" w:color="000000" w:sz="4"/>
                  </w:tcBorders>
                </w:tcPr>
                <w:p/>
              </w:tc>
              <w:tc>
                <w:tcPr>
                  <w:tcW w:type="dxa" w:w="21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1"/>
                    </w:rPr>
                    <w:t>b)</w:t>
                  </w:r>
                  <w:r>
                    <w:rPr>
                      <w:rFonts w:ascii="calibri" w:hAnsi="calibri" w:cs="calibri" w:eastAsia="calibri"/>
                      <w:sz w:val="21"/>
                    </w:rPr>
                    <w:t>应与选定的外包运维服务商签订相关的协议，明确约定外包运维的范围、工作内容。</w:t>
                  </w:r>
                </w:p>
              </w:tc>
            </w:tr>
          </w:tbl>
          <w:p>
            <w:pPr>
              <w:pStyle w:val="null3"/>
              <w:jc w:val="both"/>
            </w:pPr>
            <w:r>
              <w:rPr>
                <w:rFonts w:ascii="宋体" w:hAnsi="宋体" w:cs="宋体" w:eastAsia="宋体"/>
                <w:b/>
                <w:sz w:val="24"/>
              </w:rPr>
              <w:t>4.</w:t>
            </w:r>
            <w:r>
              <w:rPr>
                <w:rFonts w:ascii="calibri" w:hAnsi="calibri" w:cs="calibri" w:eastAsia="calibri"/>
                <w:b/>
                <w:sz w:val="24"/>
              </w:rPr>
              <w:t>等级保护测评流程及内容</w:t>
            </w:r>
          </w:p>
          <w:p>
            <w:pPr>
              <w:pStyle w:val="null3"/>
              <w:ind w:firstLine="480"/>
              <w:jc w:val="both"/>
            </w:pPr>
            <w:r>
              <w:rPr>
                <w:rFonts w:ascii="calibri" w:hAnsi="calibri" w:cs="calibri" w:eastAsia="calibri"/>
                <w:sz w:val="24"/>
              </w:rPr>
              <w:t>等级保护测评过程中要求服务商严格按照下列流程开展工作，具体工作流程如下图所示：</w:t>
            </w:r>
          </w:p>
          <w:p>
            <w:pPr>
              <w:pStyle w:val="null3"/>
            </w:pPr>
            <w:r>
              <w:drawing>
                <wp:inline distT="0" distR="0" distB="0" distL="0">
                  <wp:extent cx="1621155" cy="235856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2358565"/>
                          </a:xfrm>
                          <a:prstGeom prst="rect">
                            <a:avLst/>
                          </a:prstGeom>
                        </pic:spPr>
                      </pic:pic>
                    </a:graphicData>
                  </a:graphic>
                </wp:inline>
              </w:drawing>
            </w:r>
          </w:p>
          <w:p>
            <w:pPr>
              <w:pStyle w:val="null3"/>
              <w:ind w:firstLine="480"/>
              <w:jc w:val="both"/>
            </w:pPr>
            <w:r>
              <w:rPr>
                <w:rFonts w:ascii="calibri" w:hAnsi="calibri" w:cs="calibri" w:eastAsia="calibri"/>
                <w:sz w:val="24"/>
              </w:rPr>
              <w:t>（</w:t>
            </w:r>
            <w:r>
              <w:rPr>
                <w:rFonts w:ascii="宋体" w:hAnsi="宋体" w:cs="宋体" w:eastAsia="宋体"/>
                <w:sz w:val="24"/>
              </w:rPr>
              <w:t>1</w:t>
            </w:r>
            <w:r>
              <w:rPr>
                <w:rFonts w:ascii="calibri" w:hAnsi="calibri" w:cs="calibri" w:eastAsia="calibri"/>
                <w:sz w:val="24"/>
              </w:rPr>
              <w:t>）、测评准备阶段：是开展等级测评工作的前提和基础，是整个等级测评过程有效性的保证。测评准备工作是否充分直接关系到后续工作能否顺利开展。本活动的主要任务是掌握被测系统的详细情况，准备测试工具，为编制测评方案做好准备。</w:t>
            </w:r>
          </w:p>
          <w:p>
            <w:pPr>
              <w:pStyle w:val="null3"/>
              <w:ind w:firstLine="480"/>
              <w:jc w:val="both"/>
            </w:pPr>
            <w:r>
              <w:rPr>
                <w:rFonts w:ascii="calibri" w:hAnsi="calibri" w:cs="calibri" w:eastAsia="calibri"/>
                <w:sz w:val="24"/>
              </w:rPr>
              <w:t>（</w:t>
            </w:r>
            <w:r>
              <w:rPr>
                <w:rFonts w:ascii="宋体" w:hAnsi="宋体" w:cs="宋体" w:eastAsia="宋体"/>
                <w:sz w:val="24"/>
              </w:rPr>
              <w:t>2</w:t>
            </w:r>
            <w:r>
              <w:rPr>
                <w:rFonts w:ascii="calibri" w:hAnsi="calibri" w:cs="calibri" w:eastAsia="calibri"/>
                <w:sz w:val="24"/>
              </w:rPr>
              <w:t>）、方案编制阶段：是开展等级测评工作的关键活动，为现场测评提供最基本的文档和指导方案。本活动的主要任务是确定与被测信息系统相适应的测评对象、测评指标及测评内容等，并根据需要重用或开发测评指导书，形成测评方案。</w:t>
            </w:r>
          </w:p>
          <w:p>
            <w:pPr>
              <w:pStyle w:val="null3"/>
              <w:ind w:firstLine="480"/>
              <w:jc w:val="both"/>
            </w:pPr>
            <w:r>
              <w:rPr>
                <w:rFonts w:ascii="calibri" w:hAnsi="calibri" w:cs="calibri" w:eastAsia="calibri"/>
                <w:sz w:val="24"/>
              </w:rPr>
              <w:t>（</w:t>
            </w:r>
            <w:r>
              <w:rPr>
                <w:rFonts w:ascii="宋体" w:hAnsi="宋体" w:cs="宋体" w:eastAsia="宋体"/>
                <w:sz w:val="24"/>
              </w:rPr>
              <w:t>3</w:t>
            </w:r>
            <w:r>
              <w:rPr>
                <w:rFonts w:ascii="calibri" w:hAnsi="calibri" w:cs="calibri" w:eastAsia="calibri"/>
                <w:sz w:val="24"/>
              </w:rPr>
              <w:t>）、现场测评阶段：是开展等级测评工作的核心活动。本活动的主要任务是按照测评方案的总体要求，严格按照测评指导书执行，分步实施所有测评项目，以了解系统的真实保护情况，获取足够证据，发现系统存在的安全问题。</w:t>
            </w:r>
          </w:p>
          <w:p>
            <w:pPr>
              <w:pStyle w:val="null3"/>
              <w:ind w:firstLine="480"/>
              <w:jc w:val="both"/>
            </w:pPr>
            <w:r>
              <w:rPr>
                <w:rFonts w:ascii="calibri" w:hAnsi="calibri" w:cs="calibri" w:eastAsia="calibri"/>
                <w:sz w:val="24"/>
              </w:rPr>
              <w:t>（</w:t>
            </w:r>
            <w:r>
              <w:rPr>
                <w:rFonts w:ascii="宋体" w:hAnsi="宋体" w:cs="宋体" w:eastAsia="宋体"/>
                <w:sz w:val="24"/>
              </w:rPr>
              <w:t>4</w:t>
            </w:r>
            <w:r>
              <w:rPr>
                <w:rFonts w:ascii="calibri" w:hAnsi="calibri" w:cs="calibri" w:eastAsia="calibri"/>
                <w:sz w:val="24"/>
              </w:rPr>
              <w:t>）、报告编制阶段：是给出等级测评工作结果的活动，是总结被测系统整体安全保护能力的综合评价活动。本活动的主要任务是根据现场测评结果和《等级测评过程指南》的有关要求，通过单项测评结果判定、单元测评结果判定、整体测评和风险分析等方法，找出整个系统的安全保护现状与相应等级的保护要求之间的差距，并分析这些差距导致被测系统面临的风险，从而给出等级测评结论，形成《信息系统安全等级测评报告》文本。</w:t>
            </w:r>
          </w:p>
          <w:p>
            <w:pPr>
              <w:pStyle w:val="null3"/>
              <w:spacing w:before="150" w:after="150"/>
              <w:ind w:left="840"/>
              <w:jc w:val="left"/>
            </w:pPr>
            <w:r>
              <w:rPr>
                <w:rFonts w:ascii="宋体" w:hAnsi="宋体" w:cs="宋体" w:eastAsia="宋体"/>
                <w:b/>
                <w:sz w:val="28"/>
              </w:rPr>
              <w:t>第二阶段：渗透测试</w:t>
            </w:r>
          </w:p>
          <w:p>
            <w:pPr>
              <w:pStyle w:val="null3"/>
              <w:ind w:firstLine="480"/>
              <w:jc w:val="both"/>
            </w:pPr>
            <w:r>
              <w:rPr>
                <w:rFonts w:ascii="calibri" w:hAnsi="calibri" w:cs="calibri" w:eastAsia="calibri"/>
                <w:sz w:val="24"/>
              </w:rPr>
              <w:t>渗透测试是站在攻击者的角度，通过模拟恶意黑客的攻击方法，来对计算机网络的安全性进行检测评估的过程。对系统和网络进行非破坏性质的攻击性测试，尝试侵入系统，获取系统控制权并将入侵的过程和细节产生报告给用户，由此证实用户系统所存在的安全威胁和风险，及时提示开发人员修复安全漏洞，提醒安全管理员完善安全策略，提升系统安全防护能力。通过这种方法，可以发现系统面临和暴露的安全问题，同时渗透测试也是对安全措施有效性的重要验证。</w:t>
            </w:r>
          </w:p>
          <w:p>
            <w:pPr>
              <w:pStyle w:val="null3"/>
              <w:jc w:val="both"/>
            </w:pPr>
            <w:r>
              <w:rPr>
                <w:rFonts w:ascii="宋体" w:hAnsi="宋体" w:cs="宋体" w:eastAsia="宋体"/>
                <w:b/>
                <w:sz w:val="28"/>
              </w:rPr>
              <w:t>第三阶段：建设整改咨询及安全加固（不涉及硬件）</w:t>
            </w:r>
          </w:p>
          <w:p>
            <w:pPr>
              <w:pStyle w:val="null3"/>
              <w:ind w:firstLine="480"/>
              <w:jc w:val="both"/>
            </w:pPr>
            <w:r>
              <w:rPr>
                <w:rFonts w:ascii="calibri" w:hAnsi="calibri" w:cs="calibri" w:eastAsia="calibri"/>
                <w:sz w:val="24"/>
              </w:rPr>
              <w:t>建设整改咨询工作以等级测评和渗透检测发现的安全问题为工作重点，编写《信息系统安全建设整改建议》；将信息系统的安全建设整改需求落实到可操作的安全技术和管理上，提出能够实现的技术参数或制度及其具体规范。</w:t>
            </w:r>
          </w:p>
          <w:p>
            <w:pPr>
              <w:pStyle w:val="null3"/>
              <w:ind w:firstLine="480"/>
              <w:jc w:val="both"/>
            </w:pPr>
            <w:r>
              <w:rPr>
                <w:rFonts w:ascii="calibri" w:hAnsi="calibri" w:cs="calibri" w:eastAsia="calibri"/>
                <w:sz w:val="24"/>
              </w:rPr>
              <w:t>之后在西安铁路职业技术学院依据相关《信息系统安全建设整改建议》开展建设整改工作时，服务方将提供建设整改过程中的与建设整改相关的咨询服务。</w:t>
            </w:r>
          </w:p>
          <w:p>
            <w:pPr>
              <w:pStyle w:val="null3"/>
              <w:ind w:firstLine="480"/>
              <w:jc w:val="both"/>
            </w:pPr>
            <w:r>
              <w:rPr>
                <w:rFonts w:ascii="calibri" w:hAnsi="calibri" w:cs="calibri" w:eastAsia="calibri"/>
                <w:sz w:val="24"/>
              </w:rPr>
              <w:t>对信息系统安全整改建议进行确认，并依照建议，协助我单位进行漏洞修复，补丁升级等非硬件层面的安全加固，制定可执行的安全整改方案和计划，然后协助我方分步实施安全整改工作。</w:t>
            </w:r>
          </w:p>
          <w:p>
            <w:pPr>
              <w:pStyle w:val="null3"/>
              <w:spacing w:before="150" w:after="150"/>
              <w:ind w:left="840"/>
              <w:jc w:val="left"/>
            </w:pPr>
            <w:r>
              <w:rPr>
                <w:rFonts w:ascii="宋体" w:hAnsi="宋体" w:cs="宋体" w:eastAsia="宋体"/>
                <w:b/>
                <w:sz w:val="28"/>
              </w:rPr>
              <w:t>第四阶段：售后服务</w:t>
            </w:r>
          </w:p>
          <w:p>
            <w:pPr>
              <w:pStyle w:val="null3"/>
              <w:ind w:firstLine="480"/>
              <w:jc w:val="both"/>
            </w:pPr>
            <w:r>
              <w:rPr>
                <w:rFonts w:ascii="calibri" w:hAnsi="calibri" w:cs="calibri" w:eastAsia="calibri"/>
                <w:sz w:val="24"/>
              </w:rPr>
              <w:t>提供免费二年信息安全技术支持及咨询服务，服务方为西安铁路职业技术学院提供包括安全培训、应急响应、安全监测、配合检查、电话支持、安全咨询等服务在内的安全维保服务。具体服务内容如下：</w:t>
            </w:r>
          </w:p>
          <w:p>
            <w:pPr>
              <w:pStyle w:val="null3"/>
              <w:ind w:firstLine="480"/>
              <w:jc w:val="both"/>
            </w:pPr>
            <w:r>
              <w:rPr>
                <w:rFonts w:ascii="calibri" w:hAnsi="calibri" w:cs="calibri" w:eastAsia="calibri"/>
                <w:sz w:val="24"/>
              </w:rPr>
              <w:t>（</w:t>
            </w:r>
            <w:r>
              <w:rPr>
                <w:rFonts w:ascii="宋体" w:hAnsi="宋体" w:cs="宋体" w:eastAsia="宋体"/>
                <w:sz w:val="24"/>
              </w:rPr>
              <w:t>1</w:t>
            </w:r>
            <w:r>
              <w:rPr>
                <w:rFonts w:ascii="calibri" w:hAnsi="calibri" w:cs="calibri" w:eastAsia="calibri"/>
                <w:sz w:val="24"/>
              </w:rPr>
              <w:t>）、应急响应服务</w:t>
            </w:r>
          </w:p>
          <w:p>
            <w:pPr>
              <w:pStyle w:val="null3"/>
              <w:ind w:firstLine="480"/>
              <w:jc w:val="both"/>
            </w:pPr>
            <w:r>
              <w:rPr>
                <w:rFonts w:ascii="calibri" w:hAnsi="calibri" w:cs="calibri" w:eastAsia="calibri"/>
                <w:sz w:val="24"/>
              </w:rPr>
              <w:t>针对本次项目，服务方提供</w:t>
            </w:r>
            <w:r>
              <w:rPr>
                <w:rFonts w:ascii="宋体" w:hAnsi="宋体" w:cs="宋体" w:eastAsia="宋体"/>
                <w:sz w:val="24"/>
              </w:rPr>
              <w:t>7</w:t>
            </w:r>
            <w:r>
              <w:rPr>
                <w:rFonts w:ascii="calibri" w:hAnsi="calibri" w:cs="calibri" w:eastAsia="calibri"/>
                <w:sz w:val="24"/>
              </w:rPr>
              <w:t>×</w:t>
            </w:r>
            <w:r>
              <w:rPr>
                <w:rFonts w:ascii="宋体" w:hAnsi="宋体" w:cs="宋体" w:eastAsia="宋体"/>
                <w:sz w:val="24"/>
              </w:rPr>
              <w:t>24</w:t>
            </w:r>
            <w:r>
              <w:rPr>
                <w:rFonts w:ascii="calibri" w:hAnsi="calibri" w:cs="calibri" w:eastAsia="calibri"/>
                <w:sz w:val="24"/>
              </w:rPr>
              <w:t>的常规应急响应及灾难恢复专家服务。在接到用户故障报修电话</w:t>
            </w:r>
            <w:r>
              <w:rPr>
                <w:rFonts w:ascii="宋体" w:hAnsi="宋体" w:cs="宋体" w:eastAsia="宋体"/>
                <w:sz w:val="24"/>
              </w:rPr>
              <w:t>10</w:t>
            </w:r>
            <w:r>
              <w:rPr>
                <w:rFonts w:ascii="calibri" w:hAnsi="calibri" w:cs="calibri" w:eastAsia="calibri"/>
                <w:sz w:val="24"/>
              </w:rPr>
              <w:t>分钟内响应。对客户信息网络应用系统突发的信息安全事件进行响应、处理、恢复、取证、跟踪，提供事后分析的方法及过程。</w:t>
            </w:r>
          </w:p>
          <w:p>
            <w:pPr>
              <w:pStyle w:val="null3"/>
              <w:ind w:firstLine="480"/>
              <w:jc w:val="both"/>
            </w:pPr>
            <w:r>
              <w:rPr>
                <w:rFonts w:ascii="calibri" w:hAnsi="calibri" w:cs="calibri" w:eastAsia="calibri"/>
                <w:sz w:val="24"/>
              </w:rPr>
              <w:t>（</w:t>
            </w:r>
            <w:r>
              <w:rPr>
                <w:rFonts w:ascii="宋体" w:hAnsi="宋体" w:cs="宋体" w:eastAsia="宋体"/>
                <w:sz w:val="24"/>
              </w:rPr>
              <w:t>2</w:t>
            </w:r>
            <w:r>
              <w:rPr>
                <w:rFonts w:ascii="calibri" w:hAnsi="calibri" w:cs="calibri" w:eastAsia="calibri"/>
                <w:sz w:val="24"/>
              </w:rPr>
              <w:t>）、</w:t>
            </w:r>
            <w:r>
              <w:rPr>
                <w:rFonts w:ascii="calibri" w:hAnsi="calibri" w:cs="calibri" w:eastAsia="calibri"/>
                <w:sz w:val="24"/>
              </w:rPr>
              <w:t>配合检查服务</w:t>
            </w:r>
          </w:p>
          <w:p>
            <w:pPr>
              <w:pStyle w:val="null3"/>
              <w:ind w:firstLine="480"/>
              <w:jc w:val="both"/>
            </w:pPr>
            <w:r>
              <w:rPr>
                <w:rFonts w:ascii="calibri" w:hAnsi="calibri" w:cs="calibri" w:eastAsia="calibri"/>
                <w:sz w:val="24"/>
              </w:rPr>
              <w:t>服务方免费协助西安铁路职业技术学院响应公安机关、单位内部以及第三方机构针对信息系统安全等级保护工作的检查工作。服务内容包括协助西安铁路职业技术学院准备、完善各类资料文档，配合检查过程中的答疑及技术支持及其他现场检查的响应。</w:t>
            </w:r>
          </w:p>
          <w:p>
            <w:pPr>
              <w:pStyle w:val="null3"/>
              <w:ind w:firstLine="480"/>
              <w:jc w:val="both"/>
            </w:pPr>
            <w:r>
              <w:rPr>
                <w:rFonts w:ascii="calibri" w:hAnsi="calibri" w:cs="calibri" w:eastAsia="calibri"/>
                <w:sz w:val="24"/>
              </w:rPr>
              <w:t>（</w:t>
            </w:r>
            <w:r>
              <w:rPr>
                <w:rFonts w:ascii="宋体" w:hAnsi="宋体" w:cs="宋体" w:eastAsia="宋体"/>
                <w:sz w:val="24"/>
              </w:rPr>
              <w:t>3</w:t>
            </w:r>
            <w:r>
              <w:rPr>
                <w:rFonts w:ascii="calibri" w:hAnsi="calibri" w:cs="calibri" w:eastAsia="calibri"/>
                <w:sz w:val="24"/>
              </w:rPr>
              <w:t>）、电话支持服务</w:t>
            </w:r>
          </w:p>
          <w:p>
            <w:pPr>
              <w:pStyle w:val="null3"/>
              <w:ind w:firstLine="480"/>
              <w:jc w:val="both"/>
            </w:pPr>
            <w:r>
              <w:rPr>
                <w:rFonts w:ascii="宋体" w:hAnsi="宋体" w:cs="宋体" w:eastAsia="宋体"/>
                <w:sz w:val="24"/>
              </w:rPr>
              <w:t>7</w:t>
            </w:r>
            <w:r>
              <w:rPr>
                <w:rFonts w:ascii="calibri" w:hAnsi="calibri" w:cs="calibri" w:eastAsia="calibri"/>
                <w:sz w:val="24"/>
              </w:rPr>
              <w:t>×</w:t>
            </w:r>
            <w:r>
              <w:rPr>
                <w:rFonts w:ascii="宋体" w:hAnsi="宋体" w:cs="宋体" w:eastAsia="宋体"/>
                <w:sz w:val="24"/>
              </w:rPr>
              <w:t>24</w:t>
            </w:r>
            <w:r>
              <w:rPr>
                <w:rFonts w:ascii="calibri" w:hAnsi="calibri" w:cs="calibri" w:eastAsia="calibri"/>
                <w:sz w:val="24"/>
              </w:rPr>
              <w:t>小时不间断的电话支持服务，解答西安铁路职业技术学院在使用过程中遇到的问题，及时提出解决问题的建议和操作方法。电话响应时间不大于</w:t>
            </w:r>
            <w:r>
              <w:rPr>
                <w:rFonts w:ascii="宋体" w:hAnsi="宋体" w:cs="宋体" w:eastAsia="宋体"/>
                <w:sz w:val="24"/>
              </w:rPr>
              <w:t>10</w:t>
            </w:r>
            <w:r>
              <w:rPr>
                <w:rFonts w:ascii="calibri" w:hAnsi="calibri" w:cs="calibri" w:eastAsia="calibri"/>
                <w:sz w:val="24"/>
              </w:rPr>
              <w:t>分钟，到达现场时间不超过</w:t>
            </w:r>
            <w:r>
              <w:rPr>
                <w:rFonts w:ascii="宋体" w:hAnsi="宋体" w:cs="宋体" w:eastAsia="宋体"/>
                <w:sz w:val="24"/>
              </w:rPr>
              <w:t>6</w:t>
            </w:r>
            <w:r>
              <w:rPr>
                <w:rFonts w:ascii="calibri" w:hAnsi="calibri" w:cs="calibri" w:eastAsia="calibri"/>
                <w:sz w:val="24"/>
              </w:rPr>
              <w:t>小时，解决问题不超过</w:t>
            </w:r>
            <w:r>
              <w:rPr>
                <w:rFonts w:ascii="宋体" w:hAnsi="宋体" w:cs="宋体" w:eastAsia="宋体"/>
                <w:sz w:val="24"/>
              </w:rPr>
              <w:t>24</w:t>
            </w:r>
            <w:r>
              <w:rPr>
                <w:rFonts w:ascii="calibri" w:hAnsi="calibri" w:cs="calibri" w:eastAsia="calibri"/>
                <w:sz w:val="24"/>
              </w:rPr>
              <w:t>小时。</w:t>
            </w:r>
          </w:p>
          <w:p>
            <w:pPr>
              <w:pStyle w:val="null3"/>
              <w:ind w:firstLine="480"/>
              <w:jc w:val="both"/>
            </w:pPr>
            <w:r>
              <w:rPr>
                <w:rFonts w:ascii="calibri" w:hAnsi="calibri" w:cs="calibri" w:eastAsia="calibri"/>
                <w:sz w:val="24"/>
              </w:rPr>
              <w:t>（</w:t>
            </w:r>
            <w:r>
              <w:rPr>
                <w:rFonts w:ascii="宋体" w:hAnsi="宋体" w:cs="宋体" w:eastAsia="宋体"/>
                <w:sz w:val="24"/>
              </w:rPr>
              <w:t>4</w:t>
            </w:r>
            <w:r>
              <w:rPr>
                <w:rFonts w:ascii="calibri" w:hAnsi="calibri" w:cs="calibri" w:eastAsia="calibri"/>
                <w:sz w:val="24"/>
              </w:rPr>
              <w:t>）、安全咨询服务</w:t>
            </w:r>
          </w:p>
          <w:p>
            <w:pPr>
              <w:pStyle w:val="null3"/>
              <w:ind w:firstLine="480"/>
              <w:jc w:val="both"/>
            </w:pPr>
            <w:r>
              <w:rPr>
                <w:rFonts w:ascii="calibri" w:hAnsi="calibri" w:cs="calibri" w:eastAsia="calibri"/>
                <w:sz w:val="24"/>
              </w:rPr>
              <w:t>服务方为西安铁路职业技术学院免费提供两年技术咨询服务，包括信息系统整改建设咨询服务以及其他相关安全咨询服务，一旦接到用户的服务请求，技术服务工程师将立即开始提供服务，帮助客户解决信息安全相关技术问题，全面配合西安铁路职业技术学院做好业务系统安全保障工作。</w:t>
            </w:r>
          </w:p>
          <w:p>
            <w:pPr>
              <w:pStyle w:val="null3"/>
              <w:ind w:firstLine="480"/>
              <w:jc w:val="both"/>
            </w:pPr>
            <w:r>
              <w:rPr>
                <w:rFonts w:ascii="calibri" w:hAnsi="calibri" w:cs="calibri" w:eastAsia="calibri"/>
                <w:sz w:val="24"/>
              </w:rPr>
              <w:t>（</w:t>
            </w:r>
            <w:r>
              <w:rPr>
                <w:rFonts w:ascii="宋体" w:hAnsi="宋体" w:cs="宋体" w:eastAsia="宋体"/>
                <w:sz w:val="24"/>
              </w:rPr>
              <w:t>5</w:t>
            </w:r>
            <w:r>
              <w:rPr>
                <w:rFonts w:ascii="calibri" w:hAnsi="calibri" w:cs="calibri" w:eastAsia="calibri"/>
                <w:sz w:val="24"/>
              </w:rPr>
              <w:t>）、赔偿承诺与措施</w:t>
            </w:r>
          </w:p>
          <w:p>
            <w:pPr>
              <w:pStyle w:val="null3"/>
              <w:ind w:firstLine="480"/>
              <w:jc w:val="both"/>
            </w:pPr>
            <w:r>
              <w:rPr>
                <w:rFonts w:ascii="calibri" w:hAnsi="calibri" w:cs="calibri" w:eastAsia="calibri"/>
                <w:sz w:val="24"/>
              </w:rPr>
              <w:t>在测评服务期间，如果出现因服务商责任，未能在承诺时间内恢复业务运行，招标单位有权请第三方进行解决处理，由此所产生的一切费用由服务商承担。</w:t>
            </w:r>
          </w:p>
          <w:p>
            <w:pPr>
              <w:pStyle w:val="null3"/>
              <w:jc w:val="both"/>
            </w:pPr>
            <w:r>
              <w:rPr>
                <w:rFonts w:ascii="calibri" w:hAnsi="calibri" w:cs="calibri" w:eastAsia="calibri"/>
                <w:b/>
                <w:color w:val="000000"/>
                <w:sz w:val="28"/>
              </w:rPr>
              <w:t>三、保密责任与赔偿承诺</w:t>
            </w:r>
          </w:p>
          <w:p>
            <w:pPr>
              <w:pStyle w:val="null3"/>
              <w:numPr>
                <w:ilvl w:val="0"/>
                <w:numId w:val="1"/>
              </w:numPr>
              <w:spacing w:before="150" w:after="150"/>
            </w:pPr>
            <w:r>
              <w:rPr>
                <w:rFonts w:ascii="宋体" w:hAnsi="宋体" w:cs="宋体" w:eastAsia="宋体"/>
                <w:sz w:val="24"/>
              </w:rPr>
              <w:t>服务商</w:t>
            </w:r>
            <w:r>
              <w:rPr>
                <w:rFonts w:ascii="宋体" w:hAnsi="宋体" w:cs="宋体" w:eastAsia="宋体"/>
                <w:sz w:val="24"/>
              </w:rPr>
              <w:t>应严格遵守</w:t>
            </w:r>
            <w:r>
              <w:rPr>
                <w:rFonts w:ascii="宋体" w:hAnsi="宋体" w:cs="宋体" w:eastAsia="宋体"/>
                <w:sz w:val="24"/>
              </w:rPr>
              <w:t>采购</w:t>
            </w:r>
            <w:r>
              <w:rPr>
                <w:rFonts w:ascii="宋体" w:hAnsi="宋体" w:cs="宋体" w:eastAsia="宋体"/>
                <w:sz w:val="24"/>
              </w:rPr>
              <w:t>单位有关保密规定，不</w:t>
            </w:r>
            <w:r>
              <w:rPr>
                <w:rFonts w:ascii="宋体" w:hAnsi="宋体" w:cs="宋体" w:eastAsia="宋体"/>
                <w:sz w:val="24"/>
              </w:rPr>
              <w:t>得</w:t>
            </w:r>
            <w:r>
              <w:rPr>
                <w:rFonts w:ascii="宋体" w:hAnsi="宋体" w:cs="宋体" w:eastAsia="宋体"/>
                <w:sz w:val="24"/>
              </w:rPr>
              <w:t>泄漏</w:t>
            </w:r>
            <w:r>
              <w:rPr>
                <w:rFonts w:ascii="宋体" w:hAnsi="宋体" w:cs="宋体" w:eastAsia="宋体"/>
                <w:sz w:val="24"/>
              </w:rPr>
              <w:t>招标单位</w:t>
            </w:r>
            <w:r>
              <w:rPr>
                <w:rFonts w:ascii="宋体" w:hAnsi="宋体" w:cs="宋体" w:eastAsia="宋体"/>
                <w:sz w:val="24"/>
              </w:rPr>
              <w:t>的一切</w:t>
            </w:r>
            <w:r>
              <w:rPr>
                <w:rFonts w:ascii="宋体" w:hAnsi="宋体" w:cs="宋体" w:eastAsia="宋体"/>
                <w:sz w:val="24"/>
              </w:rPr>
              <w:t>敏感信息。</w:t>
            </w:r>
          </w:p>
          <w:p>
            <w:pPr>
              <w:pStyle w:val="null3"/>
              <w:numPr>
                <w:ilvl w:val="0"/>
                <w:numId w:val="1"/>
              </w:numPr>
              <w:spacing w:before="150" w:after="150"/>
            </w:pPr>
            <w:r>
              <w:rPr>
                <w:rFonts w:ascii="宋体" w:hAnsi="宋体" w:cs="宋体" w:eastAsia="宋体"/>
                <w:sz w:val="24"/>
              </w:rPr>
              <w:t>服务商要对项目进行深入细致调研，并结合实际对测评方案进行完善。在测评过程中，供应商需保证工具测试过程中不影响系统正常运行，并保证网络拓扑、</w:t>
            </w:r>
            <w:r>
              <w:rPr>
                <w:rFonts w:ascii="宋体" w:hAnsi="宋体" w:cs="宋体" w:eastAsia="宋体"/>
                <w:sz w:val="24"/>
              </w:rPr>
              <w:t>IP地址等敏感信息不被泄露。</w:t>
            </w:r>
          </w:p>
          <w:p>
            <w:pPr>
              <w:pStyle w:val="null3"/>
              <w:numPr>
                <w:ilvl w:val="0"/>
                <w:numId w:val="1"/>
              </w:numPr>
              <w:spacing w:before="150" w:after="150"/>
            </w:pPr>
            <w:r>
              <w:rPr>
                <w:rFonts w:ascii="宋体" w:hAnsi="宋体" w:cs="宋体" w:eastAsia="宋体"/>
                <w:sz w:val="24"/>
              </w:rPr>
              <w:t>在技术服务期间，</w:t>
            </w:r>
            <w:r>
              <w:rPr>
                <w:rFonts w:ascii="宋体" w:hAnsi="宋体" w:cs="宋体" w:eastAsia="宋体"/>
                <w:sz w:val="24"/>
              </w:rPr>
              <w:t>服务商对接触到的有关招标单位工作活动、技术情报和技术资料等文件进行保密。</w:t>
            </w:r>
          </w:p>
          <w:p>
            <w:pPr>
              <w:pStyle w:val="null3"/>
              <w:jc w:val="both"/>
            </w:pPr>
            <w:r>
              <w:rPr>
                <w:rFonts w:ascii="calibri" w:hAnsi="calibri" w:cs="calibri" w:eastAsia="calibri"/>
                <w:b/>
                <w:color w:val="000000"/>
                <w:sz w:val="28"/>
              </w:rPr>
              <w:t>四、主要交付物清单</w:t>
            </w:r>
          </w:p>
          <w:p>
            <w:pPr>
              <w:pStyle w:val="null3"/>
              <w:ind w:firstLine="480"/>
              <w:jc w:val="both"/>
            </w:pPr>
            <w:r>
              <w:rPr>
                <w:rFonts w:ascii="calibri" w:hAnsi="calibri" w:cs="calibri" w:eastAsia="calibri"/>
                <w:sz w:val="24"/>
              </w:rPr>
              <w:t>在本次等级保护测评项目中，服务商须提交主要成果文档包含如下：</w:t>
            </w:r>
          </w:p>
          <w:p>
            <w:pPr>
              <w:pStyle w:val="null3"/>
              <w:ind w:firstLine="480"/>
              <w:jc w:val="both"/>
            </w:pPr>
            <w:r>
              <w:rPr>
                <w:rFonts w:ascii="calibri" w:hAnsi="calibri" w:cs="calibri" w:eastAsia="calibri"/>
                <w:sz w:val="24"/>
              </w:rPr>
              <w:t>1.《网络安全等级保护</w:t>
            </w:r>
            <w:r>
              <w:rPr>
                <w:rFonts w:ascii="宋体" w:hAnsi="宋体" w:cs="宋体" w:eastAsia="宋体"/>
                <w:sz w:val="24"/>
              </w:rPr>
              <w:t>XXX</w:t>
            </w:r>
            <w:r>
              <w:rPr>
                <w:rFonts w:ascii="calibri" w:hAnsi="calibri" w:cs="calibri" w:eastAsia="calibri"/>
                <w:sz w:val="24"/>
              </w:rPr>
              <w:t>系统等级测评方案》</w:t>
            </w:r>
          </w:p>
          <w:p>
            <w:pPr>
              <w:pStyle w:val="null3"/>
              <w:ind w:firstLine="480"/>
              <w:jc w:val="both"/>
            </w:pPr>
            <w:r>
              <w:rPr>
                <w:rFonts w:ascii="calibri" w:hAnsi="calibri" w:cs="calibri" w:eastAsia="calibri"/>
                <w:sz w:val="24"/>
              </w:rPr>
              <w:t>2.《网络安全等级保护</w:t>
            </w:r>
            <w:r>
              <w:rPr>
                <w:rFonts w:ascii="宋体" w:hAnsi="宋体" w:cs="宋体" w:eastAsia="宋体"/>
                <w:sz w:val="24"/>
              </w:rPr>
              <w:t>XXX</w:t>
            </w:r>
            <w:r>
              <w:rPr>
                <w:rFonts w:ascii="calibri" w:hAnsi="calibri" w:cs="calibri" w:eastAsia="calibri"/>
                <w:sz w:val="24"/>
              </w:rPr>
              <w:t>系统等级测评报告》</w:t>
            </w:r>
          </w:p>
        </w:tc>
      </w:tr>
    </w:tbl>
    <w:p>
      <w:pPr>
        <w:pStyle w:val="null3"/>
        <w:outlineLvl w:val="2"/>
      </w:pPr>
      <w:r>
        <w:rPr>
          <w:b/>
          <w:sz w:val="28"/>
        </w:rPr>
        <w:t>3.2.3人员配置要求</w:t>
      </w:r>
    </w:p>
    <w:p>
      <w:pPr>
        <w:pStyle w:val="null3"/>
      </w:pPr>
      <w:r>
        <w:rPr/>
        <w:t>采购包1：</w:t>
      </w:r>
    </w:p>
    <w:p>
      <w:pPr>
        <w:pStyle w:val="null3"/>
      </w:pPr>
      <w:r>
        <w:rPr/>
        <w:t>满足采购需求</w:t>
      </w:r>
    </w:p>
    <w:p>
      <w:pPr>
        <w:pStyle w:val="null3"/>
        <w:outlineLvl w:val="2"/>
      </w:pPr>
      <w:r>
        <w:rPr>
          <w:b/>
          <w:sz w:val="28"/>
        </w:rPr>
        <w:t>3.2.4设施设备要求</w:t>
      </w:r>
    </w:p>
    <w:p>
      <w:pPr>
        <w:pStyle w:val="null3"/>
      </w:pPr>
      <w:r>
        <w:rPr/>
        <w:t>采购包1：</w:t>
      </w:r>
    </w:p>
    <w:p>
      <w:pPr>
        <w:pStyle w:val="null3"/>
      </w:pPr>
      <w:r>
        <w:rPr/>
        <w:t>满足采购需求</w:t>
      </w:r>
    </w:p>
    <w:p>
      <w:pPr>
        <w:pStyle w:val="null3"/>
        <w:outlineLvl w:val="2"/>
      </w:pPr>
      <w:r>
        <w:rPr>
          <w:b/>
          <w:sz w:val="28"/>
        </w:rPr>
        <w:t>3.2.5其他要求</w:t>
      </w:r>
    </w:p>
    <w:p>
      <w:pPr>
        <w:pStyle w:val="null3"/>
      </w:pPr>
      <w:r>
        <w:rPr/>
        <w:t>采购包1：</w:t>
      </w:r>
    </w:p>
    <w:p>
      <w:pPr>
        <w:pStyle w:val="null3"/>
      </w:pPr>
      <w:r>
        <w:rPr/>
        <w:t>满足采购需求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自合同签订之日起3个月内</w:t>
      </w:r>
    </w:p>
    <w:p>
      <w:pPr>
        <w:pStyle w:val="null3"/>
        <w:outlineLvl w:val="3"/>
      </w:pPr>
      <w:r>
        <w:rPr>
          <w:b/>
          <w:sz w:val="24"/>
        </w:rPr>
        <w:t>3.3.2服务地点</w:t>
      </w:r>
    </w:p>
    <w:p>
      <w:pPr>
        <w:pStyle w:val="null3"/>
      </w:pPr>
      <w:r>
        <w:rPr/>
        <w:t>采购包1：</w:t>
      </w:r>
    </w:p>
    <w:p>
      <w:pPr>
        <w:pStyle w:val="null3"/>
      </w:pPr>
      <w:r>
        <w:rPr/>
        <w:t>西安铁路职业技术学院指定地点</w:t>
      </w:r>
    </w:p>
    <w:p>
      <w:pPr>
        <w:pStyle w:val="null3"/>
        <w:outlineLvl w:val="3"/>
      </w:pPr>
      <w:r>
        <w:rPr>
          <w:b/>
          <w:sz w:val="24"/>
        </w:rPr>
        <w:t>3.3.3考核（验收）标准和方法</w:t>
      </w:r>
    </w:p>
    <w:p>
      <w:pPr>
        <w:pStyle w:val="null3"/>
      </w:pPr>
      <w:r>
        <w:rPr/>
        <w:t>采购包1：</w:t>
      </w:r>
    </w:p>
    <w:p>
      <w:pPr>
        <w:pStyle w:val="null3"/>
      </w:pPr>
      <w:r>
        <w:rPr/>
        <w:t>信息系统的安全保护等级确定后，二级以上（含二级）信息系统的运营使用单位或主管部门应到属地公安机关办理备案手续,该项目系统应向归属地网安支队申请重要信息系统备案。并提交主要成果文件。</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验收合格后20个工作日内一次性付清</w:t>
      </w:r>
      <w:r>
        <w:rPr/>
        <w:t xml:space="preserve"> ，达到付款条件起 </w:t>
      </w:r>
      <w:r>
        <w:rPr/>
        <w:t>20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违约责任与解决争议的方法：（1）按《中华人民共和国中华人民共和国民法典》中的相关条款执行。 （2）未按合同要求提供产品或设备质量不能满足技术要求，采购方有权终止合同，并保留追究投标方违约责任的权利。 （3）时间迟延的，违约方按照每天1%向对方承担违约责任。</w:t>
      </w:r>
    </w:p>
    <w:p>
      <w:pPr>
        <w:pStyle w:val="null3"/>
        <w:outlineLvl w:val="2"/>
      </w:pPr>
      <w:r>
        <w:rPr>
          <w:b/>
          <w:sz w:val="28"/>
        </w:rPr>
        <w:t>3.4其他要求</w:t>
      </w:r>
    </w:p>
    <w:p>
      <w:pPr>
        <w:pStyle w:val="null3"/>
      </w:pPr>
      <w:r>
        <w:rPr/>
        <w:t>满足采购需求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供应商具备网络安全等级测评与检测评估机构服务认证证书</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信誉</w:t>
            </w:r>
          </w:p>
        </w:tc>
        <w:tc>
          <w:tcPr>
            <w:tcW w:type="dxa" w:w="3322"/>
          </w:tcPr>
          <w:p>
            <w:pPr>
              <w:pStyle w:val="null3"/>
            </w:pPr>
            <w:r>
              <w:rPr/>
              <w:t>不得为“信用中国”网站(http://www.creditchina.gov.cn)列入“失信被执行人、税收违法黑名单、政府采购严重违法失信行为记录名单”的投标方；不得为中国政府采购网(http://www.ccgp.gov.cn)“政府采购严重违法失信行为记录名单”中的供应商</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本项目不接受联合体投标</w:t>
            </w:r>
          </w:p>
        </w:tc>
        <w:tc>
          <w:tcPr>
            <w:tcW w:type="dxa" w:w="3322"/>
          </w:tcPr>
          <w:p>
            <w:pPr>
              <w:pStyle w:val="null3"/>
            </w:pPr>
            <w:r>
              <w:rPr/>
              <w:t>本项目不接受联合体磋商，（投标主体为单一供应商，无需提供证明材料）</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自合同签订起3个月内</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验收合格后一次性付清。</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商务及技术偏离表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服务流程</w:t>
            </w:r>
          </w:p>
        </w:tc>
        <w:tc>
          <w:tcPr>
            <w:tcW w:type="dxa" w:w="2492"/>
          </w:tcPr>
          <w:p>
            <w:pPr>
              <w:pStyle w:val="null3"/>
            </w:pPr>
            <w:r>
              <w:rPr/>
              <w:t>提供完整的服务流程，对测评准备、方案编制、现场测评、分析与报告等内容进行详细描述。流程可操作性强，流程合理，测评准备充足，得[10-15]分；流程可操作性较强，流程较合理，测评准备较充足，得[5-10)分；流程可操作性一般，流程一般，测评准备一般，得[1-5)分；未提供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服务方案</w:t>
            </w:r>
          </w:p>
        </w:tc>
        <w:tc>
          <w:tcPr>
            <w:tcW w:type="dxa" w:w="2492"/>
          </w:tcPr>
          <w:p>
            <w:pPr>
              <w:pStyle w:val="null3"/>
            </w:pPr>
            <w:r>
              <w:rPr/>
              <w:t>提供明确具体的服务方案，包含具体的安全测评实施过程及内容，过程中的风险防范措施，并明确保密责任与服务承诺，提出明确合理的实施周期和进度表。方案内容全面，进度安排合理，可操作性强，得[10-15]分；方案内容较全面，进度安排较合理，可操作性较强，得[5-10)分；方案内容不充足，进度安排一般，可操作性一般，得[1-5)分；未提供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质量管理控制措施</w:t>
            </w:r>
          </w:p>
        </w:tc>
        <w:tc>
          <w:tcPr>
            <w:tcW w:type="dxa" w:w="2492"/>
          </w:tcPr>
          <w:p>
            <w:pPr>
              <w:pStyle w:val="null3"/>
            </w:pPr>
            <w:r>
              <w:rPr/>
              <w:t>提供项目质量管理控制措施，过程控制及监控手段，能确保技术人员按照相应的操作指导规范实施测评，形成完善的质量保证管理体系。质量管理措施内容科学全面、措施有力，服务质量方面能够得到有效的保证得[10-14]分，质量管理措施内容相对全面、措施相对有力，服务质量相对能够得到有效 的保证得[5-10)分，质量管理措施内容基本全面，措施有一定的可行性，能够确保服务质量的，可行性得[1-5)分;未提供不计分。</w:t>
            </w:r>
          </w:p>
        </w:tc>
        <w:tc>
          <w:tcPr>
            <w:tcW w:type="dxa" w:w="831"/>
          </w:tcPr>
          <w:p>
            <w:pPr>
              <w:pStyle w:val="null3"/>
              <w:jc w:val="right"/>
            </w:pPr>
            <w:r>
              <w:rPr/>
              <w:t>14.00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应急管理机制及方案</w:t>
            </w:r>
          </w:p>
        </w:tc>
        <w:tc>
          <w:tcPr>
            <w:tcW w:type="dxa" w:w="2492"/>
          </w:tcPr>
          <w:p>
            <w:pPr>
              <w:pStyle w:val="null3"/>
            </w:pPr>
            <w:r>
              <w:rPr/>
              <w:t>针对本项目提供的应急管理机制及方案进行评审，最优者6分，相邻之间递减2分，最低得1分，无此方案者或方案不具备可操作性者得0分。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关键点、重难点</w:t>
            </w:r>
          </w:p>
        </w:tc>
        <w:tc>
          <w:tcPr>
            <w:tcW w:type="dxa" w:w="2492"/>
          </w:tcPr>
          <w:p>
            <w:pPr>
              <w:pStyle w:val="null3"/>
            </w:pPr>
            <w:r>
              <w:rPr/>
              <w:t>1、正确识别本项目关键点及重难点，逐条列出，最优者3分，相邻之间递减1分，最低得1分，无此方案者或方案不具备可操作性者得0分； 2、能够分析全面、具体，解决对策针对性强的，最优者3分，相邻之间递减1分，最低得1分，无此方案者或方案不具备可操作性者得0分。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服务能力</w:t>
            </w:r>
          </w:p>
        </w:tc>
        <w:tc>
          <w:tcPr>
            <w:tcW w:type="dxa" w:w="2492"/>
          </w:tcPr>
          <w:p>
            <w:pPr>
              <w:pStyle w:val="null3"/>
            </w:pPr>
            <w:r>
              <w:rPr/>
              <w:t>1.供应商具有中国网络安全审查技术与认证中心颁发的信息安全网络安全审计资质证书三级证书得3分。 2.供应商具有中国网络安全审查技术与认证中心颁发的信息安全风险评估资质证书三级证书得3分。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人员配备</w:t>
            </w:r>
          </w:p>
        </w:tc>
        <w:tc>
          <w:tcPr>
            <w:tcW w:type="dxa" w:w="2492"/>
          </w:tcPr>
          <w:p>
            <w:pPr>
              <w:pStyle w:val="null3"/>
            </w:pPr>
            <w:r>
              <w:rPr/>
              <w:t>1.根据项目组人员配备情况、专业、从业经历及获取的资质证书等进行综合评审（满分9分）。 人员配备合理、专业搭配合理，有利于项目实施，得[5-9]分；人员配备较合理、专业搭配较合理，较利于项目实施，得[1-5)分。 注：提供近三个月社保缴纳证明。 2.项目负责人（满分3分） 具有高级测评师证书得1分；具备中级测评师证书得0.5分。 具有工业和信息化部教育与考试中心颁发的高级渗透测试工程师得1分； 具有中国信息安全测评中心颁发的注册数据安全治理专业人员证书得1分。 提供证书复印件及近三个月社保缴纳证明。</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服务承诺</w:t>
            </w:r>
          </w:p>
        </w:tc>
        <w:tc>
          <w:tcPr>
            <w:tcW w:type="dxa" w:w="2492"/>
          </w:tcPr>
          <w:p>
            <w:pPr>
              <w:pStyle w:val="null3"/>
            </w:pPr>
            <w:r>
              <w:rPr/>
              <w:t>1、针对本项目承诺并接受采购人对上岗人员管理服务的监督、批评和建议；计1- 2分； 2、承诺若出现售后服务人员因病不能工作的，及时请调其他上岗服务人员补充，确保采购需求服务工作的正常进行，提供合理可行的人员补充方案，计 1-2分； 3、提供针对本项目的售后服务流程、网络故障响应时间、故障修复时间及解决方案、网络巡检服务、售后服务承诺函、各类主要设备售后服务完善程度，计 1-4分。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提供2021年1月1日以来类似项目业绩，须出具业绩合同（协议书）或验收文件，每提供1份得2分，满分8分。（以业绩合同（协议书）或验收文件复印件为分准）。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业绩一览表</w:t>
            </w:r>
          </w:p>
          <w:p>
            <w:pPr>
              <w:pStyle w:val="null3"/>
            </w:pPr>
            <w:r>
              <w:rPr/>
              <w:t>服务方案、人员表及供应商认为有必要提供的其他内容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满足磋商文件要求且磋商价格最低的磋商报价为评标基准价，其价格分为满分。其他供应商的价格分统一按照下列公式计算：磋商报价得分=（评标基准价/磋商报价）×10。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响应函</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详见附件：资格响应表</w:t>
      </w:r>
    </w:p>
    <w:p>
      <w:pPr>
        <w:pStyle w:val="null3"/>
        <w:ind w:firstLine="960"/>
      </w:pPr>
      <w:r>
        <w:rPr/>
        <w:t>详见附件：业绩一览表</w:t>
      </w:r>
    </w:p>
    <w:p>
      <w:pPr>
        <w:pStyle w:val="null3"/>
        <w:ind w:firstLine="960"/>
      </w:pPr>
      <w:r>
        <w:rPr/>
        <w:t>详见附件：商务及技术偏离表</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详见附件：等级保护-西安铁路职业技术学院服务合同.docx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