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西安市住建局房产综合业务管理系统技术支持服务项目</w:t>
      </w:r>
    </w:p>
    <w:p>
      <w:pPr>
        <w:pStyle w:val="null3"/>
        <w:jc w:val="center"/>
        <w:outlineLvl w:val="2"/>
      </w:pPr>
      <w:r>
        <w:rPr>
          <w:b/>
          <w:sz w:val="28"/>
        </w:rPr>
        <w:t>采购项目编号：</w:t>
      </w:r>
      <w:r>
        <w:rPr>
          <w:b/>
          <w:sz w:val="28"/>
        </w:rPr>
        <w:t>ZJZBSX-240430-10533</w:t>
      </w:r>
      <w:r>
        <w:br/>
      </w:r>
      <w:r>
        <w:br/>
      </w:r>
      <w:r>
        <w:br/>
      </w:r>
    </w:p>
    <w:p>
      <w:pPr>
        <w:pStyle w:val="null3"/>
        <w:jc w:val="center"/>
        <w:outlineLvl w:val="2"/>
      </w:pPr>
      <w:r>
        <w:rPr>
          <w:b/>
          <w:sz w:val="28"/>
        </w:rPr>
        <w:t>西安市住房和城乡建设信息中心</w:t>
      </w:r>
    </w:p>
    <w:p>
      <w:pPr>
        <w:pStyle w:val="null3"/>
        <w:jc w:val="center"/>
        <w:outlineLvl w:val="2"/>
      </w:pPr>
      <w:r>
        <w:rPr>
          <w:b/>
          <w:sz w:val="28"/>
        </w:rPr>
        <w:t>陕西中经招标有限公司</w:t>
      </w:r>
      <w:r>
        <w:rPr>
          <w:b/>
          <w:sz w:val="28"/>
        </w:rPr>
        <w:t>共同编制</w:t>
      </w:r>
    </w:p>
    <w:p>
      <w:pPr>
        <w:pStyle w:val="null3"/>
        <w:jc w:val="center"/>
        <w:outlineLvl w:val="2"/>
      </w:pPr>
      <w:r>
        <w:rPr>
          <w:b/>
          <w:sz w:val="28"/>
        </w:rPr>
        <w:t>2024年05月11日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陕西中经招标有限公司</w:t>
      </w:r>
      <w:r>
        <w:rPr/>
        <w:t>（以下简称“代理机构”）受</w:t>
      </w:r>
      <w:r>
        <w:rPr/>
        <w:t>西安市住房和城乡建设信息中心</w:t>
      </w:r>
      <w:r>
        <w:rPr/>
        <w:t>委托，拟对</w:t>
      </w:r>
      <w:r>
        <w:rPr/>
        <w:t>西安市住建局房产综合业务管理系统技术支持服务项目</w:t>
      </w:r>
      <w:r>
        <w:rPr/>
        <w:t>采用竞争性磋商采购方式进行采购，兹邀请供应商参加本项目的竞争性磋商。</w:t>
      </w:r>
    </w:p>
    <w:p>
      <w:pPr>
        <w:pStyle w:val="null3"/>
        <w:outlineLvl w:val="2"/>
      </w:pPr>
      <w:r>
        <w:rPr>
          <w:b/>
          <w:sz w:val="28"/>
        </w:rPr>
        <w:t>一、项目编号：</w:t>
      </w:r>
      <w:r>
        <w:rPr>
          <w:b/>
          <w:sz w:val="28"/>
        </w:rPr>
        <w:t>ZJZBSX-240430-10533</w:t>
      </w:r>
    </w:p>
    <w:p>
      <w:pPr>
        <w:pStyle w:val="null3"/>
        <w:outlineLvl w:val="2"/>
      </w:pPr>
      <w:r>
        <w:rPr>
          <w:b/>
          <w:sz w:val="28"/>
        </w:rPr>
        <w:t>二、项目名称：</w:t>
      </w:r>
      <w:r>
        <w:rPr>
          <w:b/>
          <w:sz w:val="28"/>
        </w:rPr>
        <w:t>西安市住建局房产综合业务管理系统技术支持服务项目</w:t>
      </w:r>
    </w:p>
    <w:p>
      <w:pPr>
        <w:pStyle w:val="null3"/>
        <w:outlineLvl w:val="2"/>
      </w:pPr>
      <w:r>
        <w:rPr>
          <w:b/>
          <w:sz w:val="28"/>
        </w:rPr>
        <w:t>三、磋商项目简介</w:t>
      </w:r>
    </w:p>
    <w:p>
      <w:pPr>
        <w:pStyle w:val="null3"/>
        <w:ind w:firstLine="480"/>
      </w:pPr>
      <w:r>
        <w:rPr/>
        <w:t>随着西安市住房和城乡建设局在信息化工作上的持续投入，信息化工作取得了长足的发展，信息化逐渐成为保证房产管理工作顺利完成的重要手段，对提高住建部门的工作效率、工作质量起到了积极的作用。 目前，西安市已建立市、区（县）两级联网的一体化房产综合业务管理系统，建立了区县集中、统一的房产基础数据库，并与多部门实现了数据联通，全面实现了市辖区内个人住房信息的实时共享、查询以及统计分析；建成市场、交易、住房保障、物业维修资金、房改货币化、租赁备案、局机关档案、房改房、经纪机构及存量房备案、房产测绘、房屋征收、地理信息系统、统计分析、预售资金监管等业务管理子系统,形成统一平台的西安市住建局房产综合业务管理系统。 西安市住建局房产综合业务管理系统（以下简称房产综合业务管理系统）业务模块众多，系统使用人员遍布西安市住建局各处室、事业单位及区县住建部门，根据近两年的技术支持服务量统计，服务的难度及数量都呈现明显上升的趋势，随着房产综合业务管理系统业务功能的不断更新和完善，仍需为系统使用人员提供必要的技术支持服务，协助房产综合业务管理系统内网及区县系统使用人员熟练使用系统办理各项业务，及时解决遇到的各类问题，使之更加适应房产管理业务的发展需要。</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采购包1（西安市住建局房产综合业务管理系统技术支持服务项目）：属于专门面向中小企业采购。</w:t>
      </w:r>
    </w:p>
    <w:p>
      <w:pPr>
        <w:pStyle w:val="null3"/>
        <w:ind w:firstLine="480"/>
      </w:pPr>
      <w:r>
        <w:rPr/>
        <w:t>（三）本项目的特定资格要求：</w:t>
      </w:r>
    </w:p>
    <w:p>
      <w:pPr>
        <w:pStyle w:val="null3"/>
      </w:pPr>
      <w:r>
        <w:rPr/>
        <w:t>采购包1：</w:t>
      </w:r>
    </w:p>
    <w:p>
      <w:pPr>
        <w:pStyle w:val="null3"/>
      </w:pPr>
      <w:r>
        <w:rPr/>
        <w:t>1、主体资格：供应商为响应招标并参加投标的合法注册的企业法人其他组织。企业法人应提供合法有效的标识有统一社会信用代码的营业执照；其他组织应提供合法登记证明文件；</w:t>
      </w:r>
    </w:p>
    <w:p>
      <w:pPr>
        <w:pStyle w:val="null3"/>
      </w:pPr>
      <w:r>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t>3、财务状况报告：提供2022年度或2023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p>
    <w:p>
      <w:pPr>
        <w:pStyle w:val="null3"/>
      </w:pPr>
      <w:r>
        <w:rPr/>
        <w:t>4、社会保障资金缴纳证明：提供磋商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5、税收缴纳证明：提供磋商响应文件递交截止日前一年内已缴纳的至少一个月的纳税证明或完税证明，纳税证明或完税证明上应有代收机构或税务机关的公章，依法免税的单位应提供相关证明材料；</w:t>
      </w:r>
    </w:p>
    <w:p>
      <w:pPr>
        <w:pStyle w:val="null3"/>
      </w:pPr>
      <w:r>
        <w:rPr/>
        <w:t>6、书面声明（信用记录）：参加本次政府采购活动前3年内在经营活动中没有重大违纪，以及未被列入失信被执行人、重大税收违法案件当事人名单、政府采购严重违法失信行为记录名单的书面声明；</w:t>
      </w:r>
    </w:p>
    <w:p>
      <w:pPr>
        <w:pStyle w:val="null3"/>
      </w:pPr>
      <w:r>
        <w:rPr/>
        <w:t>7、承诺书：提供具有履行合同所必需的设备和专业技术能力的承诺书；</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西安市住房和城乡建设信息中心</w:t>
      </w:r>
    </w:p>
    <w:p>
      <w:pPr>
        <w:pStyle w:val="null3"/>
      </w:pPr>
      <w:r>
        <w:rPr/>
        <w:t xml:space="preserve"> 地址： </w:t>
      </w:r>
      <w:r>
        <w:rPr/>
        <w:t>西大街116号</w:t>
      </w:r>
    </w:p>
    <w:p>
      <w:pPr>
        <w:pStyle w:val="null3"/>
      </w:pPr>
      <w:r>
        <w:rPr/>
        <w:t xml:space="preserve"> 邮编： </w:t>
      </w:r>
      <w:r>
        <w:rPr/>
        <w:t>710000</w:t>
      </w:r>
    </w:p>
    <w:p>
      <w:pPr>
        <w:pStyle w:val="null3"/>
      </w:pPr>
      <w:r>
        <w:rPr/>
        <w:t xml:space="preserve"> 联系人： </w:t>
      </w:r>
      <w:r>
        <w:rPr/>
        <w:t>刘晋</w:t>
      </w:r>
    </w:p>
    <w:p>
      <w:pPr>
        <w:pStyle w:val="null3"/>
      </w:pPr>
      <w:r>
        <w:rPr/>
        <w:t xml:space="preserve"> 联系电话： </w:t>
      </w:r>
      <w:r>
        <w:rPr/>
        <w:t>029-87619444</w:t>
      </w:r>
    </w:p>
    <w:p>
      <w:pPr>
        <w:pStyle w:val="null3"/>
        <w:outlineLvl w:val="3"/>
      </w:pPr>
      <w:r>
        <w:rPr>
          <w:b/>
          <w:sz w:val="24"/>
        </w:rPr>
        <w:t>代理机构：</w:t>
      </w:r>
      <w:r>
        <w:rPr>
          <w:b/>
          <w:sz w:val="24"/>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710000</w:t>
      </w:r>
    </w:p>
    <w:p>
      <w:pPr>
        <w:pStyle w:val="null3"/>
      </w:pPr>
      <w:r>
        <w:rPr/>
        <w:t xml:space="preserve"> 联系人： </w:t>
      </w:r>
      <w:r>
        <w:rPr/>
        <w:t>马浩博</w:t>
      </w:r>
    </w:p>
    <w:p>
      <w:pPr>
        <w:pStyle w:val="null3"/>
      </w:pPr>
      <w:r>
        <w:rPr/>
        <w:t xml:space="preserve"> 联系电话： </w:t>
      </w:r>
      <w:r>
        <w:rPr/>
        <w:t>029-87888601-8001</w:t>
      </w:r>
    </w:p>
    <w:p>
      <w:pPr>
        <w:pStyle w:val="null3"/>
        <w:outlineLvl w:val="3"/>
      </w:pPr>
      <w:r>
        <w:rPr>
          <w:b/>
          <w:sz w:val="24"/>
        </w:rPr>
        <w:t>采购监督机构：</w:t>
      </w:r>
      <w:r>
        <w:rPr>
          <w:b/>
          <w:sz w:val="24"/>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采购包1：902,761.64元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代理服务费收费标准：收费标准参照中华人民共和国国家计划委员会计价格[2002]1980号文计算收取。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西安市住房和城乡建设信息中心</w:t>
      </w:r>
      <w:r>
        <w:rPr/>
        <w:t>和</w:t>
      </w:r>
      <w:r>
        <w:rPr/>
        <w:t>陕西中经招标有限公司</w:t>
      </w:r>
      <w:r>
        <w:rPr/>
        <w:t>享有。对磋商文件中供应商参加本次政府采购活动应当具备的条件，磋商项目技术、服务、商务及其他要求，评审细则及标准由</w:t>
      </w:r>
      <w:r>
        <w:rPr/>
        <w:t>西安市住房和城乡建设信息中心</w:t>
      </w:r>
      <w:r>
        <w:rPr/>
        <w:t>负责解释。除上述磋商文件内容，其他内容由</w:t>
      </w:r>
      <w:r>
        <w:rPr/>
        <w:t>陕西中经招标有限公司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西安市住房和城乡建设信息中心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1、磋商文件、响应文件、澄清表（函）； 2、本合同及附件文本； 3、合同签订时国家及行业现行的标准和技术规范。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联系人：马浩博</w:t>
      </w:r>
    </w:p>
    <w:p>
      <w:pPr>
        <w:pStyle w:val="null3"/>
      </w:pPr>
      <w:r>
        <w:rPr/>
        <w:t>联系电话：029-87888601-8001</w:t>
      </w:r>
    </w:p>
    <w:p>
      <w:pPr>
        <w:pStyle w:val="null3"/>
      </w:pPr>
      <w:r>
        <w:rPr/>
        <w:t>地址：陕西省西安市碑林区长安北路8B高速经纬大厦16层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随着西安市住房和城乡建设局在信息化工作上的持续投入，信息化工作取得了长足的发展，信息化逐渐成为保证房产管理工作顺利完成的重要手段，对提高住建部门的工作效率、工作质量起到了积极的作用。 目前，西安市已建立市、区（县）两级联网的一体化房产综合业务管理系统，建立了区县集中、统一的房产基础数据库，并与多部门实现了数据联通，全面实现了市辖区内个人住房信息的实时共享、查询以及统计分析；建成市场、交易、住房保障、物业维修资金、房改货币化、租赁备案、局机关档案、房改房、经纪机构及存量房备案、房产测绘、房屋征收、地理信息系统、统计分析、预售资金监管等业务管理子系统,形成统一平台的西安市住建局房产综合业务管理系统。 西安市住建局房产综合业务管理系统（以下简称房产综合业务管理系统）业务模块众多，系统使用人员遍布西安市住建局各处室、事业单位及区县住建部门，根据近两年的技术支持服务量统计，服务的难度及数量都呈现明显上升的趋势，随着房产综合业务管理系统业务功能的不断更新和完善，仍需为系统使用人员提供必要的技术支持服务，协助房产综合业务管理系统内网及区县系统使用人员熟练使用系统办理各项业务，及时解决遇到的各类问题，使之更加适应房产管理业务的发展需要。</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902,761.64</w:t>
      </w:r>
    </w:p>
    <w:p>
      <w:pPr>
        <w:pStyle w:val="null3"/>
      </w:pPr>
      <w:r>
        <w:rPr/>
        <w:t>采购包最高限价（元）: 902,761.64</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西安市住建局房产综合业务管理系统技术支持服务项目</w:t>
            </w:r>
          </w:p>
        </w:tc>
        <w:tc>
          <w:tcPr>
            <w:tcW w:type="dxa" w:w="831"/>
          </w:tcPr>
          <w:p>
            <w:pPr>
              <w:pStyle w:val="null3"/>
              <w:jc w:val="right"/>
            </w:pPr>
            <w:r>
              <w:rPr/>
              <w:t>1.00</w:t>
            </w:r>
          </w:p>
        </w:tc>
        <w:tc>
          <w:tcPr>
            <w:tcW w:type="dxa" w:w="831"/>
          </w:tcPr>
          <w:p>
            <w:pPr>
              <w:pStyle w:val="null3"/>
              <w:jc w:val="right"/>
            </w:pPr>
            <w:r>
              <w:rPr/>
              <w:t>902,761.64</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标的名称：西安市住建局房产综合业务管理系统技术支持服务项目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19"/>
              </w:rPr>
              <w:t>一、服务内容</w:t>
            </w:r>
          </w:p>
          <w:p>
            <w:pPr>
              <w:pStyle w:val="null3"/>
              <w:ind w:firstLine="482"/>
              <w:jc w:val="both"/>
            </w:pPr>
            <w:r>
              <w:rPr>
                <w:rFonts w:ascii="宋体" w:hAnsi="宋体" w:cs="宋体" w:eastAsia="宋体"/>
                <w:sz w:val="19"/>
              </w:rPr>
              <w:t>（一）项目目标</w:t>
            </w:r>
          </w:p>
          <w:p>
            <w:pPr>
              <w:pStyle w:val="null3"/>
              <w:ind w:firstLine="482"/>
              <w:jc w:val="both"/>
            </w:pPr>
            <w:r>
              <w:rPr>
                <w:rFonts w:ascii="宋体" w:hAnsi="宋体" w:cs="宋体" w:eastAsia="宋体"/>
                <w:sz w:val="19"/>
              </w:rPr>
              <w:t>本项目主要是为房产综合业务管理系统内网及区县使用用户提供技术支持服务，保证整个房产综合业务管理系统在实际工作中可以快速、高效的办理相关业务，并保证用户在遇到各类型问题时能够及时得到解决。通过对内网及区县用户提供技术支持服务，提高业务人员对房产综合业务管理系统的了解和操作技能，从而提高行业服务水平。</w:t>
            </w:r>
          </w:p>
          <w:p>
            <w:pPr>
              <w:pStyle w:val="null3"/>
              <w:ind w:firstLine="482"/>
              <w:jc w:val="both"/>
            </w:pPr>
            <w:r>
              <w:rPr>
                <w:rFonts w:ascii="宋体" w:hAnsi="宋体" w:cs="宋体" w:eastAsia="宋体"/>
                <w:sz w:val="19"/>
              </w:rPr>
              <w:t>（二）项目现状</w:t>
            </w:r>
          </w:p>
          <w:p>
            <w:pPr>
              <w:pStyle w:val="null3"/>
              <w:ind w:firstLine="482"/>
              <w:jc w:val="both"/>
            </w:pPr>
            <w:r>
              <w:rPr>
                <w:rFonts w:ascii="calibri, &quot;sans-serif&quot;" w:hAnsi="calibri, &quot;sans-serif&quot;" w:cs="calibri, &quot;sans-serif&quot;" w:eastAsia="calibri, &quot;sans-serif&quot;"/>
                <w:sz w:val="20"/>
              </w:rPr>
              <w:t xml:space="preserve">   </w:t>
            </w: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系统背景</w:t>
            </w:r>
          </w:p>
          <w:p>
            <w:pPr>
              <w:pStyle w:val="null3"/>
              <w:ind w:firstLine="482"/>
              <w:jc w:val="both"/>
            </w:pPr>
            <w:r>
              <w:rPr>
                <w:rFonts w:ascii="宋体" w:hAnsi="宋体" w:cs="宋体" w:eastAsia="宋体"/>
                <w:sz w:val="19"/>
              </w:rPr>
              <w:t>房产综合业务自</w:t>
            </w:r>
            <w:r>
              <w:rPr>
                <w:rFonts w:ascii="&quot;times new roman&quot;, &quot;serif&quot;" w:hAnsi="&quot;times new roman&quot;, &quot;serif&quot;" w:cs="&quot;times new roman&quot;, &quot;serif&quot;" w:eastAsia="&quot;times new roman&quot;, &quot;serif&quot;"/>
                <w:sz w:val="19"/>
              </w:rPr>
              <w:t>2005</w:t>
            </w:r>
            <w:r>
              <w:rPr>
                <w:rFonts w:ascii="宋体" w:hAnsi="宋体" w:cs="宋体" w:eastAsia="宋体"/>
                <w:sz w:val="19"/>
              </w:rPr>
              <w:t>年使用西安市住建局房产综合业务管理系统管理至今，日处理量已从最初的日均</w:t>
            </w:r>
            <w:r>
              <w:rPr>
                <w:rFonts w:ascii="&quot;times new roman&quot;, &quot;serif&quot;" w:hAnsi="&quot;times new roman&quot;, &quot;serif&quot;" w:cs="&quot;times new roman&quot;, &quot;serif&quot;" w:eastAsia="&quot;times new roman&quot;, &quot;serif&quot;"/>
                <w:sz w:val="19"/>
              </w:rPr>
              <w:t>1166</w:t>
            </w:r>
            <w:r>
              <w:rPr>
                <w:rFonts w:ascii="宋体" w:hAnsi="宋体" w:cs="宋体" w:eastAsia="宋体"/>
                <w:sz w:val="19"/>
              </w:rPr>
              <w:t>件提升至现在的日均</w:t>
            </w:r>
            <w:r>
              <w:rPr>
                <w:rFonts w:ascii="&quot;times new roman&quot;, &quot;serif&quot;" w:hAnsi="&quot;times new roman&quot;, &quot;serif&quot;" w:cs="&quot;times new roman&quot;, &quot;serif&quot;" w:eastAsia="&quot;times new roman&quot;, &quot;serif&quot;"/>
                <w:sz w:val="19"/>
              </w:rPr>
              <w:t>16000</w:t>
            </w:r>
            <w:r>
              <w:rPr>
                <w:rFonts w:ascii="宋体" w:hAnsi="宋体" w:cs="宋体" w:eastAsia="宋体"/>
                <w:sz w:val="19"/>
              </w:rPr>
              <w:t>余件。业务系统的使用使工作效率提升了近</w:t>
            </w:r>
            <w:r>
              <w:rPr>
                <w:rFonts w:ascii="&quot;times new roman&quot;, &quot;serif&quot;" w:hAnsi="&quot;times new roman&quot;, &quot;serif&quot;" w:cs="&quot;times new roman&quot;, &quot;serif&quot;" w:eastAsia="&quot;times new roman&quot;, &quot;serif&quot;"/>
                <w:sz w:val="19"/>
              </w:rPr>
              <w:t>15</w:t>
            </w:r>
            <w:r>
              <w:rPr>
                <w:rFonts w:ascii="宋体" w:hAnsi="宋体" w:cs="宋体" w:eastAsia="宋体"/>
                <w:sz w:val="19"/>
              </w:rPr>
              <w:t>倍，积累的业务数据也为城市规划、建设、管理提供科学依据。另外通过对房产权利的设立、变更、终止的合法性进行审查，可以取缔或处罚违法行为。目前西安市住房和城乡建设信息中心已建立市、区（县）两级联网的一体化房产综合业务管理系统，建立了各区县集中、统一的房产基础数据库，并分别与住建部、省住建厅实现数据联通，全面实现了市辖区内个人住房信息的实时共享、查询以及统计分析；建成市场、交易、住房保障、物业维修资金、房改货币化、租赁备案、局机关档案、房改房、经纪机构及存量房备案、房产测绘、房屋征收、地理信息系统、统计分析、预售资金监管、直管公房等业务管理子系统</w:t>
            </w:r>
            <w:r>
              <w:rPr>
                <w:rFonts w:ascii="&quot;times new roman&quot;, &quot;serif&quot;" w:hAnsi="&quot;times new roman&quot;, &quot;serif&quot;" w:cs="&quot;times new roman&quot;, &quot;serif&quot;" w:eastAsia="&quot;times new roman&quot;, &quot;serif&quot;"/>
                <w:sz w:val="19"/>
              </w:rPr>
              <w:t>,</w:t>
            </w:r>
            <w:r>
              <w:rPr>
                <w:rFonts w:ascii="宋体" w:hAnsi="宋体" w:cs="宋体" w:eastAsia="宋体"/>
                <w:sz w:val="19"/>
              </w:rPr>
              <w:t>形成统一平台的西安市住建局房产综合业务管理系统。</w:t>
            </w:r>
          </w:p>
          <w:p>
            <w:pPr>
              <w:pStyle w:val="null3"/>
              <w:ind w:firstLine="482"/>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开发环境</w:t>
            </w:r>
          </w:p>
          <w:p>
            <w:pPr>
              <w:pStyle w:val="null3"/>
              <w:ind w:firstLine="482"/>
              <w:jc w:val="both"/>
            </w:pPr>
            <w:r>
              <w:rPr>
                <w:rFonts w:ascii="宋体" w:hAnsi="宋体" w:cs="宋体" w:eastAsia="宋体"/>
                <w:sz w:val="19"/>
              </w:rPr>
              <w:t>西安市住建局房产综合业务管理系统于</w:t>
            </w:r>
            <w:r>
              <w:rPr>
                <w:rFonts w:ascii="&quot;times new roman&quot;, &quot;serif&quot;" w:hAnsi="&quot;times new roman&quot;, &quot;serif&quot;" w:cs="&quot;times new roman&quot;, &quot;serif&quot;" w:eastAsia="&quot;times new roman&quot;, &quot;serif&quot;"/>
                <w:sz w:val="19"/>
              </w:rPr>
              <w:t>2005</w:t>
            </w:r>
            <w:r>
              <w:rPr>
                <w:rFonts w:ascii="宋体" w:hAnsi="宋体" w:cs="宋体" w:eastAsia="宋体"/>
                <w:sz w:val="19"/>
              </w:rPr>
              <w:t>年开始投入建设，其系统基于</w:t>
            </w:r>
            <w:r>
              <w:rPr>
                <w:rFonts w:ascii="&quot;times new roman&quot;, &quot;serif&quot;" w:hAnsi="&quot;times new roman&quot;, &quot;serif&quot;" w:cs="&quot;times new roman&quot;, &quot;serif&quot;" w:eastAsia="&quot;times new roman&quot;, &quot;serif&quot;"/>
                <w:sz w:val="19"/>
              </w:rPr>
              <w:t>.NetFramework</w:t>
            </w:r>
            <w:r>
              <w:rPr>
                <w:rFonts w:ascii="宋体" w:hAnsi="宋体" w:cs="宋体" w:eastAsia="宋体"/>
                <w:sz w:val="19"/>
              </w:rPr>
              <w:t>开发平台</w:t>
            </w:r>
            <w:r>
              <w:rPr>
                <w:rFonts w:ascii="&quot;times new roman&quot;, &quot;serif&quot;" w:hAnsi="&quot;times new roman&quot;, &quot;serif&quot;" w:cs="&quot;times new roman&quot;, &quot;serif&quot;" w:eastAsia="&quot;times new roman&quot;, &quot;serif&quot;"/>
                <w:sz w:val="19"/>
              </w:rPr>
              <w:t>B/S</w:t>
            </w:r>
            <w:r>
              <w:rPr>
                <w:rFonts w:ascii="宋体" w:hAnsi="宋体" w:cs="宋体" w:eastAsia="宋体"/>
                <w:sz w:val="19"/>
              </w:rPr>
              <w:t>技术架构，先后经历了</w:t>
            </w:r>
            <w:r>
              <w:rPr>
                <w:rFonts w:ascii="&quot;times new roman&quot;, &quot;serif&quot;" w:hAnsi="&quot;times new roman&quot;, &quot;serif&quot;" w:cs="&quot;times new roman&quot;, &quot;serif&quot;" w:eastAsia="&quot;times new roman&quot;, &quot;serif&quot;"/>
                <w:sz w:val="19"/>
              </w:rPr>
              <w:t>Visual Studio2003</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Visual Studio2005</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Visual Studio2008</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Visual Studio2010</w:t>
            </w:r>
            <w:r>
              <w:rPr>
                <w:rFonts w:ascii="宋体" w:hAnsi="宋体" w:cs="宋体" w:eastAsia="宋体"/>
                <w:sz w:val="19"/>
              </w:rPr>
              <w:t>及</w:t>
            </w:r>
            <w:r>
              <w:rPr>
                <w:rFonts w:ascii="&quot;times new roman&quot;, &quot;serif&quot;" w:hAnsi="&quot;times new roman&quot;, &quot;serif&quot;" w:cs="&quot;times new roman&quot;, &quot;serif&quot;" w:eastAsia="&quot;times new roman&quot;, &quot;serif&quot;"/>
                <w:sz w:val="19"/>
              </w:rPr>
              <w:t>Visual Studio2012</w:t>
            </w:r>
            <w:r>
              <w:rPr>
                <w:rFonts w:ascii="宋体" w:hAnsi="宋体" w:cs="宋体" w:eastAsia="宋体"/>
                <w:sz w:val="19"/>
              </w:rPr>
              <w:t>。同时采用了</w:t>
            </w:r>
            <w:r>
              <w:rPr>
                <w:rFonts w:ascii="&quot;times new roman&quot;, &quot;serif&quot;" w:hAnsi="&quot;times new roman&quot;, &quot;serif&quot;" w:cs="&quot;times new roman&quot;, &quot;serif&quot;" w:eastAsia="&quot;times new roman&quot;, &quot;serif&quot;"/>
                <w:sz w:val="19"/>
              </w:rPr>
              <w:t>C#</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VisualC++</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Oracle</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ArcGIS</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Silverlight</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Soap</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JavaScript</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XML</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Json</w:t>
            </w:r>
            <w:r>
              <w:rPr>
                <w:rFonts w:ascii="宋体" w:hAnsi="宋体" w:cs="宋体" w:eastAsia="宋体"/>
                <w:sz w:val="19"/>
              </w:rPr>
              <w:t>等关键技术。</w:t>
            </w:r>
          </w:p>
          <w:p>
            <w:pPr>
              <w:pStyle w:val="null3"/>
              <w:ind w:firstLine="482"/>
              <w:jc w:val="both"/>
            </w:pPr>
            <w:r>
              <w:rPr>
                <w:rFonts w:ascii="宋体" w:hAnsi="宋体" w:cs="宋体" w:eastAsia="宋体"/>
                <w:sz w:val="19"/>
              </w:rPr>
              <w:t>西安市住建局房产综合业务管理系统整体采用</w:t>
            </w:r>
            <w:r>
              <w:rPr>
                <w:rFonts w:ascii="&quot;times new roman&quot;, &quot;serif&quot;" w:hAnsi="&quot;times new roman&quot;, &quot;serif&quot;" w:cs="&quot;times new roman&quot;, &quot;serif&quot;" w:eastAsia="&quot;times new roman&quot;, &quot;serif&quot;"/>
                <w:sz w:val="19"/>
              </w:rPr>
              <w:t>B/S</w:t>
            </w:r>
            <w:r>
              <w:rPr>
                <w:rFonts w:ascii="宋体" w:hAnsi="宋体" w:cs="宋体" w:eastAsia="宋体"/>
                <w:sz w:val="19"/>
              </w:rPr>
              <w:t>架构，核心业务系统采用</w:t>
            </w:r>
            <w:r>
              <w:rPr>
                <w:rFonts w:ascii="&quot;times new roman&quot;, &quot;serif&quot;" w:hAnsi="&quot;times new roman&quot;, &quot;serif&quot;" w:cs="&quot;times new roman&quot;, &quot;serif&quot;" w:eastAsia="&quot;times new roman&quot;, &quot;serif&quot;"/>
                <w:sz w:val="19"/>
              </w:rPr>
              <w:t>Microsoft</w:t>
            </w:r>
            <w:r>
              <w:rPr>
                <w:rFonts w:ascii="宋体" w:hAnsi="宋体" w:cs="宋体" w:eastAsia="宋体"/>
                <w:sz w:val="19"/>
              </w:rPr>
              <w:t>公司的</w:t>
            </w:r>
            <w:r>
              <w:rPr>
                <w:rFonts w:ascii="&quot;times new roman&quot;, &quot;serif&quot;" w:hAnsi="&quot;times new roman&quot;, &quot;serif&quot;" w:cs="&quot;times new roman&quot;, &quot;serif&quot;" w:eastAsia="&quot;times new roman&quot;, &quot;serif&quot;"/>
                <w:sz w:val="19"/>
              </w:rPr>
              <w:t>MS.NET2012</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ArcGIS10.2</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Xcode4.3</w:t>
            </w:r>
            <w:r>
              <w:rPr>
                <w:rFonts w:ascii="宋体" w:hAnsi="宋体" w:cs="宋体" w:eastAsia="宋体"/>
                <w:sz w:val="19"/>
              </w:rPr>
              <w:t>作为开发平台，数据库平台采用</w:t>
            </w:r>
            <w:r>
              <w:rPr>
                <w:rFonts w:ascii="&quot;times new roman&quot;, &quot;serif&quot;" w:hAnsi="&quot;times new roman&quot;, &quot;serif&quot;" w:cs="&quot;times new roman&quot;, &quot;serif&quot;" w:eastAsia="&quot;times new roman&quot;, &quot;serif&quot;"/>
                <w:sz w:val="19"/>
              </w:rPr>
              <w:t>Oracle</w:t>
            </w:r>
            <w:r>
              <w:rPr>
                <w:rFonts w:ascii="宋体" w:hAnsi="宋体" w:cs="宋体" w:eastAsia="宋体"/>
                <w:sz w:val="19"/>
              </w:rPr>
              <w:t>公司的</w:t>
            </w:r>
            <w:r>
              <w:rPr>
                <w:rFonts w:ascii="&quot;times new roman&quot;, &quot;serif&quot;" w:hAnsi="&quot;times new roman&quot;, &quot;serif&quot;" w:cs="&quot;times new roman&quot;, &quot;serif&quot;" w:eastAsia="&quot;times new roman&quot;, &quot;serif&quot;"/>
                <w:sz w:val="19"/>
              </w:rPr>
              <w:t>Oracle11G</w:t>
            </w:r>
            <w:r>
              <w:rPr>
                <w:rFonts w:ascii="宋体" w:hAnsi="宋体" w:cs="宋体" w:eastAsia="宋体"/>
                <w:sz w:val="19"/>
              </w:rPr>
              <w:t>；系统实施核心业务需采用分布式数据库、工作流、</w:t>
            </w:r>
            <w:r>
              <w:rPr>
                <w:rFonts w:ascii="&quot;times new roman&quot;, &quot;serif&quot;" w:hAnsi="&quot;times new roman&quot;, &quot;serif&quot;" w:cs="&quot;times new roman&quot;, &quot;serif&quot;" w:eastAsia="&quot;times new roman&quot;, &quot;serif&quot;"/>
                <w:sz w:val="19"/>
              </w:rPr>
              <w:t>XML</w:t>
            </w:r>
            <w:r>
              <w:rPr>
                <w:rFonts w:ascii="宋体" w:hAnsi="宋体" w:cs="宋体" w:eastAsia="宋体"/>
                <w:sz w:val="19"/>
              </w:rPr>
              <w:t>等技术手段，紧密结合房产管理的实际业务，采用工作流（</w:t>
            </w:r>
            <w:r>
              <w:rPr>
                <w:rFonts w:ascii="&quot;times new roman&quot;, &quot;serif&quot;" w:hAnsi="&quot;times new roman&quot;, &quot;serif&quot;" w:cs="&quot;times new roman&quot;, &quot;serif&quot;" w:eastAsia="&quot;times new roman&quot;, &quot;serif&quot;"/>
                <w:sz w:val="19"/>
              </w:rPr>
              <w:t>Workflow</w:t>
            </w:r>
            <w:r>
              <w:rPr>
                <w:rFonts w:ascii="宋体" w:hAnsi="宋体" w:cs="宋体" w:eastAsia="宋体"/>
                <w:sz w:val="19"/>
              </w:rPr>
              <w:t>）技术实现系统内部工作流程的管理，通过工作流管理系统将各个业务系统融为一体。</w:t>
            </w:r>
          </w:p>
          <w:p>
            <w:pPr>
              <w:pStyle w:val="null3"/>
              <w:ind w:firstLine="482"/>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网络环境</w:t>
            </w:r>
          </w:p>
          <w:p>
            <w:pPr>
              <w:pStyle w:val="null3"/>
              <w:ind w:firstLine="482"/>
              <w:jc w:val="both"/>
            </w:pPr>
            <w:r>
              <w:rPr>
                <w:rFonts w:ascii="宋体" w:hAnsi="宋体" w:cs="宋体" w:eastAsia="宋体"/>
                <w:sz w:val="19"/>
              </w:rPr>
              <w:t>西安市住建局房产综合业务管理系统将使用西安市住房和城乡建设局统一的网络中心和信息中心，各个业务大厅及有条件的单位通过专线和西安市住房和城乡建设局实现互联互通，其他部门和单位通过</w:t>
            </w:r>
            <w:r>
              <w:rPr>
                <w:rFonts w:ascii="&quot;times new roman&quot;, &quot;serif&quot;" w:hAnsi="&quot;times new roman&quot;, &quot;serif&quot;" w:cs="&quot;times new roman&quot;, &quot;serif&quot;" w:eastAsia="&quot;times new roman&quot;, &quot;serif&quot;"/>
                <w:sz w:val="19"/>
              </w:rPr>
              <w:t>Internet</w:t>
            </w:r>
            <w:r>
              <w:rPr>
                <w:rFonts w:ascii="宋体" w:hAnsi="宋体" w:cs="宋体" w:eastAsia="宋体"/>
                <w:sz w:val="19"/>
              </w:rPr>
              <w:t>和西安市住建局房产综合业务管理系统实现数据的实时处理与交换。</w:t>
            </w:r>
          </w:p>
          <w:p>
            <w:pPr>
              <w:pStyle w:val="null3"/>
              <w:ind w:firstLine="482"/>
              <w:jc w:val="both"/>
            </w:pPr>
            <w:r>
              <w:rPr>
                <w:rFonts w:ascii="&quot;times new roman&quot;, &quot;serif&quot;" w:hAnsi="&quot;times new roman&quot;, &quot;serif&quot;" w:cs="&quot;times new roman&quot;, &quot;serif&quot;" w:eastAsia="&quot;times new roman&quot;, &quot;serif&quot;"/>
                <w:sz w:val="19"/>
              </w:rPr>
              <w:t>4.</w:t>
            </w:r>
            <w:r>
              <w:rPr>
                <w:rFonts w:ascii="宋体" w:hAnsi="宋体" w:cs="宋体" w:eastAsia="宋体"/>
                <w:sz w:val="19"/>
              </w:rPr>
              <w:t>平台环境</w:t>
            </w:r>
          </w:p>
          <w:p>
            <w:pPr>
              <w:pStyle w:val="null3"/>
              <w:ind w:firstLine="482"/>
              <w:jc w:val="both"/>
            </w:pPr>
            <w:r>
              <w:rPr>
                <w:rFonts w:ascii="宋体" w:hAnsi="宋体" w:cs="宋体" w:eastAsia="宋体"/>
                <w:sz w:val="19"/>
              </w:rPr>
              <w:t>运行环境：服务器使用</w:t>
            </w:r>
            <w:r>
              <w:rPr>
                <w:rFonts w:ascii="&quot;times new roman&quot;, &quot;serif&quot;" w:hAnsi="&quot;times new roman&quot;, &quot;serif&quot;" w:cs="&quot;times new roman&quot;, &quot;serif&quot;" w:eastAsia="&quot;times new roman&quot;, &quot;serif&quot;"/>
                <w:sz w:val="19"/>
              </w:rPr>
              <w:t>Windows Server 2008</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64</w:t>
            </w:r>
            <w:r>
              <w:rPr>
                <w:rFonts w:ascii="宋体" w:hAnsi="宋体" w:cs="宋体" w:eastAsia="宋体"/>
                <w:sz w:val="19"/>
              </w:rPr>
              <w:t>位操作系统，系统用户端使用</w:t>
            </w:r>
            <w:r>
              <w:rPr>
                <w:rFonts w:ascii="&quot;times new roman&quot;, &quot;serif&quot;" w:hAnsi="&quot;times new roman&quot;, &quot;serif&quot;" w:cs="&quot;times new roman&quot;, &quot;serif&quot;" w:eastAsia="&quot;times new roman&quot;, &quot;serif&quot;"/>
                <w:sz w:val="19"/>
              </w:rPr>
              <w:t>windowsxp/7/8/10</w:t>
            </w:r>
            <w:r>
              <w:rPr>
                <w:rFonts w:ascii="宋体" w:hAnsi="宋体" w:cs="宋体" w:eastAsia="宋体"/>
                <w:sz w:val="19"/>
              </w:rPr>
              <w:t>等操作系统。</w:t>
            </w:r>
          </w:p>
          <w:p>
            <w:pPr>
              <w:pStyle w:val="null3"/>
              <w:ind w:firstLine="482"/>
              <w:jc w:val="both"/>
            </w:pPr>
            <w:r>
              <w:rPr>
                <w:rFonts w:ascii="宋体" w:hAnsi="宋体" w:cs="宋体" w:eastAsia="宋体"/>
                <w:sz w:val="19"/>
              </w:rPr>
              <w:t>运行平台：系统整体采用</w:t>
            </w:r>
            <w:r>
              <w:rPr>
                <w:rFonts w:ascii="&quot;times new roman&quot;, &quot;serif&quot;" w:hAnsi="&quot;times new roman&quot;, &quot;serif&quot;" w:cs="&quot;times new roman&quot;, &quot;serif&quot;" w:eastAsia="&quot;times new roman&quot;, &quot;serif&quot;"/>
                <w:sz w:val="19"/>
              </w:rPr>
              <w:t>B/S</w:t>
            </w:r>
            <w:r>
              <w:rPr>
                <w:rFonts w:ascii="宋体" w:hAnsi="宋体" w:cs="宋体" w:eastAsia="宋体"/>
                <w:sz w:val="19"/>
              </w:rPr>
              <w:t>架构，核心业务系统采用</w:t>
            </w:r>
            <w:r>
              <w:rPr>
                <w:rFonts w:ascii="&quot;times new roman&quot;, &quot;serif&quot;" w:hAnsi="&quot;times new roman&quot;, &quot;serif&quot;" w:cs="&quot;times new roman&quot;, &quot;serif&quot;" w:eastAsia="&quot;times new roman&quot;, &quot;serif&quot;"/>
                <w:sz w:val="19"/>
              </w:rPr>
              <w:t>Visual Studio2012</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ArcGIS10.2</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Xcode4.3</w:t>
            </w:r>
            <w:r>
              <w:rPr>
                <w:rFonts w:ascii="宋体" w:hAnsi="宋体" w:cs="宋体" w:eastAsia="宋体"/>
                <w:sz w:val="19"/>
              </w:rPr>
              <w:t>作为开发平台，数据库平台采用</w:t>
            </w:r>
            <w:r>
              <w:rPr>
                <w:rFonts w:ascii="&quot;times new roman&quot;, &quot;serif&quot;" w:hAnsi="&quot;times new roman&quot;, &quot;serif&quot;" w:cs="&quot;times new roman&quot;, &quot;serif&quot;" w:eastAsia="&quot;times new roman&quot;, &quot;serif&quot;"/>
                <w:sz w:val="19"/>
              </w:rPr>
              <w:t>Oracle11G</w:t>
            </w:r>
            <w:r>
              <w:rPr>
                <w:rFonts w:ascii="宋体" w:hAnsi="宋体" w:cs="宋体" w:eastAsia="宋体"/>
                <w:sz w:val="19"/>
              </w:rPr>
              <w:t>；系统实施核心业务采用分布式数据库、工作流、</w:t>
            </w:r>
            <w:r>
              <w:rPr>
                <w:rFonts w:ascii="&quot;times new roman&quot;, &quot;serif&quot;" w:hAnsi="&quot;times new roman&quot;, &quot;serif&quot;" w:cs="&quot;times new roman&quot;, &quot;serif&quot;" w:eastAsia="&quot;times new roman&quot;, &quot;serif&quot;"/>
                <w:sz w:val="19"/>
              </w:rPr>
              <w:t>XML</w:t>
            </w:r>
            <w:r>
              <w:rPr>
                <w:rFonts w:ascii="宋体" w:hAnsi="宋体" w:cs="宋体" w:eastAsia="宋体"/>
                <w:sz w:val="19"/>
              </w:rPr>
              <w:t>等技术手段。</w:t>
            </w:r>
          </w:p>
          <w:p>
            <w:pPr>
              <w:pStyle w:val="null3"/>
              <w:ind w:firstLine="482"/>
              <w:jc w:val="both"/>
            </w:pP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房产综合业务管理系统内网现状介绍</w:t>
            </w:r>
          </w:p>
          <w:p>
            <w:pPr>
              <w:pStyle w:val="null3"/>
              <w:ind w:firstLine="482"/>
              <w:jc w:val="both"/>
            </w:pPr>
            <w:r>
              <w:rPr>
                <w:rFonts w:ascii="宋体" w:hAnsi="宋体" w:cs="宋体" w:eastAsia="宋体"/>
                <w:sz w:val="19"/>
              </w:rPr>
              <w:t>房产综合业务管理系统已建立市、区（县）两级联网的一体化房产综合业务管理系统，建立了各区县集中、统一的房产基础数据库，并分别与住建部、省住建厅实现数据联通，现有各业务子系统涉及局机关处室、保障中心、交易中心、维修资金管理中心、征收办等</w:t>
            </w:r>
            <w:r>
              <w:rPr>
                <w:rFonts w:ascii="&quot;times new roman&quot;, &quot;serif&quot;" w:hAnsi="&quot;times new roman&quot;, &quot;serif&quot;" w:cs="&quot;times new roman&quot;, &quot;serif&quot;" w:eastAsia="&quot;times new roman&quot;, &quot;serif&quot;"/>
                <w:sz w:val="19"/>
              </w:rPr>
              <w:t>10</w:t>
            </w:r>
            <w:r>
              <w:rPr>
                <w:rFonts w:ascii="宋体" w:hAnsi="宋体" w:cs="宋体" w:eastAsia="宋体"/>
                <w:sz w:val="19"/>
              </w:rPr>
              <w:t>余家局属单位和部门，包括</w:t>
            </w:r>
            <w:r>
              <w:rPr>
                <w:rFonts w:ascii="&quot;times new roman&quot;, &quot;serif&quot;" w:hAnsi="&quot;times new roman&quot;, &quot;serif&quot;" w:cs="&quot;times new roman&quot;, &quot;serif&quot;" w:eastAsia="&quot;times new roman&quot;, &quot;serif&quot;"/>
                <w:sz w:val="19"/>
              </w:rPr>
              <w:t>93</w:t>
            </w:r>
            <w:r>
              <w:rPr>
                <w:rFonts w:ascii="宋体" w:hAnsi="宋体" w:cs="宋体" w:eastAsia="宋体"/>
                <w:sz w:val="19"/>
              </w:rPr>
              <w:t>个子系统。</w:t>
            </w:r>
          </w:p>
          <w:tbl>
            <w:tblPr>
              <w:tblInd w:type="dxa" w:w="120"/>
              <w:tblBorders>
                <w:top w:val="single"/>
                <w:left w:val="single"/>
                <w:bottom w:val="single"/>
                <w:right w:val="single"/>
                <w:insideH w:val="single"/>
                <w:insideV w:val="single"/>
              </w:tblBorders>
            </w:tblPr>
            <w:tblGrid>
              <w:gridCol w:w="356"/>
              <w:gridCol w:w="2197"/>
            </w:tblGrid>
            <w:tr>
              <w:tc>
                <w:tcPr>
                  <w:tcW w:type="dxa" w:w="35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 w:hAnsi="仿宋" w:cs="仿宋" w:eastAsia="仿宋"/>
                      <w:b/>
                      <w:color w:val="000000"/>
                      <w:sz w:val="22"/>
                    </w:rPr>
                    <w:t>序号</w:t>
                  </w:r>
                </w:p>
              </w:tc>
              <w:tc>
                <w:tcPr>
                  <w:tcW w:type="dxa" w:w="2197"/>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 w:hAnsi="仿宋" w:cs="仿宋" w:eastAsia="仿宋"/>
                      <w:b/>
                      <w:sz w:val="22"/>
                    </w:rPr>
                    <w:t>子系统名称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西安市商品房预售许可管理系统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西安市商品房现售备案审批管理系统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西安市安置许可审批管理系统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西安市商品房买卖合同备案管理系统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西安市房地产开发项目楼盘表管理系统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西安市房地产开发企业从业主体管理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西安市房地产开发企业项目管理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西安市商品房预售资金监管管理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9</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西安市商品房预售资金监管（企业端）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10</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西安市商品房预售资金监管（监管端）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西安市商品房预售资金监管指引平台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商品房网上备案系统（企业端）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市场管理相关综合业务信息系统其他子系统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14</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西安市商品房购房意向登记系统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15</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西安市销售价格调控管理系统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16</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西安市存量房交易资金监管系统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17</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西安市房地产经纪机构备案</w:t>
                  </w:r>
                  <w:r>
                    <w:rPr>
                      <w:rFonts w:ascii="&quot;times new roman&quot;, &quot;serif&quot;" w:hAnsi="&quot;times new roman&quot;, &quot;serif&quot;" w:cs="&quot;times new roman&quot;, &quot;serif&quot;" w:eastAsia="&quot;times new roman&quot;, &quot;serif&quot;"/>
                      <w:sz w:val="22"/>
                    </w:rPr>
                    <w:t>&amp;</w:t>
                  </w:r>
                  <w:r>
                    <w:rPr>
                      <w:rFonts w:ascii="仿宋" w:hAnsi="仿宋" w:cs="仿宋" w:eastAsia="仿宋"/>
                      <w:sz w:val="22"/>
                    </w:rPr>
                    <w:t>二手房交易管理系统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18</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西安市交易管理查询</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19</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西安市交易管理统计</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20</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西安市经纪机构管理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西安市经纪人员管理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西安市经纪机构信用管理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西安市二手房网签管理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24</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西安市二手房资金监管</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25</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住建对接不动产一窗受理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26</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住建对接政务一件事服务</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27</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住建共享数据接口</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28</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住建对接秦务员接口服务</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29</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二手房交易地税接口系统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30</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西安市商品房诚信平台系统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西安市市场房产管理信息综合系统其他功能模块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西安市市场房地产管理销售价格调控管理系统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西安市市场管理查询统计系统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34</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条形码管理系统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35</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购房资格管理系统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36</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领导干部房产信息核查管理子系统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37</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西安市房产管理信息综合系统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38</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西安市房产交易管理中心档案查询系统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39</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不动产对接系统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40</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西安市物业管理监管平台（管理端）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西安市物业管理监管平台（企业端）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西安市物业管理监管平台（区县端）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西安市物业管理监管平台（街办端）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44</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西安市房屋维修资金管理系统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45</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西安市房屋维修资金管理移动收费管理系统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46</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西安市房屋维修资金管理系统企业端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47</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西安市房屋维修资金管理系统区县端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48</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西安市房屋维修资金管理统计查询</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49</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房屋制度改革管理平台（管理端）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50</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房屋制度改革管理平台（企业端）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房屋制度改革管理平台住房公积金端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房屋制度改革管理平台财政局端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房改房信息网上备案系统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54</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西安市房屋征收管理系统市局管理平台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55</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西安市房屋征收管理系统区级征收管理平台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56</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评估机构管理平台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57</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西安市房产测量网上申请与成果备案系统</w:t>
                  </w:r>
                  <w:r>
                    <w:rPr>
                      <w:rFonts w:ascii="&quot;times new roman&quot;, &quot;serif&quot;" w:hAnsi="&quot;times new roman&quot;, &quot;serif&quot;" w:cs="&quot;times new roman&quot;, &quot;serif&quot;" w:eastAsia="&quot;times new roman&quot;, &quot;serif&quot;"/>
                      <w:sz w:val="22"/>
                    </w:rPr>
                    <w:t>(</w:t>
                  </w:r>
                  <w:r>
                    <w:rPr>
                      <w:rFonts w:ascii="仿宋" w:hAnsi="仿宋" w:cs="仿宋" w:eastAsia="仿宋"/>
                      <w:sz w:val="22"/>
                    </w:rPr>
                    <w:t>企业端）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58</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测量管理端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59</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西安市阳光征收微信查询平台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60</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西安市住房保障管理系统市局管理平台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西安市保障性住房资格审批系统（区县端）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西安市保障性住房资格审批系统（街办端）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西安市保障性住房资格审批系统（社区端）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64</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保障资产管理平台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65</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西安市保障性住房网上服务平台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66</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经适房退出管理系统（区县端）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67</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经适房退出管理系统（个人端）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68</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西安市人才住房管理平台</w:t>
                  </w:r>
                  <w:r>
                    <w:rPr>
                      <w:rFonts w:ascii="&quot;times new roman&quot;, &quot;serif&quot;" w:hAnsi="&quot;times new roman&quot;, &quot;serif&quot;" w:cs="&quot;times new roman&quot;, &quot;serif&quot;" w:eastAsia="&quot;times new roman&quot;, &quot;serif&quot;"/>
                      <w:sz w:val="22"/>
                    </w:rPr>
                    <w:t>-</w:t>
                  </w:r>
                  <w:r>
                    <w:rPr>
                      <w:rFonts w:ascii="仿宋" w:hAnsi="仿宋" w:cs="仿宋" w:eastAsia="仿宋"/>
                      <w:sz w:val="22"/>
                    </w:rPr>
                    <w:t>管理端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69</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西安市人才住房管理平台</w:t>
                  </w:r>
                  <w:r>
                    <w:rPr>
                      <w:rFonts w:ascii="&quot;times new roman&quot;, &quot;serif&quot;" w:hAnsi="&quot;times new roman&quot;, &quot;serif&quot;" w:cs="&quot;times new roman&quot;, &quot;serif&quot;" w:eastAsia="&quot;times new roman&quot;, &quot;serif&quot;"/>
                      <w:sz w:val="22"/>
                    </w:rPr>
                    <w:t>-</w:t>
                  </w:r>
                  <w:r>
                    <w:rPr>
                      <w:rFonts w:ascii="仿宋" w:hAnsi="仿宋" w:cs="仿宋" w:eastAsia="仿宋"/>
                      <w:sz w:val="22"/>
                    </w:rPr>
                    <w:t>企业端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70</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西安市人才住房管理平台</w:t>
                  </w:r>
                  <w:r>
                    <w:rPr>
                      <w:rFonts w:ascii="&quot;times new roman&quot;, &quot;serif&quot;" w:hAnsi="&quot;times new roman&quot;, &quot;serif&quot;" w:cs="&quot;times new roman&quot;, &quot;serif&quot;" w:eastAsia="&quot;times new roman&quot;, &quot;serif&quot;"/>
                      <w:sz w:val="22"/>
                    </w:rPr>
                    <w:t>-</w:t>
                  </w:r>
                  <w:r>
                    <w:rPr>
                      <w:rFonts w:ascii="仿宋" w:hAnsi="仿宋" w:cs="仿宋" w:eastAsia="仿宋"/>
                      <w:sz w:val="22"/>
                    </w:rPr>
                    <w:t>个人端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西安市人才住房管理平台</w:t>
                  </w:r>
                  <w:r>
                    <w:rPr>
                      <w:rFonts w:ascii="&quot;times new roman&quot;, &quot;serif&quot;" w:hAnsi="&quot;times new roman&quot;, &quot;serif&quot;" w:cs="&quot;times new roman&quot;, &quot;serif&quot;" w:eastAsia="&quot;times new roman&quot;, &quot;serif&quot;"/>
                      <w:sz w:val="22"/>
                    </w:rPr>
                    <w:t>-</w:t>
                  </w:r>
                  <w:r>
                    <w:rPr>
                      <w:rFonts w:ascii="仿宋" w:hAnsi="仿宋" w:cs="仿宋" w:eastAsia="仿宋"/>
                      <w:sz w:val="22"/>
                    </w:rPr>
                    <w:t>小区端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西安市人才住房管理平台</w:t>
                  </w:r>
                  <w:r>
                    <w:rPr>
                      <w:rFonts w:ascii="&quot;times new roman&quot;, &quot;serif&quot;" w:hAnsi="&quot;times new roman&quot;, &quot;serif&quot;" w:cs="&quot;times new roman&quot;, &quot;serif&quot;" w:eastAsia="&quot;times new roman&quot;, &quot;serif&quot;"/>
                      <w:sz w:val="22"/>
                    </w:rPr>
                    <w:t>-GIS</w:t>
                  </w:r>
                  <w:r>
                    <w:rPr>
                      <w:rFonts w:ascii="仿宋" w:hAnsi="仿宋" w:cs="仿宋" w:eastAsia="仿宋"/>
                      <w:sz w:val="22"/>
                    </w:rPr>
                    <w:t>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公租房配后管理系统</w:t>
                  </w:r>
                  <w:r>
                    <w:rPr>
                      <w:rFonts w:ascii="&quot;times new roman&quot;, &quot;serif&quot;" w:hAnsi="&quot;times new roman&quot;, &quot;serif&quot;" w:cs="&quot;times new roman&quot;, &quot;serif&quot;" w:eastAsia="&quot;times new roman&quot;, &quot;serif&quot;"/>
                      <w:sz w:val="22"/>
                    </w:rPr>
                    <w:t>-</w:t>
                  </w:r>
                  <w:r>
                    <w:rPr>
                      <w:rFonts w:ascii="仿宋" w:hAnsi="仿宋" w:cs="仿宋" w:eastAsia="仿宋"/>
                      <w:sz w:val="22"/>
                    </w:rPr>
                    <w:t>小区端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74</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公租房配后管理系统</w:t>
                  </w:r>
                  <w:r>
                    <w:rPr>
                      <w:rFonts w:ascii="&quot;times new roman&quot;, &quot;serif&quot;" w:hAnsi="&quot;times new roman&quot;, &quot;serif&quot;" w:cs="&quot;times new roman&quot;, &quot;serif&quot;" w:eastAsia="&quot;times new roman&quot;, &quot;serif&quot;"/>
                      <w:sz w:val="22"/>
                    </w:rPr>
                    <w:t>-</w:t>
                  </w:r>
                  <w:r>
                    <w:rPr>
                      <w:rFonts w:ascii="仿宋" w:hAnsi="仿宋" w:cs="仿宋" w:eastAsia="仿宋"/>
                      <w:sz w:val="22"/>
                    </w:rPr>
                    <w:t>物业移动端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75</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保障性住房档案整理系统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76</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公租房租赁信息服务平台（网页端）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77</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西安市住建局政务协同办公平台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78</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西安市住建局政务协同办公平台</w:t>
                  </w:r>
                  <w:r>
                    <w:rPr>
                      <w:rFonts w:ascii="&quot;times new roman&quot;, &quot;serif&quot;" w:hAnsi="&quot;times new roman&quot;, &quot;serif&quot;" w:cs="&quot;times new roman&quot;, &quot;serif&quot;" w:eastAsia="&quot;times new roman&quot;, &quot;serif&quot;"/>
                      <w:sz w:val="22"/>
                    </w:rPr>
                    <w:t>-</w:t>
                  </w:r>
                  <w:r>
                    <w:rPr>
                      <w:rFonts w:ascii="仿宋" w:hAnsi="仿宋" w:cs="仿宋" w:eastAsia="仿宋"/>
                      <w:sz w:val="22"/>
                    </w:rPr>
                    <w:t>移动端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79</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房产地理信息系统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80</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开发企业资质管理管理端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房屋安全鉴定管理端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房屋安全鉴定机构端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房屋安全鉴定机构名录和报告查询</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84</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长租企业备案及房屋租赁管理平台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85</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长租企业备案及房屋租赁管理平台（企业端）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86</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长租企业备案及房屋租赁管理平台（区县端）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87</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长租企业备案及房屋租赁管理平台（网页端）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88</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保回迁项目管理系统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89</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保交楼专项借款管理系统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90</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在建商品房项目信息填报管理系统</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91</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老旧小区管理系统（区县端）</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92</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西安市老旧小区改造可视化平台</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quot;serif&quot;" w:hAnsi="&quot;times new roman&quot;, &quot;serif&quot;" w:cs="&quot;times new roman&quot;, &quot;serif&quot;" w:eastAsia="&quot;times new roman&quot;, &quot;serif&quot;"/>
                      <w:color w:val="000000"/>
                      <w:sz w:val="22"/>
                    </w:rPr>
                    <w:t>93</w:t>
                  </w:r>
                </w:p>
              </w:tc>
              <w:tc>
                <w:tcPr>
                  <w:tcW w:type="dxa" w:w="21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 w:hAnsi="仿宋" w:cs="仿宋" w:eastAsia="仿宋"/>
                      <w:sz w:val="22"/>
                    </w:rPr>
                    <w:t>西安市老旧小区改造（管理端）</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sz w:val="19"/>
              </w:rPr>
              <w:t>二、技术要求</w:t>
            </w:r>
          </w:p>
          <w:p>
            <w:pPr>
              <w:pStyle w:val="null3"/>
              <w:ind w:firstLine="400"/>
              <w:jc w:val="both"/>
            </w:pPr>
            <w:r>
              <w:rPr>
                <w:rFonts w:ascii="宋体" w:hAnsi="宋体" w:cs="宋体" w:eastAsia="宋体"/>
                <w:sz w:val="19"/>
              </w:rPr>
              <w:t>（一）基本要求</w:t>
            </w:r>
          </w:p>
          <w:p>
            <w:pPr>
              <w:pStyle w:val="null3"/>
              <w:ind w:firstLine="400"/>
              <w:jc w:val="both"/>
            </w:pPr>
            <w:r>
              <w:rPr>
                <w:rFonts w:ascii="宋体" w:hAnsi="宋体" w:cs="宋体" w:eastAsia="宋体"/>
                <w:sz w:val="19"/>
              </w:rPr>
              <w:t>本项目提出了对内网和区县用户提供技术支持服务的总体要求，供应商须以此为依据提供满足西安市住房和城乡建设信息中心要求的技术支持服务方案。</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技术支持服务人员须了解西安市各房产业务办理流程及相关业务知识；</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技术支持服务人员须熟练掌握房产综合业务管理系统及各终端系统的操作流程、培训内容及相关问题的解决方法；</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针对内网提供</w:t>
            </w:r>
            <w:r>
              <w:rPr>
                <w:rFonts w:ascii="&quot;times new roman&quot;, &quot;serif&quot;" w:hAnsi="&quot;times new roman&quot;, &quot;serif&quot;" w:cs="&quot;times new roman&quot;, &quot;serif&quot;" w:eastAsia="&quot;times new roman&quot;, &quot;serif&quot;"/>
                <w:sz w:val="19"/>
              </w:rPr>
              <w:t>5*8</w:t>
            </w:r>
            <w:r>
              <w:rPr>
                <w:rFonts w:ascii="宋体" w:hAnsi="宋体" w:cs="宋体" w:eastAsia="宋体"/>
                <w:sz w:val="19"/>
              </w:rPr>
              <w:t>小时的驻场服务；</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4.</w:t>
            </w:r>
            <w:r>
              <w:rPr>
                <w:rFonts w:ascii="宋体" w:hAnsi="宋体" w:cs="宋体" w:eastAsia="宋体"/>
                <w:sz w:val="19"/>
              </w:rPr>
              <w:t>针对内网提供业务大厅共长期驻场</w:t>
            </w: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人，区县住建局长期驻场</w:t>
            </w: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人，另根据项目需求提供</w:t>
            </w: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人机动驻场。</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需要有明确的服务方式、服务流程及标准；</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6.</w:t>
            </w:r>
            <w:r>
              <w:rPr>
                <w:rFonts w:ascii="宋体" w:hAnsi="宋体" w:cs="宋体" w:eastAsia="宋体"/>
                <w:sz w:val="19"/>
              </w:rPr>
              <w:t>提供的技术支持服务必须包括但不限于以下服务方式：电话技术支持服务、现场服务、远程技术支持服务、系统巡检服务、回访服务及紧急故障处理服务等；</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7.</w:t>
            </w:r>
            <w:r>
              <w:rPr>
                <w:rFonts w:ascii="宋体" w:hAnsi="宋体" w:cs="宋体" w:eastAsia="宋体"/>
                <w:sz w:val="19"/>
              </w:rPr>
              <w:t>建立至少四级故障等级和相应的响应时间及相对应的服务机制；</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8.</w:t>
            </w:r>
            <w:r>
              <w:rPr>
                <w:rFonts w:ascii="宋体" w:hAnsi="宋体" w:cs="宋体" w:eastAsia="宋体"/>
                <w:sz w:val="19"/>
              </w:rPr>
              <w:t>技术支持服务响应时间必须以不影响用户业务办理为前提合理安排；</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9.</w:t>
            </w:r>
            <w:r>
              <w:rPr>
                <w:rFonts w:ascii="宋体" w:hAnsi="宋体" w:cs="宋体" w:eastAsia="宋体"/>
                <w:sz w:val="19"/>
              </w:rPr>
              <w:t>统一调度服务资源，及时响应用户服务请求；</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10.</w:t>
            </w:r>
            <w:r>
              <w:rPr>
                <w:rFonts w:ascii="宋体" w:hAnsi="宋体" w:cs="宋体" w:eastAsia="宋体"/>
                <w:sz w:val="19"/>
              </w:rPr>
              <w:t>建立服务响应体系，对各个业务相关系统配备相应技术支持工程师；</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11.</w:t>
            </w:r>
            <w:r>
              <w:rPr>
                <w:rFonts w:ascii="宋体" w:hAnsi="宋体" w:cs="宋体" w:eastAsia="宋体"/>
                <w:sz w:val="19"/>
              </w:rPr>
              <w:t>对热线服务进行服务质量监控，每一个现场服务都进行电话回访；</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12.</w:t>
            </w:r>
            <w:r>
              <w:rPr>
                <w:rFonts w:ascii="宋体" w:hAnsi="宋体" w:cs="宋体" w:eastAsia="宋体"/>
                <w:sz w:val="19"/>
              </w:rPr>
              <w:t>用户问题解决过程透明化，用户可随时了解问题解决的进展状态。</w:t>
            </w:r>
          </w:p>
          <w:p>
            <w:pPr>
              <w:pStyle w:val="null3"/>
              <w:ind w:firstLine="400"/>
              <w:jc w:val="both"/>
            </w:pPr>
            <w:r>
              <w:rPr>
                <w:rFonts w:ascii="宋体" w:hAnsi="宋体" w:cs="宋体" w:eastAsia="宋体"/>
                <w:sz w:val="19"/>
              </w:rPr>
              <w:t>（二）服务团队及人员配置</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岗位结构</w:t>
            </w:r>
          </w:p>
          <w:p>
            <w:pPr>
              <w:pStyle w:val="null3"/>
              <w:jc w:val="both"/>
            </w:pPr>
            <w:r>
              <w:rPr>
                <w:rFonts w:ascii="宋体" w:hAnsi="宋体" w:cs="宋体" w:eastAsia="宋体"/>
                <w:sz w:val="19"/>
              </w:rPr>
              <w:t>房产综合业务管理系统技术支持服务组织结构的构成要素应与技术服务活动角色相对应，成员主要由项目经理、高级技术支持工程、技术支持工程师构成。</w:t>
            </w:r>
          </w:p>
          <w:tbl>
            <w:tblPr>
              <w:tblBorders>
                <w:top w:val="none" w:color="000000" w:sz="4"/>
                <w:left w:val="none" w:color="000000" w:sz="4"/>
                <w:bottom w:val="none" w:color="000000" w:sz="4"/>
                <w:right w:val="none" w:color="000000" w:sz="4"/>
                <w:insideH w:val="none"/>
                <w:insideV w:val="none"/>
              </w:tblBorders>
            </w:tblPr>
            <w:tblGrid>
              <w:gridCol w:w="178"/>
              <w:gridCol w:w="124"/>
              <w:gridCol w:w="389"/>
              <w:gridCol w:w="1862"/>
            </w:tblGrid>
            <w:tr>
              <w:tc>
                <w:tcPr>
                  <w:tcW w:type="dxa" w:w="178"/>
                  <w:tcBorders>
                    <w:top w:val="single" w:color="000000" w:sz="4"/>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宋体" w:hAnsi="宋体" w:cs="宋体" w:eastAsia="宋体"/>
                      <w:b/>
                      <w:sz w:val="19"/>
                    </w:rPr>
                    <w:t>岗位名称</w:t>
                  </w:r>
                </w:p>
              </w:tc>
              <w:tc>
                <w:tcPr>
                  <w:tcW w:type="dxa" w:w="124"/>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宋体" w:hAnsi="宋体" w:cs="宋体" w:eastAsia="宋体"/>
                      <w:b/>
                      <w:sz w:val="19"/>
                    </w:rPr>
                    <w:t>人数</w:t>
                  </w:r>
                </w:p>
              </w:tc>
              <w:tc>
                <w:tcPr>
                  <w:tcW w:type="dxa" w:w="389"/>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宋体" w:hAnsi="宋体" w:cs="宋体" w:eastAsia="宋体"/>
                      <w:b/>
                      <w:sz w:val="19"/>
                    </w:rPr>
                    <w:t>工作分配</w:t>
                  </w:r>
                </w:p>
              </w:tc>
              <w:tc>
                <w:tcPr>
                  <w:tcW w:type="dxa" w:w="1862"/>
                  <w:tcBorders>
                    <w:top w:val="single" w:color="000000" w:sz="4"/>
                    <w:left w:val="none" w:color="000000" w:sz="4"/>
                    <w:bottom w:val="single" w:color="000000" w:sz="4"/>
                    <w:right w:val="single" w:color="000000" w:sz="4"/>
                  </w:tcBorders>
                  <w:shd w:fill="F1F1F1"/>
                  <w:tcMar>
                    <w:top w:type="dxa" w:w="0"/>
                    <w:left w:type="dxa" w:w="105"/>
                    <w:bottom w:type="dxa" w:w="0"/>
                    <w:right w:type="dxa" w:w="105"/>
                  </w:tcMar>
                  <w:vAlign w:val="top"/>
                </w:tcPr>
                <w:p>
                  <w:pPr>
                    <w:pStyle w:val="null3"/>
                    <w:ind w:firstLine="402"/>
                    <w:jc w:val="center"/>
                  </w:pPr>
                  <w:r>
                    <w:rPr>
                      <w:rFonts w:ascii="宋体" w:hAnsi="宋体" w:cs="宋体" w:eastAsia="宋体"/>
                      <w:b/>
                      <w:sz w:val="19"/>
                    </w:rPr>
                    <w:t>岗位说明</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项目经理（长期驻场）</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项目总负责，驻场西安市住建局</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全面负责项目各项工作，进行沟通确保项目目标实现、制定项目实施计划、保证技术支持工作顺利开展、进行项目质量控制等工作；负责技术支持小组内部人员的管理、考核、培训及对外的联络。负责接听</w:t>
                  </w:r>
                  <w:r>
                    <w:rPr>
                      <w:rFonts w:ascii="&quot;times new roman&quot;, &quot;serif&quot;" w:hAnsi="&quot;times new roman&quot;, &quot;serif&quot;" w:cs="&quot;times new roman&quot;, &quot;serif&quot;" w:eastAsia="&quot;times new roman&quot;, &quot;serif&quot;"/>
                      <w:sz w:val="19"/>
                    </w:rPr>
                    <w:t>24</w:t>
                  </w:r>
                  <w:r>
                    <w:rPr>
                      <w:rFonts w:ascii="宋体" w:hAnsi="宋体" w:cs="宋体" w:eastAsia="宋体"/>
                      <w:sz w:val="19"/>
                    </w:rPr>
                    <w:t>小时紧急故障电话，负责驻场西安市住建局现场支持系统用户。</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高级技术支持工程师（长期驻场）</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在西安市住建局、城北交易大厅、城南交易大厅、高新管委会、区县住建局（房管所）及指定的地址进行驻场服务，负责系统用户电话咨询、解答用户问题。</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、电话接听：负责所有固定电话接听，在正常工作日内，接听用户的所有电话；</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、电话预约派遣：对于超出电话指导能够解答问题的范围，进行详细登记，并通知工程师上门进行一对一指导；</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、现场技术支持：根据负责区域、工作密集程度进行安排，到用户办公环境中进行现场指导，排除故障；</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4</w:t>
                  </w:r>
                  <w:r>
                    <w:rPr>
                      <w:rFonts w:ascii="宋体" w:hAnsi="宋体" w:cs="宋体" w:eastAsia="宋体"/>
                      <w:sz w:val="19"/>
                    </w:rPr>
                    <w:t>、巡检技术支持：根据要求制定巡检计划，检查系统工作状况，全面了解系统在一段时间内的工作状况，评估其性能，诊断故障隐患；根据用户工作环境情况对系统进行常规维护，消除故障隐患；</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、紧急技术支持：当用户系统发生故障或问题时向技术支持组报修，资深技术支持工程师会在最短时间内赶往用户场地进行的技术支持，并保证响应时间和解决时限；</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6</w:t>
                  </w:r>
                  <w:r>
                    <w:rPr>
                      <w:rFonts w:ascii="宋体" w:hAnsi="宋体" w:cs="宋体" w:eastAsia="宋体"/>
                      <w:sz w:val="19"/>
                    </w:rPr>
                    <w:t>、需求调研：了解用户需求，确认后与开发部人员进行用户需求分析，得到有效的解决方案，交送用户签字确认。</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技术支持工程师（机动驻场）</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负责用户咨询电话的整理；疑难问题跟进并协助资深技术支持工程师解决，反馈处理结果；负责所有现场支持用户的回访工作；整理本项目所有文档，并进行统计分析等；根据项目要求，机动提供驻场服务。</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、故障记录：对用户提供的故障资料和时间进行记录；</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、对所有服务用户进行电话回访，主动询问用户要求及系统运行状况，并详细记录；</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、投诉建议：面对服务过程中服务人员的不规范操作，认真记录投诉建议，整理并汇总后转由文档管理组负责归集整理；</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4</w:t>
                  </w:r>
                  <w:r>
                    <w:rPr>
                      <w:rFonts w:ascii="宋体" w:hAnsi="宋体" w:cs="宋体" w:eastAsia="宋体"/>
                      <w:sz w:val="19"/>
                    </w:rPr>
                    <w:t>、电话接听记录单的归集，以</w:t>
                  </w:r>
                  <w:r>
                    <w:rPr>
                      <w:rFonts w:ascii="&quot;times new roman&quot;, &quot;serif&quot;" w:hAnsi="&quot;times new roman&quot;, &quot;serif&quot;" w:cs="&quot;times new roman&quot;, &quot;serif&quot;" w:eastAsia="&quot;times new roman&quot;, &quot;serif&quot;"/>
                      <w:sz w:val="19"/>
                    </w:rPr>
                    <w:t>excel</w:t>
                  </w:r>
                  <w:r>
                    <w:rPr>
                      <w:rFonts w:ascii="宋体" w:hAnsi="宋体" w:cs="宋体" w:eastAsia="宋体"/>
                      <w:sz w:val="19"/>
                    </w:rPr>
                    <w:t>文档形式按月上报；</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、电话派工单的整理、打印、派发，并以</w:t>
                  </w:r>
                  <w:r>
                    <w:rPr>
                      <w:rFonts w:ascii="&quot;times new roman&quot;, &quot;serif&quot;" w:hAnsi="&quot;times new roman&quot;, &quot;serif&quot;" w:cs="&quot;times new roman&quot;, &quot;serif&quot;" w:eastAsia="&quot;times new roman&quot;, &quot;serif&quot;"/>
                      <w:sz w:val="19"/>
                    </w:rPr>
                    <w:t>excel</w:t>
                  </w:r>
                  <w:r>
                    <w:rPr>
                      <w:rFonts w:ascii="宋体" w:hAnsi="宋体" w:cs="宋体" w:eastAsia="宋体"/>
                      <w:sz w:val="19"/>
                    </w:rPr>
                    <w:t>文档形式按月上报；</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6</w:t>
                  </w:r>
                  <w:r>
                    <w:rPr>
                      <w:rFonts w:ascii="宋体" w:hAnsi="宋体" w:cs="宋体" w:eastAsia="宋体"/>
                      <w:sz w:val="19"/>
                    </w:rPr>
                    <w:t>、将投诉建议类文档统一整理为电子版（</w:t>
                  </w:r>
                  <w:r>
                    <w:rPr>
                      <w:rFonts w:ascii="&quot;times new roman&quot;, &quot;serif&quot;" w:hAnsi="&quot;times new roman&quot;, &quot;serif&quot;" w:cs="&quot;times new roman&quot;, &quot;serif&quot;" w:eastAsia="&quot;times new roman&quot;, &quot;serif&quot;"/>
                      <w:sz w:val="19"/>
                    </w:rPr>
                    <w:t>excel</w:t>
                  </w:r>
                  <w:r>
                    <w:rPr>
                      <w:rFonts w:ascii="宋体" w:hAnsi="宋体" w:cs="宋体" w:eastAsia="宋体"/>
                      <w:sz w:val="19"/>
                    </w:rPr>
                    <w:t>文档）按月上报；</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7</w:t>
                  </w:r>
                  <w:r>
                    <w:rPr>
                      <w:rFonts w:ascii="宋体" w:hAnsi="宋体" w:cs="宋体" w:eastAsia="宋体"/>
                      <w:sz w:val="19"/>
                    </w:rPr>
                    <w:t>、对于已派发的派工单，连同技术支持工程师上门处理单进行汇总整理，封存，按月上报；</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8</w:t>
                  </w:r>
                  <w:r>
                    <w:rPr>
                      <w:rFonts w:ascii="宋体" w:hAnsi="宋体" w:cs="宋体" w:eastAsia="宋体"/>
                      <w:sz w:val="19"/>
                    </w:rPr>
                    <w:t>、汇总、整理巡检单，并按月上报。</w:t>
                  </w:r>
                </w:p>
              </w:tc>
            </w:tr>
          </w:tbl>
          <w:p>
            <w:pPr>
              <w:pStyle w:val="null3"/>
              <w:numPr>
                <w:ilvl w:val="0"/>
                <w:numId w:val="1"/>
              </w:numPr>
              <w:jc w:val="both"/>
            </w:pPr>
            <w:r>
              <w:rPr>
                <w:rFonts w:ascii="宋体" w:hAnsi="宋体" w:cs="宋体" w:eastAsia="宋体"/>
                <w:sz w:val="19"/>
              </w:rPr>
              <w:t>人员要求</w:t>
            </w:r>
          </w:p>
          <w:tbl>
            <w:tblPr>
              <w:tblBorders>
                <w:top w:val="none" w:color="000000" w:sz="4"/>
                <w:left w:val="none" w:color="000000" w:sz="4"/>
                <w:bottom w:val="none" w:color="000000" w:sz="4"/>
                <w:right w:val="none" w:color="000000" w:sz="4"/>
                <w:insideH w:val="none"/>
                <w:insideV w:val="none"/>
              </w:tblBorders>
            </w:tblPr>
            <w:tblGrid>
              <w:gridCol w:w="362"/>
              <w:gridCol w:w="2191"/>
            </w:tblGrid>
            <w:tr>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9"/>
                    </w:rPr>
                    <w:t>人员类别</w:t>
                  </w:r>
                </w:p>
              </w:tc>
              <w:tc>
                <w:tcPr>
                  <w:tcW w:type="dxa" w:w="2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9"/>
                    </w:rPr>
                    <w:t>人员要求标准</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技术支持项目经理</w:t>
                  </w:r>
                </w:p>
              </w:tc>
              <w:tc>
                <w:tcPr>
                  <w:tcW w:type="dxa" w:w="2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、具备</w:t>
                  </w:r>
                  <w:r>
                    <w:rPr>
                      <w:rFonts w:ascii="&quot;times new roman&quot;, &quot;serif&quot;" w:hAnsi="&quot;times new roman&quot;, &quot;serif&quot;" w:cs="&quot;times new roman&quot;, &quot;serif&quot;" w:eastAsia="&quot;times new roman&quot;, &quot;serif&quot;"/>
                      <w:sz w:val="19"/>
                    </w:rPr>
                    <w:t>8</w:t>
                  </w:r>
                  <w:r>
                    <w:rPr>
                      <w:rFonts w:ascii="宋体" w:hAnsi="宋体" w:cs="宋体" w:eastAsia="宋体"/>
                      <w:sz w:val="19"/>
                    </w:rPr>
                    <w:t>年以上本行业技术支持从业经验及</w:t>
                  </w: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年以上本行业项目管理经验；</w:t>
                  </w:r>
                </w:p>
                <w:p>
                  <w:pPr>
                    <w:pStyle w:val="null3"/>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、大专及以上学历。</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高级技术支持工程师</w:t>
                  </w:r>
                </w:p>
              </w:tc>
              <w:tc>
                <w:tcPr>
                  <w:tcW w:type="dxa" w:w="2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、具备</w:t>
                  </w: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年以上本行业技术支持从业经验；</w:t>
                  </w:r>
                </w:p>
                <w:p>
                  <w:pPr>
                    <w:pStyle w:val="null3"/>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、大专及以上学历。</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技术支持工程师</w:t>
                  </w:r>
                </w:p>
              </w:tc>
              <w:tc>
                <w:tcPr>
                  <w:tcW w:type="dxa" w:w="2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、具备</w:t>
                  </w: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年以上本行业技术支持从业经验；</w:t>
                  </w:r>
                </w:p>
                <w:p>
                  <w:pPr>
                    <w:pStyle w:val="null3"/>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、大专及以上学历。</w:t>
                  </w:r>
                </w:p>
              </w:tc>
            </w:tr>
          </w:tbl>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驻场要求</w:t>
            </w:r>
          </w:p>
          <w:p>
            <w:pPr>
              <w:pStyle w:val="null3"/>
              <w:ind w:firstLine="400"/>
              <w:jc w:val="both"/>
            </w:pPr>
            <w:r>
              <w:rPr>
                <w:rFonts w:ascii="宋体" w:hAnsi="宋体" w:cs="宋体" w:eastAsia="宋体"/>
                <w:sz w:val="19"/>
              </w:rPr>
              <w:t>驻场工程师的正常工作时间为每周五天（周一至周五），每天八小时，住建局及各业务大厅共长期驻场</w:t>
            </w: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人，区县住建局长期驻场</w:t>
            </w: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人，另根据项目需求提供</w:t>
            </w: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人机动驻场。</w:t>
            </w:r>
          </w:p>
          <w:p>
            <w:pPr>
              <w:pStyle w:val="null3"/>
              <w:ind w:firstLine="400"/>
              <w:jc w:val="both"/>
            </w:pPr>
            <w:r>
              <w:rPr>
                <w:rFonts w:ascii="宋体" w:hAnsi="宋体" w:cs="宋体" w:eastAsia="宋体"/>
                <w:sz w:val="19"/>
              </w:rPr>
              <w:t>（三）技术支持服务方式要求</w:t>
            </w:r>
          </w:p>
          <w:tbl>
            <w:tblPr>
              <w:tblBorders>
                <w:top w:val="none" w:color="000000" w:sz="4"/>
                <w:left w:val="none" w:color="000000" w:sz="4"/>
                <w:bottom w:val="none" w:color="000000" w:sz="4"/>
                <w:right w:val="none" w:color="000000" w:sz="4"/>
                <w:insideH w:val="none"/>
                <w:insideV w:val="none"/>
              </w:tblBorders>
            </w:tblPr>
            <w:tblGrid>
              <w:gridCol w:w="293"/>
              <w:gridCol w:w="2260"/>
            </w:tblGrid>
            <w:tr>
              <w:tc>
                <w:tcPr>
                  <w:tcW w:type="dxa" w:w="2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19"/>
                    </w:rPr>
                    <w:t>服务方式</w:t>
                  </w:r>
                </w:p>
              </w:tc>
              <w:tc>
                <w:tcPr>
                  <w:tcW w:type="dxa" w:w="22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19"/>
                    </w:rPr>
                    <w:t>具体要求</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电话技术支持服务</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供应商需提供支持工作日响应的热线电话以提供电话技术支持服务。对客户问题的解决过程进行跟踪，定期向客户通报问题处理状态。要求至少包括但不仅限于以下内容：</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、电话接听人员要熟悉相关政策法规和业务流程，并熟练掌握系统操作和业务流程；</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、接听电话时应文明、礼貌，态度应热情、谦和、诚恳，回答问题简明、扼要；</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、电话接听需详细记录问题描述及提供的解决方案。</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驻场服务</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供应商需针对内网用户提供在服务周期内不少于</w:t>
                  </w: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人的驻场服务，另根据区县用户的需求提供不少于</w:t>
                  </w: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人的驻场服务，帮助客户提升整体技术能力，及时为用户提供系统需求采集及分析、系统培训、业务咨询、问题解答、故障诊断、故障排除等提供技术支持服务。</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现场服务</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供应商技术人员响应后应迅速赶赴现场，在出现问题时看到现象并做出判断，定位问题，找到处理办法。要求至少包括但不仅限于以下内容：</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、技术服务人员必须确认客户信息及问题；</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、技术服务人员须根据用户的问题描述，制定解决方案，同时准备相关的工具、软件等；</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、若无法现场解决客户问题，应及时联系技术负责人，汇报客户问题，获取最新的解决方案。</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远程技术支持服务</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供应商技术人员通过远程联机方式快速解决用户简单问题，弥补现场支持的空间距离造成的损失。</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定期回访服务</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供应商需对每次上门服务进行及时回访，回访方式至少包括但不限于电话回访。回访需根据以下原则进行：</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、及时、准确回访原则；</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、推动问题解决原则；</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、及时反馈回访信息原则；</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4</w:t>
                  </w:r>
                  <w:r>
                    <w:rPr>
                      <w:rFonts w:ascii="宋体" w:hAnsi="宋体" w:cs="宋体" w:eastAsia="宋体"/>
                      <w:sz w:val="19"/>
                    </w:rPr>
                    <w:t>、用户满意原则。</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现场巡检服务</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供应商需针对区县用户所有服务点制定频率不低于</w:t>
                  </w:r>
                  <w:r>
                    <w:rPr>
                      <w:rFonts w:ascii="&quot;times new roman&quot;, &quot;serif&quot;" w:hAnsi="&quot;times new roman&quot;, &quot;serif&quot;" w:cs="&quot;times new roman&quot;, &quot;serif&quot;" w:eastAsia="&quot;times new roman&quot;, &quot;serif&quot;"/>
                      <w:sz w:val="19"/>
                    </w:rPr>
                    <w:t>50</w:t>
                  </w:r>
                  <w:r>
                    <w:rPr>
                      <w:rFonts w:ascii="宋体" w:hAnsi="宋体" w:cs="宋体" w:eastAsia="宋体"/>
                      <w:sz w:val="19"/>
                    </w:rPr>
                    <w:t>个工作日的巡检周期，针对系统制定巡检计划，列出巡检重点、内容和要求，并在巡检过程中，对提出的操作问题进行详细解答。</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紧急故障处理服务</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供应商需至少满足但不仅限于以下内容：</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、提供全天</w:t>
                  </w:r>
                  <w:r>
                    <w:rPr>
                      <w:rFonts w:ascii="&quot;times new roman&quot;, &quot;serif&quot;" w:hAnsi="&quot;times new roman&quot;, &quot;serif&quot;" w:cs="&quot;times new roman&quot;, &quot;serif&quot;" w:eastAsia="&quot;times new roman&quot;, &quot;serif&quot;"/>
                      <w:sz w:val="19"/>
                    </w:rPr>
                    <w:t>7*24</w:t>
                  </w:r>
                  <w:r>
                    <w:rPr>
                      <w:rFonts w:ascii="宋体" w:hAnsi="宋体" w:cs="宋体" w:eastAsia="宋体"/>
                      <w:sz w:val="19"/>
                    </w:rPr>
                    <w:t>小时紧急情况技术支持热线；</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、不高于</w:t>
                  </w:r>
                  <w:r>
                    <w:rPr>
                      <w:rFonts w:ascii="&quot;times new roman&quot;, &quot;serif&quot;" w:hAnsi="&quot;times new roman&quot;, &quot;serif&quot;" w:cs="&quot;times new roman&quot;, &quot;serif&quot;" w:eastAsia="&quot;times new roman&quot;, &quot;serif&quot;"/>
                      <w:sz w:val="19"/>
                    </w:rPr>
                    <w:t>0.5</w:t>
                  </w:r>
                  <w:r>
                    <w:rPr>
                      <w:rFonts w:ascii="宋体" w:hAnsi="宋体" w:cs="宋体" w:eastAsia="宋体"/>
                      <w:sz w:val="19"/>
                    </w:rPr>
                    <w:t>小时的全天响应时间；</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w:t>
                  </w: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小时以内技术支持人员抵达现场服务。</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系统操作培训</w:t>
                  </w:r>
                </w:p>
              </w:tc>
              <w:tc>
                <w:tcPr>
                  <w:tcW w:type="dxa" w:w="2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房产综合业务管理系统应用过程中或更新后的对内系统培训；</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年度计划的相关单位定期系统培训；</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配合相关单位进行的系统培训。</w:t>
                  </w:r>
                </w:p>
                <w:p>
                  <w:pPr>
                    <w:pStyle w:val="null3"/>
                    <w:ind w:firstLine="400"/>
                    <w:jc w:val="both"/>
                  </w:pPr>
                </w:p>
              </w:tc>
            </w:tr>
          </w:tbl>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sz w:val="19"/>
              </w:rPr>
              <w:t>三、服务要求</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服务内容</w:t>
            </w:r>
          </w:p>
          <w:p>
            <w:pPr>
              <w:pStyle w:val="null3"/>
              <w:ind w:firstLine="400"/>
              <w:jc w:val="both"/>
            </w:pPr>
            <w:r>
              <w:rPr>
                <w:rFonts w:ascii="宋体" w:hAnsi="宋体" w:cs="宋体" w:eastAsia="宋体"/>
                <w:sz w:val="19"/>
              </w:rPr>
              <w:t>（一）故障处理</w:t>
            </w:r>
          </w:p>
          <w:p>
            <w:pPr>
              <w:pStyle w:val="null3"/>
              <w:ind w:firstLine="400"/>
              <w:jc w:val="both"/>
            </w:pPr>
            <w:r>
              <w:rPr>
                <w:rFonts w:ascii="宋体" w:hAnsi="宋体" w:cs="宋体" w:eastAsia="宋体"/>
                <w:sz w:val="19"/>
              </w:rPr>
              <w:t>故障处理主要包括故障定位和故障解决。</w:t>
            </w:r>
          </w:p>
          <w:p>
            <w:pPr>
              <w:pStyle w:val="null3"/>
              <w:ind w:firstLine="400"/>
              <w:jc w:val="both"/>
            </w:pPr>
            <w:r>
              <w:rPr>
                <w:rFonts w:ascii="宋体" w:hAnsi="宋体" w:cs="宋体" w:eastAsia="宋体"/>
                <w:sz w:val="19"/>
              </w:rPr>
              <w:t>故障处理是针对独立案件而提出的服务请求设置。每一个作为服务请求提出的故障解决要求，都要经过技术支持服务体系的管理，最终获得故障的解决。</w:t>
            </w:r>
          </w:p>
          <w:p>
            <w:pPr>
              <w:pStyle w:val="null3"/>
              <w:ind w:firstLine="400"/>
              <w:jc w:val="both"/>
            </w:pPr>
            <w:r>
              <w:rPr>
                <w:rFonts w:ascii="宋体" w:hAnsi="宋体" w:cs="宋体" w:eastAsia="宋体"/>
                <w:sz w:val="19"/>
              </w:rPr>
              <w:t>故障处理的服务范围包括但不限于：</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、系统运行、升级期间出现故障，技术服务人员及时到现场进行问题处理、解决；</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、在系统出现非停机性质的故障时，如系统运行缓慢，技术服务人员及时寻找原因，到现场进行问题处理、解决；</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、涉及操作问题、环境问题（指与应用软件相关的支撑平台问题，包括数据库、操作系统、硬件设施及网络）或其他问题，技术服务人员提供故障的定位和咨询，并协助用户分析故障原因；</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4</w:t>
            </w:r>
            <w:r>
              <w:rPr>
                <w:rFonts w:ascii="宋体" w:hAnsi="宋体" w:cs="宋体" w:eastAsia="宋体"/>
                <w:sz w:val="19"/>
              </w:rPr>
              <w:t>、对于紧急故障，提供工作时间以外的应急技术支持和故障分析；</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、提出故障处理意见，进行故障排除、系统调优或系统重置。</w:t>
            </w:r>
          </w:p>
          <w:p>
            <w:pPr>
              <w:pStyle w:val="null3"/>
              <w:ind w:firstLine="400"/>
              <w:jc w:val="both"/>
            </w:pPr>
            <w:r>
              <w:rPr>
                <w:rFonts w:ascii="宋体" w:hAnsi="宋体" w:cs="宋体" w:eastAsia="宋体"/>
                <w:sz w:val="19"/>
              </w:rPr>
              <w:t>（二）问题解答</w:t>
            </w:r>
          </w:p>
          <w:p>
            <w:pPr>
              <w:pStyle w:val="null3"/>
              <w:ind w:firstLine="400"/>
              <w:jc w:val="both"/>
            </w:pPr>
            <w:r>
              <w:rPr>
                <w:rFonts w:ascii="宋体" w:hAnsi="宋体" w:cs="宋体" w:eastAsia="宋体"/>
                <w:sz w:val="19"/>
              </w:rPr>
              <w:t>问题解答的服务范围包括但不限于：</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、涉及房产管理信息综合系统的功能操作、日常维护等技术问题；</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、针对部门的业务处理方法、原理及流程等如何在系统功能上实现。</w:t>
            </w:r>
          </w:p>
          <w:p>
            <w:pPr>
              <w:pStyle w:val="null3"/>
              <w:ind w:firstLine="400"/>
              <w:jc w:val="both"/>
            </w:pPr>
            <w:r>
              <w:rPr>
                <w:rFonts w:ascii="宋体" w:hAnsi="宋体" w:cs="宋体" w:eastAsia="宋体"/>
                <w:sz w:val="19"/>
              </w:rPr>
              <w:t>（三）系统培训</w:t>
            </w:r>
          </w:p>
          <w:p>
            <w:pPr>
              <w:pStyle w:val="null3"/>
              <w:ind w:firstLine="400"/>
              <w:jc w:val="both"/>
            </w:pPr>
            <w:r>
              <w:rPr>
                <w:rFonts w:ascii="宋体" w:hAnsi="宋体" w:cs="宋体" w:eastAsia="宋体"/>
                <w:sz w:val="19"/>
              </w:rPr>
              <w:t>系统培训包括：</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、综合系统应用过程中或更新升级后的对内技术培训；</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、年度计划的局属相关单位定期内部培训；</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、配合局属相关单位进行的系统培训。</w:t>
            </w:r>
          </w:p>
          <w:p>
            <w:pPr>
              <w:pStyle w:val="null3"/>
              <w:ind w:firstLine="400"/>
              <w:jc w:val="both"/>
            </w:pPr>
            <w:r>
              <w:rPr>
                <w:rFonts w:ascii="宋体" w:hAnsi="宋体" w:cs="宋体" w:eastAsia="宋体"/>
                <w:sz w:val="19"/>
              </w:rPr>
              <w:t>（四）系统巡检</w:t>
            </w:r>
          </w:p>
          <w:p>
            <w:pPr>
              <w:pStyle w:val="null3"/>
              <w:ind w:firstLine="400"/>
              <w:jc w:val="both"/>
            </w:pPr>
            <w:r>
              <w:rPr>
                <w:rFonts w:ascii="宋体" w:hAnsi="宋体" w:cs="宋体" w:eastAsia="宋体"/>
                <w:sz w:val="19"/>
              </w:rPr>
              <w:t>系统巡检的服务内容包括：</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、内网进行全年全天候的巡检。</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、对各区县所使用的区县房产综合系统进行每月一次的定期巡检。</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、通过巡检及时指导和解决系统存在的问题。</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4</w:t>
            </w:r>
            <w:r>
              <w:rPr>
                <w:rFonts w:ascii="宋体" w:hAnsi="宋体" w:cs="宋体" w:eastAsia="宋体"/>
                <w:sz w:val="19"/>
              </w:rPr>
              <w:t>、协助用户，排除潜在的隐患，保证系统的正常使用。</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5</w:t>
            </w:r>
            <w:r>
              <w:rPr>
                <w:rFonts w:ascii="宋体" w:hAnsi="宋体" w:cs="宋体" w:eastAsia="宋体"/>
                <w:sz w:val="19"/>
              </w:rPr>
              <w:t>、督促用户正确使用系统，遵守操作规程。</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6</w:t>
            </w:r>
            <w:r>
              <w:rPr>
                <w:rFonts w:ascii="宋体" w:hAnsi="宋体" w:cs="宋体" w:eastAsia="宋体"/>
                <w:sz w:val="19"/>
              </w:rPr>
              <w:t>、对重点用户应做到优先巡检、优先维修、认真做好巡检记录，对存在问题及时整改。</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7</w:t>
            </w:r>
            <w:r>
              <w:rPr>
                <w:rFonts w:ascii="宋体" w:hAnsi="宋体" w:cs="宋体" w:eastAsia="宋体"/>
                <w:sz w:val="19"/>
              </w:rPr>
              <w:t>、当用户对系统提出任何意见或建议时，填写</w:t>
            </w:r>
            <w:r>
              <w:rPr>
                <w:rFonts w:ascii="&quot;times new roman&quot;, &quot;serif&quot;" w:hAnsi="&quot;times new roman&quot;, &quot;serif&quot;" w:cs="&quot;times new roman&quot;, &quot;serif&quot;" w:eastAsia="&quot;times new roman&quot;, &quot;serif&quot;"/>
                <w:sz w:val="19"/>
              </w:rPr>
              <w:t>“</w:t>
            </w:r>
            <w:r>
              <w:rPr>
                <w:rFonts w:ascii="宋体" w:hAnsi="宋体" w:cs="宋体" w:eastAsia="宋体"/>
                <w:sz w:val="19"/>
              </w:rPr>
              <w:t>系统用户意见反馈表</w:t>
            </w:r>
            <w:r>
              <w:rPr>
                <w:rFonts w:ascii="&quot;times new roman&quot;, &quot;serif&quot;" w:hAnsi="&quot;times new roman&quot;, &quot;serif&quot;" w:cs="&quot;times new roman&quot;, &quot;serif&quot;" w:eastAsia="&quot;times new roman&quot;, &quot;serif&quot;"/>
                <w:sz w:val="19"/>
              </w:rPr>
              <w:t>”</w:t>
            </w:r>
            <w:r>
              <w:rPr>
                <w:rFonts w:ascii="宋体" w:hAnsi="宋体" w:cs="宋体" w:eastAsia="宋体"/>
                <w:sz w:val="19"/>
              </w:rPr>
              <w:t>提交给部门主管。</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8</w:t>
            </w:r>
            <w:r>
              <w:rPr>
                <w:rFonts w:ascii="宋体" w:hAnsi="宋体" w:cs="宋体" w:eastAsia="宋体"/>
                <w:sz w:val="19"/>
              </w:rPr>
              <w:t>、每次巡检结束后，主管应认真汇总、总结、分析系统用户反馈意见，及时将结果与相关部门进行通告，并研究解决方法。</w:t>
            </w:r>
          </w:p>
          <w:p>
            <w:pPr>
              <w:pStyle w:val="null3"/>
              <w:ind w:firstLine="400"/>
              <w:jc w:val="both"/>
            </w:pPr>
            <w:r>
              <w:rPr>
                <w:rFonts w:ascii="宋体" w:hAnsi="宋体" w:cs="宋体" w:eastAsia="宋体"/>
                <w:sz w:val="19"/>
              </w:rPr>
              <w:t>（五）需求调研</w:t>
            </w:r>
          </w:p>
          <w:p>
            <w:pPr>
              <w:pStyle w:val="null3"/>
              <w:ind w:firstLine="400"/>
              <w:jc w:val="both"/>
            </w:pPr>
            <w:r>
              <w:rPr>
                <w:rFonts w:ascii="宋体" w:hAnsi="宋体" w:cs="宋体" w:eastAsia="宋体"/>
                <w:sz w:val="19"/>
              </w:rPr>
              <w:t>需求调研是技术支持服务工作的重要内容，具体的工作内容如下：</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1.</w:t>
            </w:r>
            <w:r>
              <w:rPr>
                <w:rFonts w:ascii="宋体" w:hAnsi="宋体" w:cs="宋体" w:eastAsia="宋体"/>
                <w:sz w:val="19"/>
              </w:rPr>
              <w:t>当系统用户对系统提出修改、新增功能或其他期望时，技术支持工程师需清楚理解用户的真实需求，并将用户需求详细地记录在《系统维护记录单》中，由系统用户确认；</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技术支持工程师在确认系统用户需求后需与开发部人员进行用户需求分析，得到有效的解决方案，其解决方案应由系统用户签字确认；</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3.</w:t>
            </w:r>
            <w:r>
              <w:rPr>
                <w:rFonts w:ascii="宋体" w:hAnsi="宋体" w:cs="宋体" w:eastAsia="宋体"/>
                <w:sz w:val="19"/>
              </w:rPr>
              <w:t>编辑《软件开发业务需求单》，并与系统用户分析该解决方案，若用户认可，需由用户签字确认，并将签字确认过的报告交由开发人员备案；若用户不认可，技术支持工程师将与用户进行进一步的沟通，直到用户对解决方案认可为止；</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4.</w:t>
            </w:r>
            <w:r>
              <w:rPr>
                <w:rFonts w:ascii="宋体" w:hAnsi="宋体" w:cs="宋体" w:eastAsia="宋体"/>
                <w:sz w:val="19"/>
              </w:rPr>
              <w:t>系统用户确认解决方案后，技术支持工程师将</w:t>
            </w:r>
            <w:r>
              <w:rPr>
                <w:rFonts w:ascii="&quot;times new roman&quot;, &quot;serif&quot;" w:hAnsi="&quot;times new roman&quot;, &quot;serif&quot;" w:cs="&quot;times new roman&quot;, &quot;serif&quot;" w:eastAsia="&quot;times new roman&quot;, &quot;serif&quot;"/>
                <w:sz w:val="19"/>
              </w:rPr>
              <w:t>BUGFREE</w:t>
            </w:r>
            <w:r>
              <w:rPr>
                <w:rFonts w:ascii="宋体" w:hAnsi="宋体" w:cs="宋体" w:eastAsia="宋体"/>
                <w:sz w:val="19"/>
              </w:rPr>
              <w:t>中提交任务，同时上传用户需求分析报告。</w:t>
            </w:r>
          </w:p>
          <w:p>
            <w:pPr>
              <w:pStyle w:val="null3"/>
              <w:ind w:firstLine="400"/>
              <w:jc w:val="both"/>
            </w:pPr>
            <w:r>
              <w:rPr>
                <w:rFonts w:ascii="宋体" w:hAnsi="宋体" w:cs="宋体" w:eastAsia="宋体"/>
                <w:sz w:val="19"/>
              </w:rPr>
              <w:t>（六）数据分析与汇报</w:t>
            </w:r>
          </w:p>
          <w:p>
            <w:pPr>
              <w:pStyle w:val="null3"/>
              <w:ind w:firstLine="400"/>
              <w:jc w:val="both"/>
            </w:pPr>
            <w:r>
              <w:rPr>
                <w:rFonts w:ascii="宋体" w:hAnsi="宋体" w:cs="宋体" w:eastAsia="宋体"/>
                <w:sz w:val="19"/>
              </w:rPr>
              <w:t>为保障用户能够及时了解系统的运行情况以及技术支持服务情况，服务供应商须定期对技术支持服务工作进行总结和汇报，为领导的决策提供数据支持。</w:t>
            </w:r>
          </w:p>
          <w:p>
            <w:pPr>
              <w:pStyle w:val="null3"/>
              <w:ind w:firstLine="400"/>
              <w:jc w:val="both"/>
            </w:pPr>
            <w:r>
              <w:rPr>
                <w:rFonts w:ascii="&quot;times new roman&quot;, &quot;serif&quot;" w:hAnsi="&quot;times new roman&quot;, &quot;serif&quot;" w:cs="&quot;times new roman&quot;, &quot;serif&quot;" w:eastAsia="&quot;times new roman&quot;, &quot;serif&quot;"/>
                <w:sz w:val="19"/>
              </w:rPr>
              <w:t>2.</w:t>
            </w:r>
            <w:r>
              <w:rPr>
                <w:rFonts w:ascii="宋体" w:hAnsi="宋体" w:cs="宋体" w:eastAsia="宋体"/>
                <w:sz w:val="19"/>
              </w:rPr>
              <w:t>服务范围</w:t>
            </w:r>
          </w:p>
          <w:tbl>
            <w:tblPr>
              <w:tblBorders>
                <w:top w:val="none" w:color="000000" w:sz="4"/>
                <w:left w:val="none" w:color="000000" w:sz="4"/>
                <w:bottom w:val="none" w:color="000000" w:sz="4"/>
                <w:right w:val="none" w:color="000000" w:sz="4"/>
                <w:insideH w:val="none"/>
                <w:insideV w:val="none"/>
              </w:tblBorders>
            </w:tblPr>
            <w:tblGrid>
              <w:gridCol w:w="123"/>
              <w:gridCol w:w="2430"/>
            </w:tblGrid>
            <w:tr>
              <w:tc>
                <w:tcPr>
                  <w:tcW w:type="dxa" w:w="1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9"/>
                    </w:rPr>
                    <w:t>序号</w:t>
                  </w:r>
                </w:p>
              </w:tc>
              <w:tc>
                <w:tcPr>
                  <w:tcW w:type="dxa" w:w="24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19"/>
                    </w:rPr>
                    <w:t>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西安市住房和城乡建设局系统使用用户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西大街房产交易大厅系统使用用户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3</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城南朱雀云天不动产交易大厅系统使用用户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4</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城北西北国金中心不动产交易大厅系统使用用户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5</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城东房产交易服务大厅系统使用用户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6</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城西高新政务服务大厅系统使用用户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7</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西安市保障性住房服务大厅系统使用用户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8</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城北政务大厅系统使用用户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9</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新城区住建局系统使用用户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10</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碑林区住建局系统使用用户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11</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莲湖区住建局系统使用用户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12</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雁塔区住建局系统使用用户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13</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未央区住建局系统使用用户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14</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灞桥区住建局系统使用用户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15</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高新区管委会系统使用用户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16</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曲江新区管委会系统使用用户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17</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经开区管委会系统使用用户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18</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浐灞生态区管委会系统使用用户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19</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国际港务区管委会系统使用用户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20</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航空基地管委会系统使用用户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21</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航天基地管委会系统使用用户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22</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长安区住建局系统使用用户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23</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临潼区住建局系统使用用户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24</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阎良区住建局系统使用用户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25</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高陵区住建局系统使用用户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26</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鄠邑区住建局系统使用用户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27</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蓝田县住建局系统使用用户</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quot;serif&quot;" w:hAnsi="&quot;times new roman&quot;, &quot;serif&quot;" w:cs="&quot;times new roman&quot;, &quot;serif&quot;" w:eastAsia="&quot;times new roman&quot;, &quot;serif&quot;"/>
                      <w:sz w:val="19"/>
                    </w:rPr>
                    <w:t>28</w:t>
                  </w:r>
                </w:p>
              </w:tc>
              <w:tc>
                <w:tcPr>
                  <w:tcW w:type="dxa" w:w="2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rPr>
                    <w:t>周至县住建局系统使用用户</w:t>
                  </w:r>
                </w:p>
              </w:tc>
            </w:tr>
          </w:tbl>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0"/>
              </w:rPr>
              <w:t>四、商务要求</w:t>
            </w:r>
          </w:p>
          <w:p>
            <w:pPr>
              <w:pStyle w:val="null3"/>
              <w:ind w:firstLine="400"/>
            </w:pPr>
            <w:r>
              <w:rPr>
                <w:rFonts w:ascii="宋体" w:hAnsi="宋体" w:cs="宋体" w:eastAsia="宋体"/>
                <w:sz w:val="20"/>
              </w:rPr>
              <w:t>（一）服务期限</w:t>
            </w:r>
          </w:p>
          <w:p>
            <w:pPr>
              <w:pStyle w:val="null3"/>
              <w:ind w:firstLine="400"/>
            </w:pPr>
            <w:r>
              <w:rPr>
                <w:rFonts w:ascii="&quot;times new roman&quot;, &quot;serif&quot;" w:hAnsi="&quot;times new roman&quot;, &quot;serif&quot;" w:cs="&quot;times new roman&quot;, &quot;serif&quot;" w:eastAsia="&quot;times new roman&quot;, &quot;serif&quot;"/>
                <w:sz w:val="20"/>
              </w:rPr>
              <w:t>2024</w:t>
            </w:r>
            <w:r>
              <w:rPr>
                <w:rFonts w:ascii="宋体" w:hAnsi="宋体" w:cs="宋体" w:eastAsia="宋体"/>
                <w:sz w:val="20"/>
              </w:rPr>
              <w:t>年</w:t>
            </w:r>
            <w:r>
              <w:rPr>
                <w:rFonts w:ascii="&quot;times new roman&quot;, &quot;serif&quot;" w:hAnsi="&quot;times new roman&quot;, &quot;serif&quot;" w:cs="&quot;times new roman&quot;, &quot;serif&quot;" w:eastAsia="&quot;times new roman&quot;, &quot;serif&quot;"/>
                <w:sz w:val="20"/>
              </w:rPr>
              <w:t>10</w:t>
            </w:r>
            <w:r>
              <w:rPr>
                <w:rFonts w:ascii="宋体" w:hAnsi="宋体" w:cs="宋体" w:eastAsia="宋体"/>
                <w:sz w:val="20"/>
              </w:rPr>
              <w:t>月</w:t>
            </w:r>
            <w:r>
              <w:rPr>
                <w:rFonts w:ascii="&quot;times new roman&quot;, &quot;serif&quot;" w:hAnsi="&quot;times new roman&quot;, &quot;serif&quot;" w:cs="&quot;times new roman&quot;, &quot;serif&quot;" w:eastAsia="&quot;times new roman&quot;, &quot;serif&quot;"/>
                <w:sz w:val="20"/>
              </w:rPr>
              <w:t>1</w:t>
            </w:r>
            <w:r>
              <w:rPr>
                <w:rFonts w:ascii="宋体" w:hAnsi="宋体" w:cs="宋体" w:eastAsia="宋体"/>
                <w:sz w:val="20"/>
              </w:rPr>
              <w:t>日至</w:t>
            </w:r>
            <w:r>
              <w:rPr>
                <w:rFonts w:ascii="&quot;times new roman&quot;, &quot;serif&quot;" w:hAnsi="&quot;times new roman&quot;, &quot;serif&quot;" w:cs="&quot;times new roman&quot;, &quot;serif&quot;" w:eastAsia="&quot;times new roman&quot;, &quot;serif&quot;"/>
                <w:sz w:val="20"/>
              </w:rPr>
              <w:t>2025</w:t>
            </w:r>
            <w:r>
              <w:rPr>
                <w:rFonts w:ascii="宋体" w:hAnsi="宋体" w:cs="宋体" w:eastAsia="宋体"/>
                <w:sz w:val="20"/>
              </w:rPr>
              <w:t>年</w:t>
            </w:r>
            <w:r>
              <w:rPr>
                <w:rFonts w:ascii="&quot;times new roman&quot;, &quot;serif&quot;" w:hAnsi="&quot;times new roman&quot;, &quot;serif&quot;" w:cs="&quot;times new roman&quot;, &quot;serif&quot;" w:eastAsia="&quot;times new roman&quot;, &quot;serif&quot;"/>
                <w:sz w:val="20"/>
              </w:rPr>
              <w:t>5</w:t>
            </w:r>
            <w:r>
              <w:rPr>
                <w:rFonts w:ascii="宋体" w:hAnsi="宋体" w:cs="宋体" w:eastAsia="宋体"/>
                <w:sz w:val="20"/>
              </w:rPr>
              <w:t>月</w:t>
            </w:r>
            <w:r>
              <w:rPr>
                <w:rFonts w:ascii="&quot;times new roman&quot;, &quot;serif&quot;" w:hAnsi="&quot;times new roman&quot;, &quot;serif&quot;" w:cs="&quot;times new roman&quot;, &quot;serif&quot;" w:eastAsia="&quot;times new roman&quot;, &quot;serif&quot;"/>
                <w:sz w:val="20"/>
              </w:rPr>
              <w:t>31</w:t>
            </w:r>
            <w:r>
              <w:rPr>
                <w:rFonts w:ascii="宋体" w:hAnsi="宋体" w:cs="宋体" w:eastAsia="宋体"/>
                <w:sz w:val="20"/>
              </w:rPr>
              <w:t>日。</w:t>
            </w:r>
          </w:p>
          <w:p>
            <w:pPr>
              <w:pStyle w:val="null3"/>
              <w:ind w:firstLine="400"/>
            </w:pPr>
            <w:r>
              <w:rPr>
                <w:rFonts w:ascii="宋体" w:hAnsi="宋体" w:cs="宋体" w:eastAsia="宋体"/>
                <w:sz w:val="20"/>
              </w:rPr>
              <w:t>（二）款项结算</w:t>
            </w:r>
          </w:p>
          <w:p>
            <w:pPr>
              <w:pStyle w:val="null3"/>
              <w:ind w:firstLine="400"/>
            </w:pPr>
            <w:r>
              <w:rPr>
                <w:rFonts w:ascii="&quot;times new roman&quot;, &quot;serif&quot;" w:hAnsi="&quot;times new roman&quot;, &quot;serif&quot;" w:cs="&quot;times new roman&quot;, &quot;serif&quot;" w:eastAsia="&quot;times new roman&quot;, &quot;serif&quot;"/>
                <w:sz w:val="20"/>
              </w:rPr>
              <w:t>1</w:t>
            </w:r>
            <w:r>
              <w:rPr>
                <w:rFonts w:ascii="宋体" w:hAnsi="宋体" w:cs="宋体" w:eastAsia="宋体"/>
                <w:sz w:val="20"/>
              </w:rPr>
              <w:t>、合同签订之日起</w:t>
            </w:r>
            <w:r>
              <w:rPr>
                <w:rFonts w:ascii="&quot;times new roman&quot;, &quot;serif&quot;" w:hAnsi="&quot;times new roman&quot;, &quot;serif&quot;" w:cs="&quot;times new roman&quot;, &quot;serif&quot;" w:eastAsia="&quot;times new roman&quot;, &quot;serif&quot;"/>
                <w:sz w:val="20"/>
              </w:rPr>
              <w:t>10</w:t>
            </w:r>
            <w:r>
              <w:rPr>
                <w:rFonts w:ascii="宋体" w:hAnsi="宋体" w:cs="宋体" w:eastAsia="宋体"/>
                <w:sz w:val="20"/>
              </w:rPr>
              <w:t>个工作日内，供应商持中标通知书、合同、当期付款金额的普通增值税发票，与采购人结算合同总价款的</w:t>
            </w:r>
            <w:r>
              <w:rPr>
                <w:rFonts w:ascii="&quot;times new roman&quot;, &quot;serif&quot;" w:hAnsi="&quot;times new roman&quot;, &quot;serif&quot;" w:cs="&quot;times new roman&quot;, &quot;serif&quot;" w:eastAsia="&quot;times new roman&quot;, &quot;serif&quot;"/>
                <w:sz w:val="20"/>
              </w:rPr>
              <w:t>30%</w:t>
            </w:r>
            <w:r>
              <w:rPr>
                <w:rFonts w:ascii="宋体" w:hAnsi="宋体" w:cs="宋体" w:eastAsia="宋体"/>
                <w:sz w:val="20"/>
              </w:rPr>
              <w:t>。</w:t>
            </w:r>
          </w:p>
          <w:p>
            <w:pPr>
              <w:pStyle w:val="null3"/>
              <w:ind w:firstLine="400"/>
            </w:pPr>
            <w:r>
              <w:rPr>
                <w:rFonts w:ascii="&quot;times new roman&quot;, &quot;serif&quot;" w:hAnsi="&quot;times new roman&quot;, &quot;serif&quot;" w:cs="&quot;times new roman&quot;, &quot;serif&quot;" w:eastAsia="&quot;times new roman&quot;, &quot;serif&quot;"/>
                <w:sz w:val="20"/>
              </w:rPr>
              <w:t>2</w:t>
            </w:r>
            <w:r>
              <w:rPr>
                <w:rFonts w:ascii="宋体" w:hAnsi="宋体" w:cs="宋体" w:eastAsia="宋体"/>
                <w:sz w:val="20"/>
              </w:rPr>
              <w:t>、供应商正常提供维保服务，达到服务标准且经采购人书面确认，于</w:t>
            </w:r>
            <w:r>
              <w:rPr>
                <w:rFonts w:ascii="&quot;times new roman&quot;, &quot;serif&quot;" w:hAnsi="&quot;times new roman&quot;, &quot;serif&quot;" w:cs="&quot;times new roman&quot;, &quot;serif&quot;" w:eastAsia="&quot;times new roman&quot;, &quot;serif&quot;"/>
                <w:sz w:val="20"/>
              </w:rPr>
              <w:t>2024</w:t>
            </w:r>
            <w:r>
              <w:rPr>
                <w:rFonts w:ascii="宋体" w:hAnsi="宋体" w:cs="宋体" w:eastAsia="宋体"/>
                <w:sz w:val="20"/>
              </w:rPr>
              <w:t>年</w:t>
            </w:r>
            <w:r>
              <w:rPr>
                <w:rFonts w:ascii="&quot;times new roman&quot;, &quot;serif&quot;" w:hAnsi="&quot;times new roman&quot;, &quot;serif&quot;" w:cs="&quot;times new roman&quot;, &quot;serif&quot;" w:eastAsia="&quot;times new roman&quot;, &quot;serif&quot;"/>
                <w:sz w:val="20"/>
              </w:rPr>
              <w:t>10</w:t>
            </w:r>
            <w:r>
              <w:rPr>
                <w:rFonts w:ascii="宋体" w:hAnsi="宋体" w:cs="宋体" w:eastAsia="宋体"/>
                <w:sz w:val="20"/>
              </w:rPr>
              <w:t>月供应商持当前付款金额的增值税普通发票，与采购人结算合同总价款的</w:t>
            </w:r>
            <w:r>
              <w:rPr>
                <w:rFonts w:ascii="&quot;times new roman&quot;, &quot;serif&quot;" w:hAnsi="&quot;times new roman&quot;, &quot;serif&quot;" w:cs="&quot;times new roman&quot;, &quot;serif&quot;" w:eastAsia="&quot;times new roman&quot;, &quot;serif&quot;"/>
                <w:sz w:val="20"/>
              </w:rPr>
              <w:t>50%</w:t>
            </w:r>
            <w:r>
              <w:rPr>
                <w:rFonts w:ascii="宋体" w:hAnsi="宋体" w:cs="宋体" w:eastAsia="宋体"/>
                <w:sz w:val="20"/>
              </w:rPr>
              <w:t>。</w:t>
            </w:r>
          </w:p>
          <w:p>
            <w:pPr>
              <w:pStyle w:val="null3"/>
              <w:ind w:firstLine="400"/>
            </w:pPr>
            <w:r>
              <w:rPr>
                <w:rFonts w:ascii="&quot;times new roman&quot;, &quot;serif&quot;" w:hAnsi="&quot;times new roman&quot;, &quot;serif&quot;" w:cs="&quot;times new roman&quot;, &quot;serif&quot;" w:eastAsia="&quot;times new roman&quot;, &quot;serif&quot;"/>
                <w:sz w:val="20"/>
              </w:rPr>
              <w:t>3</w:t>
            </w:r>
            <w:r>
              <w:rPr>
                <w:rFonts w:ascii="宋体" w:hAnsi="宋体" w:cs="宋体" w:eastAsia="宋体"/>
                <w:sz w:val="20"/>
              </w:rPr>
              <w:t>、服务期满并书面验收合格后，填写项目验收意见书（一式三份），验收通过之日起一个月内，供应商持项目验收意见书、当期付款金额的普通增值税发票，与采购人结算合同总价款的</w:t>
            </w:r>
            <w:r>
              <w:rPr>
                <w:rFonts w:ascii="&quot;times new roman&quot;, &quot;serif&quot;" w:hAnsi="&quot;times new roman&quot;, &quot;serif&quot;" w:cs="&quot;times new roman&quot;, &quot;serif&quot;" w:eastAsia="&quot;times new roman&quot;, &quot;serif&quot;"/>
                <w:sz w:val="20"/>
              </w:rPr>
              <w:t>20%</w:t>
            </w:r>
            <w:r>
              <w:rPr>
                <w:rFonts w:ascii="宋体" w:hAnsi="宋体" w:cs="宋体" w:eastAsia="宋体"/>
                <w:sz w:val="20"/>
              </w:rPr>
              <w:t>。</w:t>
            </w:r>
          </w:p>
          <w:p>
            <w:pPr>
              <w:pStyle w:val="null3"/>
              <w:ind w:firstLine="400"/>
            </w:pPr>
            <w:r>
              <w:rPr>
                <w:rFonts w:ascii="&quot;times new roman&quot;, &quot;serif&quot;" w:hAnsi="&quot;times new roman&quot;, &quot;serif&quot;" w:cs="&quot;times new roman&quot;, &quot;serif&quot;" w:eastAsia="&quot;times new roman&quot;, &quot;serif&quot;"/>
                <w:sz w:val="20"/>
              </w:rPr>
              <w:t>4</w:t>
            </w:r>
            <w:r>
              <w:rPr>
                <w:rFonts w:ascii="宋体" w:hAnsi="宋体" w:cs="宋体" w:eastAsia="宋体"/>
                <w:sz w:val="20"/>
              </w:rPr>
              <w:t>、支付方式：银行转账。</w:t>
            </w:r>
          </w:p>
          <w:p>
            <w:pPr>
              <w:pStyle w:val="null3"/>
              <w:ind w:firstLine="400"/>
            </w:pPr>
            <w:r>
              <w:rPr>
                <w:rFonts w:ascii="&quot;times new roman&quot;, &quot;serif&quot;" w:hAnsi="&quot;times new roman&quot;, &quot;serif&quot;" w:cs="&quot;times new roman&quot;, &quot;serif&quot;" w:eastAsia="&quot;times new roman&quot;, &quot;serif&quot;"/>
                <w:sz w:val="20"/>
              </w:rPr>
              <w:t>5</w:t>
            </w:r>
            <w:r>
              <w:rPr>
                <w:rFonts w:ascii="宋体" w:hAnsi="宋体" w:cs="宋体" w:eastAsia="宋体"/>
                <w:sz w:val="20"/>
              </w:rPr>
              <w:t>、上述正常提供维保服务是指由采购人指定的项目负责人对供应商正常服务状态进行签字确认。</w:t>
            </w:r>
          </w:p>
          <w:p>
            <w:pPr>
              <w:pStyle w:val="null3"/>
              <w:ind w:firstLine="400"/>
            </w:pPr>
            <w:r>
              <w:rPr>
                <w:rFonts w:ascii="宋体" w:hAnsi="宋体" w:cs="宋体" w:eastAsia="宋体"/>
                <w:sz w:val="20"/>
              </w:rPr>
              <w:t>（三）进度要求</w:t>
            </w:r>
            <w:r>
              <w:rPr>
                <w:rFonts w:ascii="calibri, &quot;sans-serif&quot;" w:hAnsi="calibri, &quot;sans-serif&quot;" w:cs="calibri, &quot;sans-serif&quot;" w:eastAsia="calibri, &quot;sans-serif&quot;"/>
                <w:sz w:val="20"/>
              </w:rPr>
              <w:t xml:space="preserve">                       </w:t>
            </w:r>
          </w:p>
          <w:p>
            <w:pPr>
              <w:pStyle w:val="null3"/>
              <w:ind w:firstLine="400"/>
            </w:pPr>
            <w:r>
              <w:rPr>
                <w:rFonts w:ascii="宋体" w:hAnsi="宋体" w:cs="宋体" w:eastAsia="宋体"/>
                <w:sz w:val="20"/>
              </w:rPr>
              <w:t>在服务期内，根据采购人要求和相关技术规范，持续进行维保服务。</w:t>
            </w:r>
          </w:p>
          <w:p>
            <w:pPr>
              <w:pStyle w:val="null3"/>
              <w:ind w:firstLine="400"/>
            </w:pPr>
            <w:r>
              <w:rPr>
                <w:rFonts w:ascii="宋体" w:hAnsi="宋体" w:cs="宋体" w:eastAsia="宋体"/>
                <w:sz w:val="20"/>
              </w:rPr>
              <w:t>（四）成果交付要求</w:t>
            </w:r>
          </w:p>
          <w:p>
            <w:pPr>
              <w:pStyle w:val="null3"/>
              <w:ind w:firstLine="400"/>
            </w:pPr>
            <w:r>
              <w:rPr>
                <w:rFonts w:ascii="&quot;times new roman&quot;, &quot;serif&quot;" w:hAnsi="&quot;times new roman&quot;, &quot;serif&quot;" w:cs="&quot;times new roman&quot;, &quot;serif&quot;" w:eastAsia="&quot;times new roman&quot;, &quot;serif&quot;"/>
                <w:sz w:val="20"/>
              </w:rPr>
              <w:t>1</w:t>
            </w:r>
            <w:r>
              <w:rPr>
                <w:rFonts w:ascii="宋体" w:hAnsi="宋体" w:cs="宋体" w:eastAsia="宋体"/>
                <w:sz w:val="20"/>
              </w:rPr>
              <w:t>、</w:t>
            </w:r>
            <w:r>
              <w:rPr>
                <w:rFonts w:ascii="宋体" w:hAnsi="宋体" w:cs="宋体" w:eastAsia="宋体"/>
                <w:sz w:val="20"/>
              </w:rPr>
              <w:t>根据合同内容，提供相应服务或采购产品；</w:t>
            </w:r>
          </w:p>
          <w:p>
            <w:pPr>
              <w:pStyle w:val="null3"/>
              <w:ind w:firstLine="400"/>
            </w:pPr>
            <w:r>
              <w:rPr>
                <w:rFonts w:ascii="&quot;times new roman&quot;, &quot;serif&quot;" w:hAnsi="&quot;times new roman&quot;, &quot;serif&quot;" w:cs="&quot;times new roman&quot;, &quot;serif&quot;" w:eastAsia="&quot;times new roman&quot;, &quot;serif&quot;"/>
                <w:sz w:val="20"/>
              </w:rPr>
              <w:t>2</w:t>
            </w:r>
            <w:r>
              <w:rPr>
                <w:rFonts w:ascii="宋体" w:hAnsi="宋体" w:cs="宋体" w:eastAsia="宋体"/>
                <w:sz w:val="20"/>
              </w:rPr>
              <w:t>、</w:t>
            </w:r>
            <w:r>
              <w:rPr>
                <w:rFonts w:ascii="宋体" w:hAnsi="宋体" w:cs="宋体" w:eastAsia="宋体"/>
                <w:sz w:val="20"/>
              </w:rPr>
              <w:t>提供验收报告及相关验收资料。</w:t>
            </w:r>
          </w:p>
          <w:p>
            <w:pPr>
              <w:pStyle w:val="null3"/>
              <w:ind w:firstLine="400"/>
            </w:pPr>
            <w:r>
              <w:rPr>
                <w:rFonts w:ascii="宋体" w:hAnsi="宋体" w:cs="宋体" w:eastAsia="宋体"/>
                <w:sz w:val="20"/>
              </w:rPr>
              <w:t>（</w:t>
            </w:r>
            <w:r>
              <w:rPr>
                <w:rFonts w:ascii="&quot;times new roman&quot;, &quot;serif&quot;" w:hAnsi="&quot;times new roman&quot;, &quot;serif&quot;" w:cs="&quot;times new roman&quot;, &quot;serif&quot;" w:eastAsia="&quot;times new roman&quot;, &quot;serif&quot;"/>
                <w:sz w:val="20"/>
              </w:rPr>
              <w:t>1</w:t>
            </w:r>
            <w:r>
              <w:rPr>
                <w:rFonts w:ascii="宋体" w:hAnsi="宋体" w:cs="宋体" w:eastAsia="宋体"/>
                <w:sz w:val="20"/>
              </w:rPr>
              <w:t>）系统运行维护工作结束后，采购人根据磋商文件、响应文件及相关文件资料，进行考核验收，确认服务标准和服务方式是否达到采购要求。验收资料包括但不限于服务方案、运维记录、培训记录等资料。</w:t>
            </w:r>
          </w:p>
          <w:p>
            <w:pPr>
              <w:pStyle w:val="null3"/>
              <w:ind w:firstLine="400"/>
            </w:pPr>
            <w:r>
              <w:rPr>
                <w:rFonts w:ascii="宋体" w:hAnsi="宋体" w:cs="宋体" w:eastAsia="宋体"/>
                <w:sz w:val="20"/>
              </w:rPr>
              <w:t>（</w:t>
            </w:r>
            <w:r>
              <w:rPr>
                <w:rFonts w:ascii="&quot;times new roman&quot;, &quot;serif&quot;" w:hAnsi="&quot;times new roman&quot;, &quot;serif&quot;" w:cs="&quot;times new roman&quot;, &quot;serif&quot;" w:eastAsia="&quot;times new roman&quot;, &quot;serif&quot;"/>
                <w:sz w:val="20"/>
              </w:rPr>
              <w:t>2</w:t>
            </w:r>
            <w:r>
              <w:rPr>
                <w:rFonts w:ascii="宋体" w:hAnsi="宋体" w:cs="宋体" w:eastAsia="宋体"/>
                <w:sz w:val="20"/>
              </w:rPr>
              <w:t>）采购人组织供应商</w:t>
            </w:r>
            <w:r>
              <w:rPr>
                <w:rFonts w:ascii="&quot;times new roman&quot;, &quot;serif&quot;" w:hAnsi="&quot;times new roman&quot;, &quot;serif&quot;" w:cs="&quot;times new roman&quot;, &quot;serif&quot;" w:eastAsia="&quot;times new roman&quot;, &quot;serif&quot;"/>
                <w:sz w:val="20"/>
              </w:rPr>
              <w:t>,</w:t>
            </w:r>
            <w:r>
              <w:rPr>
                <w:rFonts w:ascii="宋体" w:hAnsi="宋体" w:cs="宋体" w:eastAsia="宋体"/>
                <w:sz w:val="20"/>
              </w:rPr>
              <w:t>必要时请有关专家进行考核验收，验收合格后，填写项目验收意见书（一式三份）作为对系统运行维护服务的最终认可。</w:t>
            </w:r>
          </w:p>
          <w:p>
            <w:pPr>
              <w:pStyle w:val="null3"/>
              <w:ind w:firstLine="400"/>
            </w:pPr>
            <w:r>
              <w:rPr>
                <w:rFonts w:ascii="宋体" w:hAnsi="宋体" w:cs="宋体" w:eastAsia="宋体"/>
                <w:sz w:val="20"/>
              </w:rPr>
              <w:t>（</w:t>
            </w:r>
            <w:r>
              <w:rPr>
                <w:rFonts w:ascii="&quot;times new roman&quot;, &quot;serif&quot;" w:hAnsi="&quot;times new roman&quot;, &quot;serif&quot;" w:cs="&quot;times new roman&quot;, &quot;serif&quot;" w:eastAsia="&quot;times new roman&quot;, &quot;serif&quot;"/>
                <w:sz w:val="20"/>
              </w:rPr>
              <w:t>3</w:t>
            </w:r>
            <w:r>
              <w:rPr>
                <w:rFonts w:ascii="宋体" w:hAnsi="宋体" w:cs="宋体" w:eastAsia="宋体"/>
                <w:sz w:val="20"/>
              </w:rPr>
              <w:t>）供应商向采购人提供服务过程中的所有资料</w:t>
            </w:r>
            <w:r>
              <w:rPr>
                <w:rFonts w:ascii="&quot;times new roman&quot;, &quot;serif&quot;" w:hAnsi="&quot;times new roman&quot;, &quot;serif&quot;" w:cs="&quot;times new roman&quot;, &quot;serif&quot;" w:eastAsia="&quot;times new roman&quot;, &quot;serif&quot;"/>
                <w:sz w:val="20"/>
              </w:rPr>
              <w:t>,</w:t>
            </w:r>
            <w:r>
              <w:rPr>
                <w:rFonts w:ascii="宋体" w:hAnsi="宋体" w:cs="宋体" w:eastAsia="宋体"/>
                <w:sz w:val="20"/>
              </w:rPr>
              <w:t>以便采购人日后管理和维护。</w:t>
            </w:r>
          </w:p>
          <w:p>
            <w:pPr>
              <w:pStyle w:val="null3"/>
              <w:ind w:firstLine="400"/>
            </w:pPr>
            <w:r>
              <w:rPr>
                <w:rFonts w:ascii="宋体" w:hAnsi="宋体" w:cs="宋体" w:eastAsia="宋体"/>
                <w:sz w:val="20"/>
              </w:rPr>
              <w:t>（五）质量验收标准或规范</w:t>
            </w:r>
          </w:p>
          <w:p>
            <w:pPr>
              <w:pStyle w:val="null3"/>
              <w:ind w:firstLine="400"/>
            </w:pPr>
            <w:r>
              <w:rPr>
                <w:rFonts w:ascii="&quot;times new roman&quot;, &quot;serif&quot;" w:hAnsi="&quot;times new roman&quot;, &quot;serif&quot;" w:cs="&quot;times new roman&quot;, &quot;serif&quot;" w:eastAsia="&quot;times new roman&quot;, &quot;serif&quot;"/>
                <w:sz w:val="20"/>
              </w:rPr>
              <w:t>1</w:t>
            </w:r>
            <w:r>
              <w:rPr>
                <w:rFonts w:ascii="宋体" w:hAnsi="宋体" w:cs="宋体" w:eastAsia="宋体"/>
                <w:sz w:val="20"/>
              </w:rPr>
              <w:t>、国家或行业标准</w:t>
            </w:r>
          </w:p>
          <w:p>
            <w:pPr>
              <w:pStyle w:val="null3"/>
              <w:ind w:firstLine="400"/>
            </w:pPr>
            <w:r>
              <w:rPr>
                <w:rFonts w:ascii="&quot;times new roman&quot;, &quot;serif&quot;" w:hAnsi="&quot;times new roman&quot;, &quot;serif&quot;" w:cs="&quot;times new roman&quot;, &quot;serif&quot;" w:eastAsia="&quot;times new roman&quot;, &quot;serif&quot;"/>
                <w:sz w:val="20"/>
              </w:rPr>
              <w:t>2</w:t>
            </w:r>
            <w:r>
              <w:rPr>
                <w:rFonts w:ascii="宋体" w:hAnsi="宋体" w:cs="宋体" w:eastAsia="宋体"/>
                <w:sz w:val="20"/>
              </w:rPr>
              <w:t>、磋商文件、响应文件</w:t>
            </w:r>
          </w:p>
          <w:p>
            <w:pPr>
              <w:pStyle w:val="null3"/>
              <w:ind w:firstLine="400"/>
            </w:pPr>
            <w:r>
              <w:rPr>
                <w:rFonts w:ascii="calibri, &quot;sans-serif&quot;" w:hAnsi="calibri, &quot;sans-serif&quot;" w:cs="calibri, &quot;sans-serif&quot;" w:eastAsia="calibri, &quot;sans-serif&quot;"/>
                <w:sz w:val="20"/>
              </w:rPr>
              <w:t xml:space="preserve">  </w:t>
            </w:r>
            <w:r>
              <w:rPr>
                <w:rFonts w:ascii="宋体" w:hAnsi="宋体" w:cs="宋体" w:eastAsia="宋体"/>
                <w:sz w:val="20"/>
              </w:rPr>
              <w:t>上述标准不一致的，以验收时最高标准为准。</w:t>
            </w:r>
          </w:p>
          <w:p>
            <w:pPr>
              <w:pStyle w:val="null3"/>
              <w:ind w:firstLine="400"/>
            </w:pPr>
            <w:r>
              <w:rPr>
                <w:rFonts w:ascii="宋体" w:hAnsi="宋体" w:cs="宋体" w:eastAsia="宋体"/>
                <w:sz w:val="20"/>
              </w:rPr>
              <w:t>（六）违约责任</w:t>
            </w:r>
          </w:p>
          <w:p>
            <w:pPr>
              <w:pStyle w:val="null3"/>
              <w:ind w:firstLine="400"/>
            </w:pPr>
            <w:r>
              <w:rPr>
                <w:rFonts w:ascii="宋体" w:hAnsi="宋体" w:cs="宋体" w:eastAsia="宋体"/>
                <w:sz w:val="20"/>
              </w:rPr>
              <w:t>未按合同要求提供软件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p>
            <w:pPr>
              <w:pStyle w:val="null3"/>
            </w:pPr>
            <w:r>
              <w:rPr>
                <w:rFonts w:ascii="宋体" w:hAnsi="宋体" w:cs="宋体" w:eastAsia="宋体"/>
                <w:sz w:val="20"/>
              </w:rPr>
              <w:t>具体违约情形及违约责任详见合同文本。</w:t>
            </w:r>
          </w:p>
        </w:tc>
      </w:tr>
    </w:tbl>
    <w:p>
      <w:pPr>
        <w:pStyle w:val="null3"/>
        <w:outlineLvl w:val="2"/>
      </w:pPr>
      <w:r>
        <w:rPr>
          <w:b/>
          <w:sz w:val="28"/>
        </w:rPr>
        <w:t>3.2.3人员配置要求</w:t>
      </w:r>
    </w:p>
    <w:p>
      <w:pPr>
        <w:pStyle w:val="null3"/>
      </w:pPr>
      <w:r>
        <w:rPr/>
        <w:t>采购包1：</w:t>
      </w:r>
    </w:p>
    <w:p>
      <w:pPr>
        <w:pStyle w:val="null3"/>
      </w:pPr>
      <w:r>
        <w:rPr/>
        <w:t>需满足项目服务内容及要求。</w:t>
      </w:r>
    </w:p>
    <w:p>
      <w:pPr>
        <w:pStyle w:val="null3"/>
        <w:outlineLvl w:val="2"/>
      </w:pPr>
      <w:r>
        <w:rPr>
          <w:b/>
          <w:sz w:val="28"/>
        </w:rPr>
        <w:t>3.2.4设施设备要求</w:t>
      </w:r>
    </w:p>
    <w:p>
      <w:pPr>
        <w:pStyle w:val="null3"/>
      </w:pPr>
      <w:r>
        <w:rPr/>
        <w:t>采购包1：</w:t>
      </w:r>
    </w:p>
    <w:p>
      <w:pPr>
        <w:pStyle w:val="null3"/>
      </w:pPr>
      <w:r>
        <w:rPr/>
        <w:t>需满足项目服务内容及要求。</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2024年10月1日至2025年5月31日。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（一）服务期满后，采购人根据磋商文件、响应文件及相关文件资料，进行考核验收，确认服务标准和服务方式是否达到采购要求。 （二）采购人组织供应商,必要时请有关专家进行考核验收，验收合格后，填写项目验收意见书（一式三份）作为对技术支持服务的最终认可，供应商未在采购人指定的验收时间参与验收的，视为中标供应商认可采购人的验收结果。 （三）供应商向采购人提供服务过程中的所有资料,以便采购人日后管理和维护。 （四）验收依据 1、磋商文件、响应文件、澄清表（函）； 2、本合同及附件文本； 3、合同签订时国家及行业现行的标准和技术规范。</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1、合同签订生效；2、供应商持中标通知书、合同、当期付款金额的普通增值税发票与采购人结算；3、支付方式：银行转账</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1、供应商正常提供维保服务，达到服务标准且经采购人书面确认；2、供应商持中标通知书、合同、当期付款金额的普通增值税发票与采购人结算；3、正常提供维保服务是指由采购人指定的项目负责人对供应商正常服务状态进行签字确认；4、支付方式：银行转账</w:t>
      </w:r>
      <w:r>
        <w:rPr/>
        <w:t xml:space="preserve"> ，达到付款条件起 </w:t>
      </w:r>
      <w:r>
        <w:rPr/>
        <w:t>31</w:t>
      </w:r>
      <w:r>
        <w:rPr/>
        <w:t xml:space="preserve"> 日内，支付合同总金额的 </w:t>
      </w:r>
      <w:r>
        <w:rPr/>
        <w:t>50.00</w:t>
      </w:r>
      <w:r>
        <w:rPr/>
        <w:t>%。</w:t>
      </w:r>
    </w:p>
    <w:p>
      <w:pPr>
        <w:pStyle w:val="null3"/>
      </w:pPr>
      <w:r>
        <w:rPr/>
        <w:t>采购包1：</w:t>
      </w:r>
      <w:r>
        <w:rPr/>
        <w:t xml:space="preserve"> 付款条件说明： </w:t>
      </w:r>
      <w:r>
        <w:rPr/>
        <w:t>1、项目服务期满且书面验收合格；2、项目最终验收通过；3、供应商持中标通知书、合同、当期付款金额的普通增值税发票与采购人结算；4、支付方式：银行转账</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一）未按合同要求提供技术支持服务或技术支持服务质量不能满足合同要求，采购人应当将供应商违约的情况以及拟采取的措施以书面形式报政府采购监管部门，根据政府采购监管部门的处理意见，采购人有权依据《民法典》有关条款及合同约定终止合同，并要求供应商承担违约责任。同时，政府采购监管部门有权依据《政府采购法》及相关法律法规对供应商的违法行为进行相应的处罚。 （二）出现下列情形之一的，采购人有权要求供应商按照合同总价款的20%向其支付违约金，如造成采购人的损失大于违约金的，还应承担赔偿责任： （1）供应商逾期不实施项目工作计划，但逾期不足10天的； （2）供应商未按照投标文件配置服务人员的； （3）供应商没有按照合同约定时间完成项目的； （4）供应商完成并向采购人提交的项目成果未能通过验收的； （5）供应商及供应商的工作人员违反保密义务的； （6）供应商提供的技术侵犯他人合法权益的； （7）供应商未能在合同约定的时间内达到现场处理故障，次数超过 3 次的； （8）供应商违反采购人相关管理规定，经采购人提出整改要求拒不整改的； （9）供应商在服务过程中未发现问题或未按照合同及附件要求进行服务，直接或间接造成系统或设备故障的； （10）供应商违反的合同义务的其他行为的。 （三）采购人逾期付款的，以当期应付未付款项为基数，每逾期一日，按万分之五向供应商支付违约金，但不得超过当期应付未付款项的10%。 （四）中标供应商出现下列情形之一的，采购人有权解除合同，中标供应商除应返还采购人已支付的全部价款外，还应按照合同总金额30%的向采购人承担违约责任，如造成采购人的损失大于违约金的，还应承担赔偿责任： 1、供应商未经采购人书面同意，擅自将本合同项下全部或部分义务转包或分包第三人的； 2、供应商提供的技术服务致使采购人设备、系统损坏的； 3、供应商提供的技术服务侵犯第三人权益的，又未在采购人指定的时间内解决的； 4、供应商未按照投标文件配置服务人员或者未经采购人书面许可擅自变更人员或服务团队的； 5、供应商逾期不实施项目工作计划，且逾期超过 10 天； 6、供应商违反采购人相关管理规定，经采购人提出整改要求拒不整改，造成严重后果的； 7、供应商在服务过程中未发现问题或未按照合同及附件要求进行服务，直接或间接造成系统或设备故障，且未及时采取必要措施或未及时报备的； 8、其他严重违反本合同约定的行为。 （五）合同解除异议期为一个月，自收到解除通知之日起计算。 （六）因一方的违约行为导致受约方受损的，违约方除应承担相应的违约责任外，还应赔偿守约方的损失，包括但不限于诉讼费、律师费、差旅费以及因违约行为导致守约方先行赔付费用等。</w:t>
      </w:r>
    </w:p>
    <w:p>
      <w:pPr>
        <w:pStyle w:val="null3"/>
        <w:outlineLvl w:val="2"/>
      </w:pPr>
      <w:r>
        <w:rPr>
          <w:b/>
          <w:sz w:val="28"/>
        </w:rPr>
        <w:t>3.4其他要求</w:t>
      </w:r>
    </w:p>
    <w:p>
      <w:pPr>
        <w:pStyle w:val="null3"/>
      </w:pPr>
      <w:r>
        <w:rPr/>
        <w:t>为顺利推进政府采购电子化交易平台应用工作，供应商需要在线提交所有通过电子化交易平台实施的政府采购项目的投标文件，同时，线下提交投标文件叁份。纸质投标文件建议A4纸双面打印，装订成册并编制目录和页码，密封并加盖公章，邮寄或现场提交均可。</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1资格证明文件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1资格证明文件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2供应商企业关系关联承诺书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供应商为响应招标并参加投标的合法注册的企业法人其他组织。企业法人应提供合法有效的标识有统一社会信用代码的营业执照；其他组织应提供合法登记证明文件；</w:t>
            </w:r>
          </w:p>
        </w:tc>
        <w:tc>
          <w:tcPr>
            <w:tcW w:type="dxa" w:w="1661"/>
          </w:tcPr>
          <w:p>
            <w:pPr>
              <w:pStyle w:val="null3"/>
            </w:pPr>
            <w:r>
              <w:rPr/>
              <w:t>1资格证明文件</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t>1资格证明文件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复印件加盖单位公章），或其开标前三个月内银行出具的资信证明，或财政部门认可的政府采购专业担保机构出具的投标担保函；</w:t>
            </w:r>
          </w:p>
        </w:tc>
        <w:tc>
          <w:tcPr>
            <w:tcW w:type="dxa" w:w="1661"/>
          </w:tcPr>
          <w:p>
            <w:pPr>
              <w:pStyle w:val="null3"/>
            </w:pPr>
            <w:r>
              <w:rPr/>
              <w:t>1资格证明文件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1资格证明文件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提供磋商响应文件递交截止日前一年内已缴纳的至少一个月的纳税证明或完税证明，纳税证明或完税证明上应有代收机构或税务机关的公章，依法免税的单位应提供相关证明材料；</w:t>
            </w:r>
          </w:p>
        </w:tc>
        <w:tc>
          <w:tcPr>
            <w:tcW w:type="dxa" w:w="1661"/>
          </w:tcPr>
          <w:p>
            <w:pPr>
              <w:pStyle w:val="null3"/>
            </w:pPr>
            <w:r>
              <w:rPr/>
              <w:t>1资格证明文件</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t>1资格证明文件</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提供具有履行合同所必需的设备和专业技术能力的承诺书；</w:t>
            </w:r>
          </w:p>
        </w:tc>
        <w:tc>
          <w:tcPr>
            <w:tcW w:type="dxa" w:w="1661"/>
          </w:tcPr>
          <w:p>
            <w:pPr>
              <w:pStyle w:val="null3"/>
            </w:pPr>
            <w:r>
              <w:rPr/>
              <w:t>1资格证明文件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服务内容及服务邀请应答表 中小企业声明函 商务应答表 3业绩 供应商应提交的相关资格证明材料 报价表 2供应商企业关系关联承诺书 5技术服务方案 响应文件封面 1资格证明文件 残疾人福利性单位声明函 服务方案 标的清单 响应函 监狱企业的证明文件 4拒绝政府采购领域商业贿赂承诺书</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服务内容及服务邀请应答表 中小企业声明函 商务应答表 3业绩 供应商应提交的相关资格证明材料 报价表 2供应商企业关系关联承诺书 5技术服务方案 响应文件封面 1资格证明文件 残疾人福利性单位声明函 服务方案 标的清单 响应函 监狱企业的证明文件 4拒绝政府采购领域商业贿赂承诺书</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商务要求是否满足实质性要求</w:t>
            </w:r>
          </w:p>
        </w:tc>
        <w:tc>
          <w:tcPr>
            <w:tcW w:type="dxa" w:w="3322"/>
          </w:tcPr>
          <w:p>
            <w:pPr>
              <w:pStyle w:val="null3"/>
            </w:pPr>
            <w:r>
              <w:rPr/>
              <w:t>商务要求是否满足实质性要求的（服务期是否响应采购要求、付款方式是否响应采购要求）</w:t>
            </w:r>
          </w:p>
        </w:tc>
        <w:tc>
          <w:tcPr>
            <w:tcW w:type="dxa" w:w="1661"/>
          </w:tcPr>
          <w:p>
            <w:pPr>
              <w:pStyle w:val="null3"/>
            </w:pPr>
            <w:r>
              <w:rPr/>
              <w:t>服务内容及服务邀请应答表 商务应答表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对本项目涉及住建业务管理现状、信息化现状的理解程度</w:t>
            </w:r>
          </w:p>
        </w:tc>
        <w:tc>
          <w:tcPr>
            <w:tcW w:type="dxa" w:w="2492"/>
          </w:tcPr>
          <w:p>
            <w:pPr>
              <w:pStyle w:val="null3"/>
            </w:pPr>
            <w:r>
              <w:rPr/>
              <w:t>供应商对现状很熟悉，能够提出具有针对性和合理性的见解，具有前瞻性、科学性的分析。得5分。 供应商对现状比较了解，能够提出合理的见解。得3分。 供应商对现状不够了解，提出的见解不够具备合理性。得1分。 供应商对现状不了解或未提供相关内容。得0分。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5技术服务方案</w:t>
            </w:r>
          </w:p>
          <w:p>
            <w:pPr>
              <w:pStyle w:val="null3"/>
            </w:pPr>
            <w:r>
              <w:rPr/>
              <w:t>服务内容及服务邀请应答表</w:t>
            </w:r>
          </w:p>
        </w:tc>
      </w:tr>
      <w:tr>
        <w:tc>
          <w:tcPr>
            <w:tcW w:type="dxa" w:w="831"/>
            <w:vMerge/>
          </w:tcPr>
          <w:p/>
        </w:tc>
        <w:tc>
          <w:tcPr>
            <w:tcW w:type="dxa" w:w="1661"/>
          </w:tcPr>
          <w:p>
            <w:pPr>
              <w:pStyle w:val="null3"/>
            </w:pPr>
            <w:r>
              <w:rPr/>
              <w:t>对本项目涉及业务的流程、管理要求的熟悉程度</w:t>
            </w:r>
          </w:p>
        </w:tc>
        <w:tc>
          <w:tcPr>
            <w:tcW w:type="dxa" w:w="2492"/>
          </w:tcPr>
          <w:p>
            <w:pPr>
              <w:pStyle w:val="null3"/>
            </w:pPr>
            <w:r>
              <w:rPr/>
              <w:t>供应商对流程及要求很熟悉，能够详细、具体的描述相关流程及要求，并能准确把握要点及重点。得5分。 供应商基本了解业务流程及要求，提出的要点及重点不够准确。得3分。 供应商对业务流程及要求不够了解，提出的要点及重点有偏差。得1分。 供应商对业务流程及要求不了解或未提供相关内容。得0分。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对本项目系统的熟悉程度</w:t>
            </w:r>
          </w:p>
        </w:tc>
        <w:tc>
          <w:tcPr>
            <w:tcW w:type="dxa" w:w="2492"/>
          </w:tcPr>
          <w:p>
            <w:pPr>
              <w:pStyle w:val="null3"/>
            </w:pPr>
            <w:r>
              <w:rPr/>
              <w:t>供应商对系统各部分的内容能够精准把握，分析出各部分的工作重点及难点。得5分。 供应商对系统各部分的内容基本熟悉，提出的重点及难点不够准确。得3分。 供应商对系统各部分的内容不够熟悉，提出的重点及难点有偏差。得1分。 供应商对系统不熟悉或未提供相关内容。得0分。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技术方案的完整性、先进性</w:t>
            </w:r>
          </w:p>
        </w:tc>
        <w:tc>
          <w:tcPr>
            <w:tcW w:type="dxa" w:w="2492"/>
          </w:tcPr>
          <w:p>
            <w:pPr>
              <w:pStyle w:val="null3"/>
            </w:pPr>
            <w:r>
              <w:rPr/>
              <w:t>供应商提供详细具体、完整的方案，贴合采购要求，方案先进，能够根据使用需求不断优化更新。得4分。 供应商提供的方案较完整，能够延展项目要求的能力较弱。得3分。 供应商提供的方案单薄，延展项目要求得能力较差。得1分。 供应商提出的方案不完整或未提供相关内容。得0分。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技术方案的安全性</w:t>
            </w:r>
          </w:p>
        </w:tc>
        <w:tc>
          <w:tcPr>
            <w:tcW w:type="dxa" w:w="2492"/>
          </w:tcPr>
          <w:p>
            <w:pPr>
              <w:pStyle w:val="null3"/>
            </w:pPr>
            <w:r>
              <w:rPr/>
              <w:t>供应商提供详细具体、完整的方案，符合国家标准。得4分。 供应商提供的方案较完整，符合国家标准。得3分。 供应商提供的方案不够完整。得1分。 供应商提出的方案不完整或未提供相关内容。得0分。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技术方案的业务满足程度</w:t>
            </w:r>
          </w:p>
        </w:tc>
        <w:tc>
          <w:tcPr>
            <w:tcW w:type="dxa" w:w="2492"/>
          </w:tcPr>
          <w:p>
            <w:pPr>
              <w:pStyle w:val="null3"/>
            </w:pPr>
            <w:r>
              <w:rPr/>
              <w:t>供应商提供的方案详细具体，贴合采购需求，并能提供合理科学的增值方案等。得4分。 供应商提供的方案较完整，满足采购需求。得3分。 供应商提供的方案不够完整，部分满足采购需求。得1分。 供应商提出的方案不完整或未提供相关内容。得0分。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方案的技术水平</w:t>
            </w:r>
          </w:p>
        </w:tc>
        <w:tc>
          <w:tcPr>
            <w:tcW w:type="dxa" w:w="2492"/>
          </w:tcPr>
          <w:p>
            <w:pPr>
              <w:pStyle w:val="null3"/>
            </w:pPr>
            <w:r>
              <w:rPr/>
              <w:t>供应商提供的方案详细具体、贴合采购需求，符合国家标准，实用性强。得 4 分。 供应商提供的方案较完整，符合国家标准，实用性较弱。得 3 分。 供应商提供的方案不够完整，实用性较差。 得 1 分。 供应商提出的方案不完整或未提供相关内容。得 0 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其他业务需求满足程度</w:t>
            </w:r>
          </w:p>
        </w:tc>
        <w:tc>
          <w:tcPr>
            <w:tcW w:type="dxa" w:w="2492"/>
          </w:tcPr>
          <w:p>
            <w:pPr>
              <w:pStyle w:val="null3"/>
            </w:pPr>
            <w:r>
              <w:rPr/>
              <w:t>供应商提供的方案详细具体，贴合采购需求，并能提供合理科学的增值方案等。得4分。 供应商提供的方案较完整，满足采购需求。得3分。 供应商提供的方案不够完整，部分满足采购需求。得1分。 供应商提出的方案不完整或未提供相关内容。得0分。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项目实施方案的完整性、科学性、成熟性</w:t>
            </w:r>
          </w:p>
        </w:tc>
        <w:tc>
          <w:tcPr>
            <w:tcW w:type="dxa" w:w="2492"/>
          </w:tcPr>
          <w:p>
            <w:pPr>
              <w:pStyle w:val="null3"/>
            </w:pPr>
            <w:r>
              <w:rPr/>
              <w:t>供应商提供的服务方案内容丰富全面，实施内容科学、先进、可操作性强、运用成熟。得5分。 供应商提供的服务方案内容较完整，实施内容合理，能够保障项目的实施。得3分。 供应商提供的服务方案内容不够完整，实施内容不够合理。得1分。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项目管理能力，进度安排的合理性、可行性</w:t>
            </w:r>
          </w:p>
        </w:tc>
        <w:tc>
          <w:tcPr>
            <w:tcW w:type="dxa" w:w="2492"/>
          </w:tcPr>
          <w:p>
            <w:pPr>
              <w:pStyle w:val="null3"/>
            </w:pPr>
            <w:r>
              <w:rPr/>
              <w:t>供应商提供详细具体的管理及实施方案，高效、合理，管理清晰。得5分。 供应商提供的方案较完整，进度安排合理，能够保障项目的实施。得3分。 供应商提供的方案内容不够完整，管理及进度安排不够合理。得1分。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项目组织机构的合理性、可行性</w:t>
            </w:r>
          </w:p>
        </w:tc>
        <w:tc>
          <w:tcPr>
            <w:tcW w:type="dxa" w:w="2492"/>
          </w:tcPr>
          <w:p>
            <w:pPr>
              <w:pStyle w:val="null3"/>
            </w:pPr>
            <w:r>
              <w:rPr/>
              <w:t>供应商提供详细具体的方案，组织机构安排合理、科学、可行性强，能够保障项目的实施。得4分。 供应商提供的方案较完整，安排较合理。得2分。 供应商提供的方案不够完整，可行性较弱。得1分。 供应商提出的方案不完整或未提供相关内容。得0分。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项目经理是否具有类似本项目的实施经验及项目组成员的能力及经验</w:t>
            </w:r>
          </w:p>
        </w:tc>
        <w:tc>
          <w:tcPr>
            <w:tcW w:type="dxa" w:w="2492"/>
          </w:tcPr>
          <w:p>
            <w:pPr>
              <w:pStyle w:val="null3"/>
            </w:pPr>
            <w:r>
              <w:rPr/>
              <w:t>人员配备满足且高于采购需求，且提供丰富的相关证明资料。得4分 人员配备基本满足采购需求，提供部分证明资料。得2分。 人员配备部分满足采购需求，提供的部分证明资料。得1分。 人员不满足采购需求，或未提供相关内容。得0分。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培训方案是否详细、科学、合理</w:t>
            </w:r>
          </w:p>
        </w:tc>
        <w:tc>
          <w:tcPr>
            <w:tcW w:type="dxa" w:w="2492"/>
          </w:tcPr>
          <w:p>
            <w:pPr>
              <w:pStyle w:val="null3"/>
            </w:pPr>
            <w:r>
              <w:rPr/>
              <w:t>供应商提供的方案内容详细具体，科学、合理，可操作性强。得5分， 供应商提供的方案内容较完整，较为合理，可操作。得3分。 供应商提供的方案内容不够完整，可操作性较差。得1分。 供应商提供的方案不完整或未提供相关内容。得0分。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服务团队</w:t>
            </w:r>
          </w:p>
        </w:tc>
        <w:tc>
          <w:tcPr>
            <w:tcW w:type="dxa" w:w="2492"/>
          </w:tcPr>
          <w:p>
            <w:pPr>
              <w:pStyle w:val="null3"/>
            </w:pPr>
            <w:r>
              <w:rPr/>
              <w:t>技术开发和服务团队(要求提供人员名单、供应商为其人员缴纳的 2023年1月1日以来至少6个月的社保证明和大专及以上学历证明、以及项目经理及主要开发人员软件开发经历)。至少提供6名驻场人员，每增加1名驻场人员人加3分，每增加1名非驻场人员加1分，满分15分。驻场人员少于等于6人，得0分。(响应文件附相关证明材料的复印件加盖供应商公章为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保障方案</w:t>
            </w:r>
          </w:p>
        </w:tc>
        <w:tc>
          <w:tcPr>
            <w:tcW w:type="dxa" w:w="2492"/>
          </w:tcPr>
          <w:p>
            <w:pPr>
              <w:pStyle w:val="null3"/>
            </w:pPr>
            <w:r>
              <w:rPr/>
              <w:t>针对本项目及采购人实际需求提供详细具体可行的持续质量保障体系、质量保障方案及承诺。 供应商提供的内容详细全面、贴合项目、可行性强，有完善的保障体系等。得5分。 供应商提供的内容较完整，可行性较弱，具有保障体系等。得3分。 供应商提供的内容不够完整，可行性较差，质量保障能力欠缺。得1分 供应商提供的方案不完整或未提供相关内容。得0分。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p>
            <w:pPr>
              <w:pStyle w:val="null3"/>
            </w:pPr>
            <w:r>
              <w:rPr/>
              <w:t>5技术服务方案</w:t>
            </w:r>
          </w:p>
        </w:tc>
      </w:tr>
      <w:tr>
        <w:tc>
          <w:tcPr>
            <w:tcW w:type="dxa" w:w="831"/>
            <w:vMerge/>
          </w:tcPr>
          <w:p/>
        </w:tc>
        <w:tc>
          <w:tcPr>
            <w:tcW w:type="dxa" w:w="1661"/>
          </w:tcPr>
          <w:p>
            <w:pPr>
              <w:pStyle w:val="null3"/>
            </w:pPr>
            <w:r>
              <w:rPr/>
              <w:t>业绩</w:t>
            </w:r>
          </w:p>
        </w:tc>
        <w:tc>
          <w:tcPr>
            <w:tcW w:type="dxa" w:w="2492"/>
          </w:tcPr>
          <w:p>
            <w:pPr>
              <w:pStyle w:val="null3"/>
            </w:pPr>
            <w:r>
              <w:rPr/>
              <w:t>提供自2021年1月1日以来同类项目的业绩合同及验收证明，评审时以业绩证明文件复印件加盖公章为计分依据，每出具一份业绩证明文件得2分，满分10分。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3业绩</w:t>
            </w:r>
          </w:p>
        </w:tc>
      </w:tr>
      <w:tr>
        <w:tc>
          <w:tcPr>
            <w:tcW w:type="dxa" w:w="831"/>
            <w:vMerge/>
          </w:tcPr>
          <w:p/>
        </w:tc>
        <w:tc>
          <w:tcPr>
            <w:tcW w:type="dxa" w:w="1661"/>
          </w:tcPr>
          <w:p>
            <w:pPr>
              <w:pStyle w:val="null3"/>
            </w:pPr>
            <w:r>
              <w:rPr/>
              <w:t>商务条款响应</w:t>
            </w:r>
          </w:p>
        </w:tc>
        <w:tc>
          <w:tcPr>
            <w:tcW w:type="dxa" w:w="2492"/>
          </w:tcPr>
          <w:p>
            <w:pPr>
              <w:pStyle w:val="null3"/>
            </w:pPr>
            <w:r>
              <w:rPr/>
              <w:t>满足合同文本，并附有条款详细说明的得2分； 满足合同文本，但无条款详细说明的得1分。不满足合同及说明得0分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投标报价为评审基准价，其价格分为满分。其他投标人的价格分统一按照下列公式计算：磋商报价得分=(评审基准价／磋商报价)×10。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详见附件：1资格证明文件</w:t>
      </w:r>
    </w:p>
    <w:p>
      <w:pPr>
        <w:pStyle w:val="null3"/>
        <w:ind w:firstLine="960"/>
      </w:pPr>
      <w:r>
        <w:rPr/>
        <w:t>详见附件：2供应商企业关系关联承诺书</w:t>
      </w:r>
    </w:p>
    <w:p>
      <w:pPr>
        <w:pStyle w:val="null3"/>
        <w:ind w:firstLine="960"/>
      </w:pPr>
      <w:r>
        <w:rPr/>
        <w:t>详见附件：3业绩</w:t>
      </w:r>
    </w:p>
    <w:p>
      <w:pPr>
        <w:pStyle w:val="null3"/>
        <w:ind w:firstLine="960"/>
      </w:pPr>
      <w:r>
        <w:rPr/>
        <w:t>详见附件：4拒绝政府采购领域商业贿赂承诺书</w:t>
      </w:r>
    </w:p>
    <w:p>
      <w:pPr>
        <w:pStyle w:val="null3"/>
        <w:ind w:firstLine="960"/>
      </w:pPr>
      <w:r>
        <w:rPr/>
        <w:t>详见附件：5技术服务方案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详见附件：西安市住建局房产综合业务管理系统技术支持服务项目-合同文本（改）.docx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