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numId w:val="0"/>
        </w:numPr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0" w:name="_Toc1189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采购内容及要求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2" w:firstLineChars="200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项目概况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西安市中考招生咨询会是全市中考学生、家长与学校面对面交流咨询的平台，本项目是通过购买第三方主场服务，保障西安市2024年中考招生咨询会的顺利进行，增进家长和考生的咨询体验。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3" w:firstLineChars="0"/>
        <w:jc w:val="left"/>
        <w:textAlignment w:val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本次项目需求内容为中考招生咨询会的主场服务及主场搭建。主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要氛围以下两个大项：</w:t>
      </w:r>
    </w:p>
    <w:p>
      <w:pPr>
        <w:bidi w:val="0"/>
        <w:spacing w:line="360" w:lineRule="auto"/>
        <w:ind w:firstLine="563" w:firstLineChars="0"/>
        <w:jc w:val="left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一）提供咨询会现场的管理与服务，组织、协调及展务工作，具体有：咨询会报备手续、咨询会展区规划、系统报馆服务、展位平面图布局审核、展览器材与物品租赁、参会手册编制、安全工作方案、消防应急预案、搭建商管理方案、咨询会应急预案、安全保卫方案、物流管理、安保管理，动线图规划、氛围营造设计规划，对接场地、安保、公安、消防、交通及配合交通客流疏导、布展撤展施工管理等一切主场工作。</w:t>
      </w:r>
    </w:p>
    <w:p>
      <w:pPr>
        <w:bidi w:val="0"/>
        <w:spacing w:line="360" w:lineRule="auto"/>
        <w:ind w:firstLine="563" w:firstLineChars="0"/>
        <w:jc w:val="left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（二）提供咨询会展区规划，动线安排，氛围、广告、物料等整体咨询会设计及咨询会工程施工搭建等。</w:t>
      </w:r>
    </w:p>
    <w:p>
      <w:pPr>
        <w:bidi w:val="0"/>
        <w:spacing w:line="360" w:lineRule="auto"/>
        <w:ind w:firstLine="482" w:firstLineChars="200"/>
        <w:jc w:val="left"/>
        <w:rPr>
          <w:rFonts w:hint="default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三、服务要求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20" w:firstLineChars="0"/>
        <w:textAlignment w:val="baseline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主场服务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开展与主场服务相关的一切业务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CN" w:bidi="zh-TW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在满足主办方需求的前提下，为主办方和参展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提供高效高质的现场运营管理服务并需承担服务的各种责任。在现场运营阶段根据展会情况和客户要求，展前阶段提供收集、统计、整理、审核参展商及相关方参展需求资料，制定展会现场各项服务方案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及场地规划等一系列相关设计工作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提供手续报批服务，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组织相关工作人员与场馆对接，向场馆提供报馆资料等服务；布展阶段提供组织布展报道，布展安全管理服务，施工管理服务，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展台及公共氛围搭建，相关物料制作，展会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现场服务等；展览阶段提供展会期间现场管理服务等；撤展阶段提供展品及展具安全拆除管理服务，与场馆方进行场馆验收交接服务等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设计服务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负责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西安市中考招生咨询会整体规划及整体形象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设计服务，包括但不限于：会场规划、展区规划、环节设置、人流动线、导视、氛围营造、会标等展会平面设计、布展图、宣传、广告、导视、动线及各类物料设计等。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广告位租赁制作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负责联系场地方协调咨询会需要的的宣传广告位的租赁和制作等。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导视、氛围营造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负责制作室外导引、车库导引、沿途指示、各种功能指引、展会主题展示展板、指示牌、印刷品等。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安检及其他物料制作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 xml:space="preserve"> 协调会标的位置、大小及制作、安检系统、电费、网费及部分现场物料制作费用。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特装展位搭建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为不少于12个学校提供特装展位搭建服务，每个展位面积为36平米，高度不得超过4.5米，材料选用桁架或型材。方案及报价必须包含展位设计、主体，灯光、墙体、地毯、展示画面、桌椅、吧台、电源、灭火器等展位必需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标准展位搭建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服务商根据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主办方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需求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预计搭建260—350个标准展位/标改异展位，每个展位规格为3米*3米，标准展位高度不得超过2.5米，标改异展位高度不得超过4.5米。方案及报价必须包含展位、主体，灯光、墙体、桌椅、电源等展位必需品。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论坛舞台区搭建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服务商根据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主办方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需求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搭建论坛舞台区，包含：规划、设计、和舞台、灯光、音响、led电子屏、地毯、演讲台、论坛座椅、话筒、观众椅（不低于200个）、展区展示隔离展板等物料。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直播访谈搭建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服务商根据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主办方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zh-TW" w:eastAsia="zh-TW" w:bidi="zh-TW"/>
        </w:rPr>
        <w:t>需求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搭建咨询会的直播访谈区，包含：区域规划、场地布置、区域围挡、直播间搭建、室内布置、宣传挡板、LED电子屏、音响、桌椅等。</w:t>
      </w:r>
    </w:p>
    <w:p>
      <w:pPr>
        <w:tabs>
          <w:tab w:val="left" w:pos="751"/>
        </w:tabs>
        <w:bidi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四、商务要求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284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ab/>
      </w:r>
      <w:bookmarkStart w:id="1" w:name="bookmark153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bookmarkEnd w:id="1"/>
      <w:r>
        <w:rPr>
          <w:rFonts w:hint="eastAsia" w:ascii="仿宋" w:hAnsi="仿宋" w:eastAsia="仿宋" w:cs="仿宋"/>
          <w:color w:val="000000"/>
          <w:sz w:val="24"/>
          <w:szCs w:val="24"/>
        </w:rPr>
        <w:t>一）服务期限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2" w:name="bookmark154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从签订合同之日起至2024年中考招生咨询会结束。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4" w:firstLineChars="235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bookmarkEnd w:id="2"/>
      <w:r>
        <w:rPr>
          <w:rFonts w:hint="eastAsia" w:ascii="仿宋" w:hAnsi="仿宋" w:eastAsia="仿宋" w:cs="仿宋"/>
          <w:color w:val="000000"/>
          <w:sz w:val="24"/>
          <w:szCs w:val="24"/>
        </w:rPr>
        <w:t>二）款项结算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合同签订之后付70%，中考招生咨询会结束，验收完成后付30%。</w:t>
      </w:r>
    </w:p>
    <w:p>
      <w:pPr>
        <w:keepNext w:val="0"/>
        <w:keepLines w:val="0"/>
        <w:pageBreakBefore w:val="0"/>
        <w:widowControl w:val="0"/>
        <w:tabs>
          <w:tab w:val="left" w:pos="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tabs>
          <w:tab w:val="left" w:pos="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（一）进度要求</w:t>
      </w:r>
    </w:p>
    <w:p>
      <w:pPr>
        <w:keepNext w:val="0"/>
        <w:keepLines w:val="0"/>
        <w:pageBreakBefore w:val="0"/>
        <w:widowControl w:val="0"/>
        <w:tabs>
          <w:tab w:val="left" w:pos="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按照采购人要求施工进度完成项目。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324" w:firstLineChars="1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）质量验收标准或规范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zh-TW"/>
        </w:rPr>
        <w:t>按照采购人要求，依据会展行业规范，确保中考招生咨询会安全闭幕。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2EF1E"/>
    <w:multiLevelType w:val="singleLevel"/>
    <w:tmpl w:val="CFF2EF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zQ2Nzk4M2IwOWVlMWU4NjljZTZlNTRmMjFkNDkifQ=="/>
  </w:docVars>
  <w:rsids>
    <w:rsidRoot w:val="47D90AE5"/>
    <w:rsid w:val="1FF17CBA"/>
    <w:rsid w:val="47D90AE5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"/>
    <w:basedOn w:val="1"/>
    <w:next w:val="1"/>
    <w:qFormat/>
    <w:uiPriority w:val="0"/>
    <w:pPr>
      <w:spacing w:line="324" w:lineRule="auto"/>
    </w:pPr>
    <w:rPr>
      <w:rFonts w:ascii="Times New Roman" w:hAnsi="Times New Roman" w:eastAsia="宋体" w:cs="Times New Roman"/>
      <w:color w:val="993300"/>
      <w:sz w:val="24"/>
      <w:szCs w:val="2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customStyle="1" w:styleId="9">
    <w:name w:val="Body text|2"/>
    <w:basedOn w:val="1"/>
    <w:autoRedefine/>
    <w:qFormat/>
    <w:uiPriority w:val="0"/>
    <w:pPr>
      <w:spacing w:after="90" w:line="400" w:lineRule="exact"/>
      <w:ind w:left="470" w:firstLine="58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10">
    <w:name w:val="正文格式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2024-05-15T06:10:00Z</dcterms:created>
  <dc:creator>陕西笃信招标有限公司</dc:creator>
  <cp:lastModifiedBy>陕西笃信招标有限公司</cp:lastModifiedBy>
  <dcterms:modified xsi:type="dcterms:W3CDTF">2024-05-15T06:10:55Z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362E097667D24E4988AE00D6506D8782_11</vt:lpwstr>
  </property>
</Properties>
</file>