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辅助医疗</w:t>
      </w:r>
    </w:p>
    <w:p>
      <w:pPr>
        <w:pStyle w:val="null3"/>
        <w:jc w:val="center"/>
        <w:outlineLvl w:val="2"/>
      </w:pPr>
      <w:r>
        <w:rPr>
          <w:sz w:val="28"/>
          <w:b/>
        </w:rPr>
        <w:t>采购项目编号：</w:t>
      </w:r>
      <w:r>
        <w:rPr>
          <w:sz w:val="28"/>
          <w:b/>
        </w:rPr>
        <w:t>SXJTZB-ZC-CS20240513</w:t>
      </w:r>
      <w:r>
        <w:br/>
      </w:r>
      <w:r>
        <w:br/>
      </w:r>
      <w:r>
        <w:br/>
      </w:r>
    </w:p>
    <w:p>
      <w:pPr>
        <w:pStyle w:val="null3"/>
        <w:jc w:val="center"/>
        <w:outlineLvl w:val="2"/>
      </w:pPr>
      <w:r>
        <w:rPr>
          <w:sz w:val="28"/>
          <w:b/>
        </w:rPr>
        <w:t>西安市人民医院（西安市第四医院）</w:t>
      </w:r>
    </w:p>
    <w:p>
      <w:pPr>
        <w:pStyle w:val="null3"/>
        <w:jc w:val="center"/>
        <w:outlineLvl w:val="2"/>
      </w:pPr>
      <w:r>
        <w:rPr>
          <w:sz w:val="28"/>
          <w:b/>
        </w:rPr>
        <w:t>陕西嘉唐建设项目管理有限公司</w:t>
      </w:r>
      <w:r>
        <w:rPr>
          <w:sz w:val="28"/>
          <w:b/>
        </w:rPr>
        <w:t>共同编制</w:t>
      </w:r>
    </w:p>
    <w:p>
      <w:pPr>
        <w:pStyle w:val="null3"/>
        <w:jc w:val="center"/>
        <w:outlineLvl w:val="2"/>
      </w:pPr>
      <w:r>
        <w:rPr>
          <w:sz w:val="28"/>
          <w:b/>
        </w:rPr>
        <w:t>2024年05月23日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陕西嘉唐建设项目管理有限公司</w:t>
      </w:r>
      <w:r>
        <w:rPr/>
        <w:t>（以下简称“代理机构”）受</w:t>
      </w:r>
      <w:r>
        <w:rPr/>
        <w:t>西安市人民医院（西安市第四医院）</w:t>
      </w:r>
      <w:r>
        <w:rPr/>
        <w:t>委托，拟对</w:t>
      </w:r>
      <w:r>
        <w:rPr/>
        <w:t>辅助医疗</w:t>
      </w:r>
      <w:r>
        <w:rPr/>
        <w:t>采用竞争性磋商采购方式进行采购，兹邀请供应商参加本项目的竞争性磋商。</w:t>
      </w:r>
    </w:p>
    <w:p>
      <w:pPr>
        <w:pStyle w:val="null3"/>
        <w:outlineLvl w:val="2"/>
      </w:pPr>
      <w:r>
        <w:rPr>
          <w:sz w:val="28"/>
          <w:b/>
        </w:rPr>
        <w:t>一、项目编号：</w:t>
      </w:r>
      <w:r>
        <w:rPr>
          <w:sz w:val="28"/>
          <w:b/>
        </w:rPr>
        <w:t>SXJTZB-ZC-CS20240513</w:t>
      </w:r>
    </w:p>
    <w:p>
      <w:pPr>
        <w:pStyle w:val="null3"/>
        <w:outlineLvl w:val="2"/>
      </w:pPr>
      <w:r>
        <w:rPr>
          <w:sz w:val="28"/>
          <w:b/>
        </w:rPr>
        <w:t>二、项目名称：</w:t>
      </w:r>
      <w:r>
        <w:rPr>
          <w:sz w:val="28"/>
          <w:b/>
        </w:rPr>
        <w:t>辅助医疗</w:t>
      </w:r>
    </w:p>
    <w:p>
      <w:pPr>
        <w:pStyle w:val="null3"/>
        <w:outlineLvl w:val="2"/>
      </w:pPr>
      <w:r>
        <w:rPr>
          <w:sz w:val="28"/>
          <w:b/>
        </w:rPr>
        <w:t>三、磋商项目简介</w:t>
      </w:r>
    </w:p>
    <w:p>
      <w:pPr>
        <w:pStyle w:val="null3"/>
        <w:ind w:firstLine="480"/>
      </w:pPr>
      <w:r>
        <w:rPr/>
        <w:t>航天城院区新建3幢楼宇（核酸基地、后勤保障综合楼、发热门诊），目前正在办理规划手续。依据西安市自规局《西安市交通影响评价管理办法》和《西安市建设项目交通影响评价报告编制技术标准》（市资源发〔2021〕108号），第六条，独立报建的医疗类建设项目需要完成交通影响评价；依据西安市自规局《关于加强海绵城市建设规划管理工作实施方案》（市资源发〔2021〕165号），全市新建、改建、扩建的建筑，从规划管理的各个环节全面落实海绵城市建设理念和标准，通过规划设计、严格审查审批程序、强化批后监管与竣工验收等措施进行管理。具体内容详见竞争性磋商文件。</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采购包1（交通影响评价、海绵城市建设规划服务）：属于专门面向小微企业采购。</w:t>
      </w:r>
    </w:p>
    <w:p>
      <w:pPr>
        <w:pStyle w:val="null3"/>
      </w:pPr>
      <w:r>
        <w:rPr/>
        <w:t>采购包2（环评、验收、应急预案变更、排污许可变更服务）：属于专门面向小微企业采购。</w:t>
      </w:r>
    </w:p>
    <w:p>
      <w:pPr>
        <w:pStyle w:val="null3"/>
        <w:ind w:firstLine="480"/>
      </w:pPr>
      <w:r>
        <w:rPr/>
        <w:t>（三）本项目的特定资格要求：</w:t>
      </w:r>
    </w:p>
    <w:p>
      <w:pPr>
        <w:pStyle w:val="null3"/>
      </w:pPr>
      <w:r>
        <w:rPr/>
        <w:t>采购包1：</w:t>
      </w:r>
    </w:p>
    <w:p>
      <w:pPr>
        <w:pStyle w:val="null3"/>
      </w:pPr>
      <w:r>
        <w:rPr/>
        <w:t>1、主体资格证明文件：具有独立承担民事责任能力的法人或其他组织，提供有效存续的营业执照或事业单位法人证书或非企业专业服务机构执业许可证或民办非企业单位登记证书或自然人的身份证明;</w:t>
      </w:r>
    </w:p>
    <w:p>
      <w:pPr>
        <w:pStyle w:val="null3"/>
      </w:pPr>
      <w:r>
        <w:rPr/>
        <w:t>2、财务状况报告：提供经审计的2023年财务报告，包括 “四表一注”（即资产负债表、利润表、现金流量表、所有者权益变动表（没有可不提供）及其附注，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p>
      <w:pPr>
        <w:pStyle w:val="null3"/>
      </w:pPr>
      <w:r>
        <w:rPr/>
        <w:t>3、税收缴纳证明：提供已缴纳的2023年5月至今任意一个月的纳税证明或完税证明，纳税证明或完税证明上应有代收机构或税务机关的公章或业务专用章。依法免税的供应商应提供相关文件证明；</w:t>
      </w:r>
    </w:p>
    <w:p>
      <w:pPr>
        <w:pStyle w:val="null3"/>
      </w:pPr>
      <w:r>
        <w:rPr/>
        <w:t>4、具有履行合同所必需的设备和专业技术能力的承诺：供应商须提供具有履行合同所必需的设备和专业技术能力的承诺；</w:t>
      </w:r>
    </w:p>
    <w:p>
      <w:pPr>
        <w:pStyle w:val="null3"/>
      </w:pPr>
      <w:r>
        <w:rPr/>
        <w:t>5、社会保障资金缴纳证明：提供已缴纳的2023年5月至今任意一个月的社会保障资金缴纳单据或社保机构开具的社会保险参保缴费情况证明，单据或证明上应有社保机构或代收机构的公章或业务专用章。依法不需要缴纳社会保障资金的供应商应提供相关文件证明</w:t>
      </w:r>
    </w:p>
    <w:p>
      <w:pPr>
        <w:pStyle w:val="null3"/>
      </w:pPr>
      <w:r>
        <w:rPr/>
        <w:t>6、三年无重大违法记录声明：出具参加本次政府采购活动前三年内在经营活动中没有重大违法记录的书面声明</w:t>
      </w:r>
    </w:p>
    <w:p>
      <w:pPr>
        <w:pStyle w:val="null3"/>
      </w:pPr>
      <w:r>
        <w:rPr/>
        <w:t>7、法定代表人授权书：法定代表人参加磋商的提供法定代表人身份证明及身份证，委托代理人参加磋商的提供授权委托书及委托代理人身份证；自然人只需提供身份证；备注：分支机构由分支机构负责人授权即可</w:t>
      </w:r>
    </w:p>
    <w:p>
      <w:pPr>
        <w:pStyle w:val="null3"/>
      </w:pPr>
      <w:r>
        <w:rPr/>
        <w:t>8、供应商资质证书：供应商必须具有行政主管部门颁发的城乡规划编制乙级及以上资质</w:t>
      </w:r>
    </w:p>
    <w:p>
      <w:pPr>
        <w:pStyle w:val="null3"/>
      </w:pPr>
      <w:r>
        <w:rPr/>
        <w:t>9、本项目不接受联合体磋商：本项目不接受联合体磋商（提供书面声明材料）</w:t>
      </w:r>
    </w:p>
    <w:p>
      <w:pPr>
        <w:pStyle w:val="null3"/>
      </w:pPr>
      <w:r>
        <w:rPr/>
        <w:t>采购包2：</w:t>
      </w:r>
    </w:p>
    <w:p>
      <w:pPr>
        <w:pStyle w:val="null3"/>
      </w:pPr>
      <w:r>
        <w:rPr/>
        <w:t>1、主体资格证明文件：具有独立承担民事责任能力的法人或其他组织，提供有效存续的营业执照或事业单位法人证书或非企业专业服务机构执业许可证或民办非企业单位登记证书或自然人的身份证明;</w:t>
      </w:r>
    </w:p>
    <w:p>
      <w:pPr>
        <w:pStyle w:val="null3"/>
      </w:pPr>
      <w:r>
        <w:rPr/>
        <w:t>2、财务状况报告：提供经审计的2023年财务报告，包括 “四表一注”（即资产负债表、利润表、现金流量表、所有者权益变动表（没有可不提供）及其附注，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p>
      <w:pPr>
        <w:pStyle w:val="null3"/>
      </w:pPr>
      <w:r>
        <w:rPr/>
        <w:t>3、税收缴纳证明：提供已缴纳的2023年5月至今任意一个月的纳税证明或完税证明，纳税证明或完税证明上应有代收机构或税务机关的公章或业务专用章。依法免税的供应商应提供相关文件证明</w:t>
      </w:r>
    </w:p>
    <w:p>
      <w:pPr>
        <w:pStyle w:val="null3"/>
      </w:pPr>
      <w:r>
        <w:rPr/>
        <w:t>4、具有履行合同所必需的设备和专业技术能力的承诺：供应商须提供具有履行合同所必需的设备和专业技术能力的承诺</w:t>
      </w:r>
    </w:p>
    <w:p>
      <w:pPr>
        <w:pStyle w:val="null3"/>
      </w:pPr>
      <w:r>
        <w:rPr/>
        <w:t>5、社会保障资金缴纳证明：提供已缴纳的2023年5月至今任意一个月的社会保障资金缴纳单据或社保机构开具的社会保险参保缴费情况证明，单据或证明上应有社保机构或代收机构的公章或业务专用章。依法不需要缴纳社会保障资金的供应商应提供相关文件证明</w:t>
      </w:r>
    </w:p>
    <w:p>
      <w:pPr>
        <w:pStyle w:val="null3"/>
      </w:pPr>
      <w:r>
        <w:rPr/>
        <w:t>6、三年无重大违法记录声明：出具参加本次政府采购活动前三年内在经营活动中没有重大违法记录的书面声明</w:t>
      </w:r>
    </w:p>
    <w:p>
      <w:pPr>
        <w:pStyle w:val="null3"/>
      </w:pPr>
      <w:r>
        <w:rPr/>
        <w:t>7、法定代表人授权书：法定代表人参加磋商的提供法定代表人身份证明及身份证，委托代理人参加磋商的提供授权委托书及委托代理人身份证；自然人只需提供身份证；备注：分支机构由分支机构负责人授权即可</w:t>
      </w:r>
    </w:p>
    <w:p>
      <w:pPr>
        <w:pStyle w:val="null3"/>
      </w:pPr>
      <w:r>
        <w:rPr/>
        <w:t>8、本项目不接受联合体磋商：本项目不接受联合体磋商（提供书面声明材料）</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西安市人民医院（西安市第四医院）</w:t>
      </w:r>
    </w:p>
    <w:p>
      <w:pPr>
        <w:pStyle w:val="null3"/>
      </w:pPr>
      <w:r>
        <w:rPr/>
        <w:t xml:space="preserve"> 地址： </w:t>
      </w:r>
      <w:r>
        <w:rPr/>
        <w:t>西安市新城区解放路21号</w:t>
      </w:r>
    </w:p>
    <w:p>
      <w:pPr>
        <w:pStyle w:val="null3"/>
      </w:pPr>
      <w:r>
        <w:rPr/>
        <w:t xml:space="preserve"> 邮编： </w:t>
      </w:r>
      <w:r>
        <w:rPr/>
        <w:t>710000</w:t>
      </w:r>
    </w:p>
    <w:p>
      <w:pPr>
        <w:pStyle w:val="null3"/>
      </w:pPr>
      <w:r>
        <w:rPr/>
        <w:t xml:space="preserve"> 联系人： </w:t>
      </w:r>
      <w:r>
        <w:rPr/>
        <w:t>马老师</w:t>
      </w:r>
    </w:p>
    <w:p>
      <w:pPr>
        <w:pStyle w:val="null3"/>
      </w:pPr>
      <w:r>
        <w:rPr/>
        <w:t xml:space="preserve"> 联系电话： </w:t>
      </w:r>
      <w:r>
        <w:rPr/>
        <w:t>029-61220013</w:t>
      </w:r>
    </w:p>
    <w:p>
      <w:pPr>
        <w:pStyle w:val="null3"/>
        <w:outlineLvl w:val="3"/>
      </w:pPr>
      <w:r>
        <w:rPr>
          <w:sz w:val="24"/>
          <w:b/>
        </w:rPr>
        <w:t>代理机构：</w:t>
      </w:r>
      <w:r>
        <w:rPr>
          <w:sz w:val="24"/>
          <w:b/>
        </w:rPr>
        <w:t>陕西嘉唐建设项目管理有限公司</w:t>
      </w:r>
    </w:p>
    <w:p>
      <w:pPr>
        <w:pStyle w:val="null3"/>
      </w:pPr>
      <w:r>
        <w:rPr/>
        <w:t xml:space="preserve"> 地址： </w:t>
      </w:r>
      <w:r>
        <w:rPr/>
        <w:t>西安市未央区凤城五路与明光路十字天朗经开中心10楼11002室</w:t>
      </w:r>
    </w:p>
    <w:p>
      <w:pPr>
        <w:pStyle w:val="null3"/>
      </w:pPr>
      <w:r>
        <w:rPr/>
        <w:t xml:space="preserve"> 邮编： </w:t>
      </w:r>
      <w:r>
        <w:rPr/>
        <w:t>710000</w:t>
      </w:r>
    </w:p>
    <w:p>
      <w:pPr>
        <w:pStyle w:val="null3"/>
      </w:pPr>
      <w:r>
        <w:rPr/>
        <w:t xml:space="preserve"> 联系人： </w:t>
      </w:r>
      <w:r>
        <w:rPr/>
        <w:t>姬鹏举</w:t>
      </w:r>
    </w:p>
    <w:p>
      <w:pPr>
        <w:pStyle w:val="null3"/>
      </w:pPr>
      <w:r>
        <w:rPr/>
        <w:t xml:space="preserve"> 联系电话： </w:t>
      </w:r>
      <w:r>
        <w:rPr/>
        <w:t>029-89351397</w:t>
      </w:r>
    </w:p>
    <w:p>
      <w:pPr>
        <w:pStyle w:val="null3"/>
        <w:outlineLvl w:val="3"/>
      </w:pPr>
      <w:r>
        <w:rPr>
          <w:sz w:val="24"/>
          <w:b/>
        </w:rPr>
        <w:t>采购监督机构：</w:t>
      </w:r>
      <w:r>
        <w:rPr>
          <w:sz w:val="24"/>
          <w:b/>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采购包1：320,000.00元</w:t>
            </w:r>
          </w:p>
          <w:p>
            <w:pPr>
              <w:pStyle w:val="null3"/>
            </w:pPr>
            <w:r>
              <w:rPr/>
              <w:t>采购包2：180,000.00元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p>
            <w:pPr>
              <w:pStyle w:val="null3"/>
            </w:pPr>
            <w:r>
              <w:rPr/>
              <w:t>采购包2：不缴纳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颁发的《招标代理服务收费管理暂行办法》（计价格[2002]1980号）和国家发展改革委员会办公厅颁发的《关于招标代理服务收费有关问题的通知》（发改办价格[2003]857号）的有关规定下浮20%执行。 成交单位在领取成交通知书前，须向采购代理机构一次性支付代理服务费。 服务费交纳信息： 银行户名：陕西嘉唐建设项目管理有限公司 开户银行：西安银行股份有限公司含光门支行 账 号：112011580000141313</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采购包1：组织现场踏勘：是</w:t>
            </w:r>
          </w:p>
          <w:p>
            <w:pPr>
              <w:pStyle w:val="null3"/>
              <w:ind w:firstLine="975"/>
            </w:pPr>
            <w:r>
              <w:rPr/>
              <w:t>踏勘时间：2024-06-04 09:30:00</w:t>
            </w:r>
          </w:p>
          <w:p>
            <w:pPr>
              <w:pStyle w:val="null3"/>
              <w:ind w:firstLine="975"/>
            </w:pPr>
            <w:r>
              <w:rPr/>
              <w:t>踏勘地点：西安市人民医院（西安市第四医院）航天城院区</w:t>
            </w:r>
          </w:p>
          <w:p>
            <w:pPr>
              <w:pStyle w:val="null3"/>
              <w:ind w:firstLine="975"/>
            </w:pPr>
            <w:r>
              <w:rPr/>
              <w:t>联系人：姬鹏举</w:t>
            </w:r>
          </w:p>
          <w:p>
            <w:pPr>
              <w:pStyle w:val="null3"/>
              <w:ind w:firstLine="975"/>
            </w:pPr>
            <w:r>
              <w:rPr/>
              <w:t>联系电话号码：15399456357</w:t>
            </w:r>
          </w:p>
          <w:p>
            <w:pPr>
              <w:pStyle w:val="null3"/>
            </w:pPr>
            <w:r>
              <w:rPr/>
              <w:t>采购包2：组织现场踏勘：是</w:t>
            </w:r>
          </w:p>
          <w:p>
            <w:pPr>
              <w:pStyle w:val="null3"/>
              <w:ind w:firstLine="975"/>
            </w:pPr>
            <w:r>
              <w:rPr/>
              <w:t>踏勘时间：2024-06-04 09:30:00</w:t>
            </w:r>
          </w:p>
          <w:p>
            <w:pPr>
              <w:pStyle w:val="null3"/>
              <w:ind w:firstLine="975"/>
            </w:pPr>
            <w:r>
              <w:rPr/>
              <w:t>踏勘地点：西安市人民医院（西安市第四医院）航天城院区</w:t>
            </w:r>
          </w:p>
          <w:p>
            <w:pPr>
              <w:pStyle w:val="null3"/>
              <w:ind w:firstLine="975"/>
            </w:pPr>
            <w:r>
              <w:rPr/>
              <w:t>联系人：姬鹏举</w:t>
            </w:r>
          </w:p>
          <w:p>
            <w:pPr>
              <w:pStyle w:val="null3"/>
              <w:ind w:firstLine="975"/>
            </w:pPr>
            <w:r>
              <w:rPr/>
              <w:t>联系电话号码：15399456357</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西安市人民医院（西安市第四医院）</w:t>
      </w:r>
      <w:r>
        <w:rPr/>
        <w:t>和</w:t>
      </w:r>
      <w:r>
        <w:rPr/>
        <w:t>陕西嘉唐建设项目管理有限公司</w:t>
      </w:r>
      <w:r>
        <w:rPr/>
        <w:t>享有。对磋商文件中供应商参加本次政府采购活动应当具备的条件，磋商项目技术、服务、商务及其他要求，评审细则及标准由</w:t>
      </w:r>
      <w:r>
        <w:rPr/>
        <w:t>西安市人民医院（西安市第四医院）</w:t>
      </w:r>
      <w:r>
        <w:rPr/>
        <w:t>负责解释。除上述磋商文件内容，其他内容由</w:t>
      </w:r>
      <w:r>
        <w:rPr/>
        <w:t>陕西嘉唐建设项目管理有限公司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西安市人民医院（西安市第四医院）</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陕西嘉唐建设项目管理有限公司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详见合同条款</w:t>
      </w:r>
    </w:p>
    <w:p>
      <w:pPr>
        <w:pStyle w:val="null3"/>
      </w:pPr>
      <w:r>
        <w:rPr/>
        <w:t>采购包2：</w:t>
      </w:r>
    </w:p>
    <w:p>
      <w:pPr>
        <w:pStyle w:val="null3"/>
      </w:pPr>
      <w:r>
        <w:rPr/>
        <w:t>详见合同条款</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陕西嘉唐建设项目管理有限公司</w:t>
      </w:r>
      <w:r>
        <w:rPr/>
        <w:t xml:space="preserve"> 负责答复；供应商对除采购需求外的采购文件的询问、质疑由</w:t>
      </w:r>
      <w:r>
        <w:rPr/>
        <w:t>陕西嘉唐建设项目管理有限公司</w:t>
      </w:r>
      <w:r>
        <w:rPr/>
        <w:t xml:space="preserve"> 负责答复；供应商对采购过程、采购结果的询问、质疑由 </w:t>
      </w:r>
      <w:r>
        <w:rPr/>
        <w:t>陕西嘉唐建设项目管理有限公司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联系人：姬鹏举</w:t>
      </w:r>
    </w:p>
    <w:p>
      <w:pPr>
        <w:pStyle w:val="null3"/>
      </w:pPr>
      <w:r>
        <w:rPr/>
        <w:t>联系电话：029-89351397</w:t>
      </w:r>
    </w:p>
    <w:p>
      <w:pPr>
        <w:pStyle w:val="null3"/>
      </w:pPr>
      <w:r>
        <w:rPr/>
        <w:t>地址：西安市未央区凤城五路与明光路十字天朗经开中心10楼11002室</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航天城院区新建3幢楼宇（核酸基地、后勤保障综合楼、发热门诊），目前正在办理规划手续。依据西安市自规局《西安市交通影响评价管理办法》和《西安市建设项目交通影响评价报告编制技术标准》（市资源发〔2021〕108号），第六条，独立报建的医疗类建设项目需要完成交通影响评价；依据西安市自规局《关于加强海绵城市建设规划管理工作实施方案》（市资源发〔2021〕165号），全市新建、改建、扩建的建筑，从规划管理的各个环节全面落实海绵城市建设理念和标准，通过规划设计、严格审查审批程序、强化批后监管与竣工验收等措施进行管理。</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320,000.00</w:t>
      </w:r>
    </w:p>
    <w:p>
      <w:pPr>
        <w:pStyle w:val="null3"/>
      </w:pPr>
      <w:r>
        <w:rPr/>
        <w:t>采购包最高限价（元）: 320,000.00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交通影响评价、海绵城市建设规划服务，一项</w:t>
            </w:r>
          </w:p>
        </w:tc>
        <w:tc>
          <w:tcPr>
            <w:tcW w:type="dxa" w:w="831"/>
          </w:tcPr>
          <w:p>
            <w:pPr>
              <w:pStyle w:val="null3"/>
              <w:jc w:val="right"/>
            </w:pPr>
            <w:r>
              <w:rPr/>
              <w:t>1.00</w:t>
            </w:r>
          </w:p>
        </w:tc>
        <w:tc>
          <w:tcPr>
            <w:tcW w:type="dxa" w:w="831"/>
          </w:tcPr>
          <w:p>
            <w:pPr>
              <w:pStyle w:val="null3"/>
              <w:jc w:val="right"/>
            </w:pPr>
            <w:r>
              <w:rPr/>
              <w:t>320,000.00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180,000.00</w:t>
      </w:r>
    </w:p>
    <w:p>
      <w:pPr>
        <w:pStyle w:val="null3"/>
      </w:pPr>
      <w:r>
        <w:rPr/>
        <w:t>采购包最高限价（元）: 180,000.00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环评、验收、应急预案变更、排污许可变更服务，一项</w:t>
            </w:r>
          </w:p>
        </w:tc>
        <w:tc>
          <w:tcPr>
            <w:tcW w:type="dxa" w:w="831"/>
          </w:tcPr>
          <w:p>
            <w:pPr>
              <w:pStyle w:val="null3"/>
              <w:jc w:val="right"/>
            </w:pPr>
            <w:r>
              <w:rPr/>
              <w:t>1.00</w:t>
            </w:r>
          </w:p>
        </w:tc>
        <w:tc>
          <w:tcPr>
            <w:tcW w:type="dxa" w:w="831"/>
          </w:tcPr>
          <w:p>
            <w:pPr>
              <w:pStyle w:val="null3"/>
              <w:jc w:val="right"/>
            </w:pPr>
            <w:r>
              <w:rPr/>
              <w:t>180,000.00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标的名称：交通影响评价、海绵城市建设规划服务，一项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0"/>
              </w:rPr>
              <w:t>（一）</w:t>
            </w:r>
            <w:r>
              <w:rPr>
                <w:rFonts w:ascii="宋体" w:hAnsi="宋体" w:cs="宋体" w:eastAsia="宋体"/>
                <w:sz w:val="20"/>
              </w:rPr>
              <w:t>项目概况：</w:t>
            </w:r>
            <w:r>
              <w:rPr>
                <w:rFonts w:ascii="宋体" w:hAnsi="宋体" w:cs="宋体" w:eastAsia="宋体"/>
                <w:sz w:val="20"/>
              </w:rPr>
              <w:t>航天城院区新建</w:t>
            </w:r>
            <w:r>
              <w:rPr>
                <w:rFonts w:ascii="宋体" w:hAnsi="宋体" w:cs="宋体" w:eastAsia="宋体"/>
                <w:sz w:val="20"/>
              </w:rPr>
              <w:t>3幢楼宇（核酸基地、后勤保障综合楼、发热门诊），目前正在办理规划手续。依据西安市自规局《西安市交通影响评价管理办法》和《西安市建设项目交通影响评价报告编制技术标准》（市资源发〔2021〕108号），第六条，独立报建的医疗类建设项目需要完成交通影响评价</w:t>
            </w:r>
            <w:r>
              <w:rPr>
                <w:rFonts w:ascii="宋体" w:hAnsi="宋体" w:cs="宋体" w:eastAsia="宋体"/>
                <w:sz w:val="20"/>
              </w:rPr>
              <w:t>；</w:t>
            </w:r>
            <w:r>
              <w:rPr>
                <w:rFonts w:ascii="宋体" w:hAnsi="宋体" w:cs="宋体" w:eastAsia="宋体"/>
                <w:sz w:val="20"/>
              </w:rPr>
              <w:t>依据西安市自规局《关于加强海绵城市建设规划管理工作实施方案》（市资源发〔</w:t>
            </w:r>
            <w:r>
              <w:rPr>
                <w:rFonts w:ascii="宋体" w:hAnsi="宋体" w:cs="宋体" w:eastAsia="宋体"/>
                <w:sz w:val="20"/>
              </w:rPr>
              <w:t>2021〕165号），全市新建、改建、扩建的建筑，从规划管理的各个环节全面落实海绵城市建设理念和标准，通过规划设计、严格审查审批程序、强化批后监管与竣工验收等措施进行管理。</w:t>
            </w:r>
          </w:p>
        </w:tc>
      </w:tr>
      <w:tr>
        <w:tc>
          <w:tcPr>
            <w:tcW w:type="dxa" w:w="2769"/>
          </w:tcPr>
          <w:p/>
        </w:tc>
        <w:tc>
          <w:tcPr>
            <w:tcW w:type="dxa" w:w="2769"/>
          </w:tcPr>
          <w:p>
            <w:pPr>
              <w:pStyle w:val="null3"/>
            </w:pPr>
            <w:r>
              <w:rPr/>
              <w:t>2</w:t>
            </w:r>
          </w:p>
        </w:tc>
        <w:tc>
          <w:tcPr>
            <w:tcW w:type="dxa" w:w="2769"/>
          </w:tcPr>
          <w:p>
            <w:pPr>
              <w:pStyle w:val="null3"/>
              <w:jc w:val="both"/>
            </w:pPr>
            <w:r>
              <w:rPr>
                <w:rFonts w:ascii="宋体" w:hAnsi="宋体" w:cs="宋体" w:eastAsia="宋体"/>
                <w:sz w:val="20"/>
              </w:rPr>
              <w:t>（</w:t>
            </w:r>
            <w:r>
              <w:rPr>
                <w:rFonts w:ascii="宋体" w:hAnsi="宋体" w:cs="宋体" w:eastAsia="宋体"/>
                <w:sz w:val="20"/>
              </w:rPr>
              <w:t>二</w:t>
            </w:r>
            <w:r>
              <w:rPr>
                <w:rFonts w:ascii="宋体" w:hAnsi="宋体" w:cs="宋体" w:eastAsia="宋体"/>
                <w:sz w:val="20"/>
              </w:rPr>
              <w:t>）服务要求：</w:t>
            </w:r>
            <w:r>
              <w:rPr>
                <w:rFonts w:ascii="宋体" w:hAnsi="宋体" w:cs="宋体" w:eastAsia="宋体"/>
                <w:sz w:val="20"/>
              </w:rPr>
              <w:t>1、</w:t>
            </w:r>
            <w:r>
              <w:rPr>
                <w:rFonts w:ascii="宋体" w:hAnsi="宋体" w:cs="宋体" w:eastAsia="宋体"/>
                <w:sz w:val="20"/>
              </w:rPr>
              <w:t>设计（咨询）范围：完成本项目范围内的交通影响评价</w:t>
            </w:r>
            <w:r>
              <w:rPr>
                <w:rFonts w:ascii="宋体" w:hAnsi="宋体" w:cs="宋体" w:eastAsia="宋体"/>
                <w:sz w:val="20"/>
              </w:rPr>
              <w:t>、</w:t>
            </w:r>
            <w:r>
              <w:rPr>
                <w:rFonts w:ascii="宋体" w:hAnsi="宋体" w:cs="宋体" w:eastAsia="宋体"/>
                <w:sz w:val="20"/>
              </w:rPr>
              <w:t>海绵城市</w:t>
            </w:r>
            <w:r>
              <w:rPr>
                <w:rFonts w:ascii="宋体" w:hAnsi="宋体" w:cs="宋体" w:eastAsia="宋体"/>
                <w:sz w:val="20"/>
              </w:rPr>
              <w:t>建设规划服务</w:t>
            </w:r>
            <w:r>
              <w:rPr>
                <w:rFonts w:ascii="宋体" w:hAnsi="宋体" w:cs="宋体" w:eastAsia="宋体"/>
                <w:sz w:val="20"/>
              </w:rPr>
              <w:t>。</w:t>
            </w:r>
          </w:p>
        </w:tc>
      </w:tr>
      <w:tr>
        <w:tc>
          <w:tcPr>
            <w:tcW w:type="dxa" w:w="2769"/>
          </w:tcPr>
          <w:p/>
        </w:tc>
        <w:tc>
          <w:tcPr>
            <w:tcW w:type="dxa" w:w="2769"/>
          </w:tcPr>
          <w:p>
            <w:pPr>
              <w:pStyle w:val="null3"/>
            </w:pPr>
            <w:r>
              <w:rPr/>
              <w:t>3</w:t>
            </w:r>
          </w:p>
        </w:tc>
        <w:tc>
          <w:tcPr>
            <w:tcW w:type="dxa" w:w="2769"/>
          </w:tcPr>
          <w:p>
            <w:pPr>
              <w:pStyle w:val="null3"/>
            </w:pPr>
            <w:r>
              <w:rPr>
                <w:rFonts w:ascii="宋体" w:hAnsi="宋体" w:cs="宋体" w:eastAsia="宋体"/>
                <w:sz w:val="20"/>
              </w:rPr>
              <w:t>（</w:t>
            </w:r>
            <w:r>
              <w:rPr>
                <w:rFonts w:ascii="宋体" w:hAnsi="宋体" w:cs="宋体" w:eastAsia="宋体"/>
                <w:sz w:val="20"/>
              </w:rPr>
              <w:t>二</w:t>
            </w:r>
            <w:r>
              <w:rPr>
                <w:rFonts w:ascii="宋体" w:hAnsi="宋体" w:cs="宋体" w:eastAsia="宋体"/>
                <w:sz w:val="20"/>
              </w:rPr>
              <w:t>）服务要求：</w:t>
            </w:r>
            <w:r>
              <w:rPr>
                <w:rFonts w:ascii="宋体" w:hAnsi="宋体" w:cs="宋体" w:eastAsia="宋体"/>
                <w:sz w:val="20"/>
              </w:rPr>
              <w:t>2、</w:t>
            </w:r>
            <w:r>
              <w:rPr>
                <w:rFonts w:ascii="宋体" w:hAnsi="宋体" w:cs="宋体" w:eastAsia="宋体"/>
                <w:sz w:val="20"/>
              </w:rPr>
              <w:t xml:space="preserve"> </w:t>
            </w:r>
            <w:r>
              <w:rPr>
                <w:rFonts w:ascii="宋体" w:hAnsi="宋体" w:cs="宋体" w:eastAsia="宋体"/>
                <w:sz w:val="20"/>
              </w:rPr>
              <w:t>工作内容：本</w:t>
            </w:r>
            <w:r>
              <w:rPr>
                <w:rFonts w:ascii="宋体" w:hAnsi="宋体" w:cs="宋体" w:eastAsia="宋体"/>
                <w:sz w:val="20"/>
              </w:rPr>
              <w:t>项目</w:t>
            </w:r>
            <w:r>
              <w:rPr>
                <w:rFonts w:ascii="宋体" w:hAnsi="宋体" w:cs="宋体" w:eastAsia="宋体"/>
                <w:sz w:val="20"/>
              </w:rPr>
              <w:t>包含两个设计咨询单项，分别为</w:t>
            </w:r>
            <w:r>
              <w:rPr>
                <w:rFonts w:ascii="宋体" w:hAnsi="宋体" w:cs="宋体" w:eastAsia="宋体"/>
                <w:sz w:val="20"/>
              </w:rPr>
              <w:t>交通影响评价</w:t>
            </w:r>
            <w:r>
              <w:rPr>
                <w:rFonts w:ascii="宋体" w:hAnsi="宋体" w:cs="宋体" w:eastAsia="宋体"/>
                <w:sz w:val="20"/>
              </w:rPr>
              <w:t>、海绵城市</w:t>
            </w:r>
            <w:r>
              <w:rPr>
                <w:rFonts w:ascii="宋体" w:hAnsi="宋体" w:cs="宋体" w:eastAsia="宋体"/>
                <w:sz w:val="20"/>
              </w:rPr>
              <w:t>建设规划</w:t>
            </w:r>
            <w:r>
              <w:rPr>
                <w:rFonts w:ascii="宋体" w:hAnsi="宋体" w:cs="宋体" w:eastAsia="宋体"/>
                <w:sz w:val="20"/>
              </w:rPr>
              <w:t>。</w:t>
            </w:r>
            <w:r>
              <w:rPr>
                <w:rFonts w:ascii="宋体" w:hAnsi="宋体" w:cs="宋体" w:eastAsia="宋体"/>
                <w:sz w:val="20"/>
              </w:rPr>
              <w:t>主要任务是提供设计咨询服务，根据政府主管部门发布的相关文件或相关规范要求，出具设计方案，组织并确保通过专家评审会，获取合格意见书。交通影响评价</w:t>
            </w:r>
            <w:r>
              <w:rPr>
                <w:rFonts w:ascii="宋体" w:hAnsi="宋体" w:cs="宋体" w:eastAsia="宋体"/>
                <w:sz w:val="20"/>
              </w:rPr>
              <w:t>，</w:t>
            </w:r>
            <w:r>
              <w:rPr>
                <w:rFonts w:ascii="宋体" w:hAnsi="宋体" w:cs="宋体" w:eastAsia="宋体"/>
                <w:sz w:val="20"/>
              </w:rPr>
              <w:t>根据建设项目所在地区的土地利用和交通系统状况</w:t>
            </w:r>
            <w:r>
              <w:rPr>
                <w:rFonts w:ascii="宋体" w:hAnsi="宋体" w:cs="宋体" w:eastAsia="宋体"/>
                <w:sz w:val="20"/>
              </w:rPr>
              <w:t>,评价建设项目新生成交通需求对范围内交通系统运行的影响,并应根据交通影响的程度,提出对评价范围内交通系统及建设项报审方案的改善建议。海绵城市</w:t>
            </w:r>
            <w:r>
              <w:rPr>
                <w:rFonts w:ascii="宋体" w:hAnsi="宋体" w:cs="宋体" w:eastAsia="宋体"/>
                <w:sz w:val="20"/>
              </w:rPr>
              <w:t>建设规划</w:t>
            </w:r>
            <w:r>
              <w:rPr>
                <w:rFonts w:ascii="宋体" w:hAnsi="宋体" w:cs="宋体" w:eastAsia="宋体"/>
                <w:sz w:val="20"/>
              </w:rPr>
              <w:t>咨询包括但不限于规划方案设计</w:t>
            </w:r>
            <w:r>
              <w:rPr>
                <w:rFonts w:ascii="宋体" w:hAnsi="宋体" w:cs="宋体" w:eastAsia="宋体"/>
                <w:sz w:val="20"/>
              </w:rPr>
              <w:t>、</w:t>
            </w:r>
            <w:r>
              <w:rPr>
                <w:rFonts w:ascii="宋体" w:hAnsi="宋体" w:cs="宋体" w:eastAsia="宋体"/>
                <w:sz w:val="20"/>
              </w:rPr>
              <w:t>及</w:t>
            </w:r>
            <w:r>
              <w:rPr>
                <w:rFonts w:ascii="宋体" w:hAnsi="宋体" w:cs="宋体" w:eastAsia="宋体"/>
                <w:sz w:val="20"/>
              </w:rPr>
              <w:t>报批报建等全部工作。</w:t>
            </w:r>
          </w:p>
        </w:tc>
      </w:tr>
      <w:tr>
        <w:tc>
          <w:tcPr>
            <w:tcW w:type="dxa" w:w="2769"/>
          </w:tcPr>
          <w:p/>
        </w:tc>
        <w:tc>
          <w:tcPr>
            <w:tcW w:type="dxa" w:w="2769"/>
          </w:tcPr>
          <w:p>
            <w:pPr>
              <w:pStyle w:val="null3"/>
            </w:pPr>
            <w:r>
              <w:rPr/>
              <w:t>4</w:t>
            </w:r>
          </w:p>
        </w:tc>
        <w:tc>
          <w:tcPr>
            <w:tcW w:type="dxa" w:w="2769"/>
          </w:tcPr>
          <w:p>
            <w:pPr>
              <w:pStyle w:val="null3"/>
            </w:pPr>
            <w:r>
              <w:rPr/>
              <w:t>其他要求</w:t>
            </w:r>
          </w:p>
          <w:p>
            <w:pPr>
              <w:pStyle w:val="null3"/>
              <w:ind w:firstLine="400"/>
              <w:jc w:val="both"/>
            </w:pPr>
            <w:r>
              <w:rPr>
                <w:rFonts w:ascii="宋体" w:hAnsi="宋体" w:cs="宋体" w:eastAsia="宋体"/>
                <w:sz w:val="20"/>
                <w:color w:val="333333"/>
              </w:rPr>
              <w:t>（一）</w:t>
            </w:r>
            <w:r>
              <w:rPr>
                <w:rFonts w:ascii="宋体" w:hAnsi="宋体" w:cs="宋体" w:eastAsia="宋体"/>
                <w:sz w:val="20"/>
                <w:color w:val="333333"/>
              </w:rPr>
              <w:t>服务期限</w:t>
            </w:r>
          </w:p>
          <w:p>
            <w:pPr>
              <w:pStyle w:val="null3"/>
              <w:ind w:firstLine="400"/>
              <w:jc w:val="both"/>
            </w:pPr>
            <w:r>
              <w:rPr>
                <w:rFonts w:ascii="宋体" w:hAnsi="宋体" w:cs="宋体" w:eastAsia="宋体"/>
                <w:sz w:val="20"/>
                <w:color w:val="333333"/>
              </w:rPr>
              <w:t>1、</w:t>
            </w:r>
            <w:r>
              <w:rPr>
                <w:rFonts w:ascii="宋体" w:hAnsi="宋体" w:cs="宋体" w:eastAsia="宋体"/>
                <w:sz w:val="20"/>
                <w:color w:val="333333"/>
              </w:rPr>
              <w:t>交通影响评价内容</w:t>
            </w:r>
          </w:p>
          <w:p>
            <w:pPr>
              <w:pStyle w:val="null3"/>
              <w:ind w:firstLine="400"/>
              <w:jc w:val="both"/>
            </w:pPr>
            <w:r>
              <w:rPr>
                <w:rFonts w:ascii="宋体" w:hAnsi="宋体" w:cs="宋体" w:eastAsia="宋体"/>
                <w:sz w:val="20"/>
                <w:color w:val="333333"/>
              </w:rPr>
              <w:t>（</w:t>
            </w:r>
            <w:r>
              <w:rPr>
                <w:rFonts w:ascii="宋体" w:hAnsi="宋体" w:cs="宋体" w:eastAsia="宋体"/>
                <w:sz w:val="20"/>
                <w:color w:val="333333"/>
              </w:rPr>
              <w:t>1）</w:t>
            </w:r>
            <w:r>
              <w:rPr>
                <w:rFonts w:ascii="宋体" w:hAnsi="宋体" w:cs="宋体" w:eastAsia="宋体"/>
                <w:sz w:val="20"/>
                <w:color w:val="333333"/>
              </w:rPr>
              <w:t>合同签订及</w:t>
            </w:r>
            <w:r>
              <w:rPr>
                <w:rFonts w:ascii="宋体" w:hAnsi="宋体" w:cs="宋体" w:eastAsia="宋体"/>
                <w:sz w:val="20"/>
                <w:color w:val="333333"/>
              </w:rPr>
              <w:t>采购人</w:t>
            </w:r>
            <w:r>
              <w:rPr>
                <w:rFonts w:ascii="宋体" w:hAnsi="宋体" w:cs="宋体" w:eastAsia="宋体"/>
                <w:sz w:val="20"/>
                <w:color w:val="333333"/>
              </w:rPr>
              <w:t>提供编制需要确定的相关资料</w:t>
            </w:r>
            <w:r>
              <w:rPr>
                <w:rFonts w:ascii="宋体" w:hAnsi="宋体" w:cs="宋体" w:eastAsia="宋体"/>
                <w:sz w:val="20"/>
                <w:color w:val="333333"/>
              </w:rPr>
              <w:t>≤</w:t>
            </w:r>
            <w:r>
              <w:rPr>
                <w:rFonts w:ascii="宋体" w:hAnsi="宋体" w:cs="宋体" w:eastAsia="宋体"/>
                <w:sz w:val="20"/>
                <w:color w:val="333333"/>
              </w:rPr>
              <w:t>15个工作日后,提交中间成果,供专家</w:t>
            </w:r>
            <w:r>
              <w:rPr>
                <w:rFonts w:ascii="宋体" w:hAnsi="宋体" w:cs="宋体" w:eastAsia="宋体"/>
                <w:sz w:val="20"/>
                <w:color w:val="333333"/>
              </w:rPr>
              <w:t>技术</w:t>
            </w:r>
            <w:r>
              <w:rPr>
                <w:rFonts w:ascii="宋体" w:hAnsi="宋体" w:cs="宋体" w:eastAsia="宋体"/>
                <w:sz w:val="20"/>
                <w:color w:val="333333"/>
              </w:rPr>
              <w:t>审查。</w:t>
            </w:r>
          </w:p>
          <w:p>
            <w:pPr>
              <w:pStyle w:val="null3"/>
              <w:jc w:val="both"/>
            </w:pPr>
            <w:r>
              <w:rPr>
                <w:rFonts w:ascii="宋体" w:hAnsi="宋体" w:cs="宋体" w:eastAsia="宋体"/>
                <w:sz w:val="20"/>
                <w:color w:val="333333"/>
              </w:rPr>
              <w:t xml:space="preserve">   （</w:t>
            </w:r>
            <w:r>
              <w:rPr>
                <w:rFonts w:ascii="宋体" w:hAnsi="宋体" w:cs="宋体" w:eastAsia="宋体"/>
                <w:sz w:val="20"/>
                <w:color w:val="333333"/>
              </w:rPr>
              <w:t xml:space="preserve">2） </w:t>
            </w:r>
            <w:r>
              <w:rPr>
                <w:rFonts w:ascii="宋体" w:hAnsi="宋体" w:cs="宋体" w:eastAsia="宋体"/>
                <w:sz w:val="20"/>
                <w:color w:val="333333"/>
              </w:rPr>
              <w:t>专家技术会议通过</w:t>
            </w:r>
            <w:r>
              <w:rPr>
                <w:rFonts w:ascii="宋体" w:hAnsi="宋体" w:cs="宋体" w:eastAsia="宋体"/>
                <w:sz w:val="20"/>
                <w:color w:val="333333"/>
              </w:rPr>
              <w:t>≤</w:t>
            </w:r>
            <w:r>
              <w:rPr>
                <w:rFonts w:ascii="宋体" w:hAnsi="宋体" w:cs="宋体" w:eastAsia="宋体"/>
                <w:sz w:val="20"/>
                <w:color w:val="333333"/>
              </w:rPr>
              <w:t>5个工作日,提交最终成果.该成果报送主管部门审查通过。</w:t>
            </w:r>
          </w:p>
        </w:tc>
      </w:tr>
      <w:tr>
        <w:tc>
          <w:tcPr>
            <w:tcW w:type="dxa" w:w="2769"/>
          </w:tcPr>
          <w:p/>
        </w:tc>
        <w:tc>
          <w:tcPr>
            <w:tcW w:type="dxa" w:w="2769"/>
          </w:tcPr>
          <w:p>
            <w:pPr>
              <w:pStyle w:val="null3"/>
            </w:pPr>
            <w:r>
              <w:rPr/>
              <w:t>5</w:t>
            </w:r>
          </w:p>
        </w:tc>
        <w:tc>
          <w:tcPr>
            <w:tcW w:type="dxa" w:w="2769"/>
          </w:tcPr>
          <w:p>
            <w:pPr>
              <w:pStyle w:val="null3"/>
              <w:ind w:firstLine="400"/>
            </w:pPr>
            <w:r>
              <w:rPr>
                <w:rFonts w:ascii="宋体" w:hAnsi="宋体" w:cs="宋体" w:eastAsia="宋体"/>
                <w:sz w:val="20"/>
                <w:color w:val="333333"/>
              </w:rPr>
              <w:t>（二）</w:t>
            </w:r>
            <w:r>
              <w:rPr>
                <w:rFonts w:ascii="宋体" w:hAnsi="宋体" w:cs="宋体" w:eastAsia="宋体"/>
                <w:sz w:val="20"/>
              </w:rPr>
              <w:t>海绵城市</w:t>
            </w:r>
            <w:r>
              <w:rPr>
                <w:rFonts w:ascii="宋体" w:hAnsi="宋体" w:cs="宋体" w:eastAsia="宋体"/>
                <w:sz w:val="20"/>
              </w:rPr>
              <w:t>建设规划内容</w:t>
            </w:r>
          </w:p>
          <w:p>
            <w:pPr>
              <w:pStyle w:val="null3"/>
              <w:ind w:firstLine="400"/>
              <w:jc w:val="both"/>
            </w:pPr>
            <w:r>
              <w:rPr>
                <w:rFonts w:ascii="宋体" w:hAnsi="宋体" w:cs="宋体" w:eastAsia="宋体"/>
                <w:sz w:val="20"/>
              </w:rPr>
              <w:t>（</w:t>
            </w:r>
            <w:r>
              <w:rPr>
                <w:rFonts w:ascii="宋体" w:hAnsi="宋体" w:cs="宋体" w:eastAsia="宋体"/>
                <w:sz w:val="20"/>
              </w:rPr>
              <w:t>1）根据项目现有设计情况和目标，进行初步预评估，提出海绵城市初步设计方案，并提交方案图纸。</w:t>
            </w:r>
          </w:p>
          <w:p>
            <w:pPr>
              <w:pStyle w:val="null3"/>
              <w:ind w:firstLine="400"/>
              <w:jc w:val="both"/>
            </w:pPr>
            <w:r>
              <w:rPr>
                <w:rFonts w:ascii="宋体" w:hAnsi="宋体" w:cs="宋体" w:eastAsia="宋体"/>
                <w:sz w:val="20"/>
              </w:rPr>
              <w:t>（</w:t>
            </w:r>
            <w:r>
              <w:rPr>
                <w:rFonts w:ascii="宋体" w:hAnsi="宋体" w:cs="宋体" w:eastAsia="宋体"/>
                <w:sz w:val="20"/>
              </w:rPr>
              <w:t>2）整理技术措施及图纸，根据主管部门要求，收集过程资料，进行自评估，编写申报报告，组织</w:t>
            </w:r>
            <w:r>
              <w:rPr>
                <w:rFonts w:ascii="宋体" w:hAnsi="宋体" w:cs="宋体" w:eastAsia="宋体"/>
                <w:sz w:val="20"/>
              </w:rPr>
              <w:t>海绵城市</w:t>
            </w:r>
            <w:r>
              <w:rPr>
                <w:rFonts w:ascii="宋体" w:hAnsi="宋体" w:cs="宋体" w:eastAsia="宋体"/>
                <w:sz w:val="20"/>
              </w:rPr>
              <w:t>建设规划方案图纸审查。如审查未通过，由中标供应商无偿负责根据审查意见进行图纸修改，直至审查合格，取得专家审查合格意见书。</w:t>
            </w:r>
          </w:p>
          <w:p>
            <w:pPr>
              <w:pStyle w:val="null3"/>
              <w:ind w:firstLine="400"/>
              <w:jc w:val="both"/>
            </w:pPr>
            <w:r>
              <w:rPr>
                <w:rFonts w:ascii="宋体" w:hAnsi="宋体" w:cs="宋体" w:eastAsia="宋体"/>
                <w:sz w:val="20"/>
              </w:rPr>
              <w:t>（</w:t>
            </w:r>
            <w:r>
              <w:rPr>
                <w:rFonts w:ascii="宋体" w:hAnsi="宋体" w:cs="宋体" w:eastAsia="宋体"/>
                <w:sz w:val="20"/>
              </w:rPr>
              <w:t>3）设计方案审核确认后，开始施工图设计，设计过程中涉及与项目施工图相关联的内容应及时与施工图设计单位沟通协调，确保双方图纸统一协调，互不冲突。</w:t>
            </w:r>
          </w:p>
          <w:p>
            <w:pPr>
              <w:pStyle w:val="null3"/>
              <w:ind w:firstLine="400"/>
              <w:jc w:val="both"/>
            </w:pPr>
            <w:r>
              <w:rPr>
                <w:rFonts w:ascii="宋体" w:hAnsi="宋体" w:cs="宋体" w:eastAsia="宋体"/>
                <w:sz w:val="20"/>
              </w:rPr>
              <w:t>3</w:t>
            </w:r>
            <w:r>
              <w:rPr>
                <w:rFonts w:ascii="宋体" w:hAnsi="宋体" w:cs="宋体" w:eastAsia="宋体"/>
                <w:sz w:val="20"/>
              </w:rPr>
              <w:t>、</w:t>
            </w:r>
            <w:r>
              <w:rPr>
                <w:rFonts w:ascii="宋体" w:hAnsi="宋体" w:cs="宋体" w:eastAsia="宋体"/>
                <w:sz w:val="20"/>
              </w:rPr>
              <w:t>本</w:t>
            </w:r>
            <w:r>
              <w:rPr>
                <w:rFonts w:ascii="宋体" w:hAnsi="宋体" w:cs="宋体" w:eastAsia="宋体"/>
                <w:sz w:val="20"/>
              </w:rPr>
              <w:t>项目</w:t>
            </w:r>
            <w:r>
              <w:rPr>
                <w:rFonts w:ascii="宋体" w:hAnsi="宋体" w:cs="宋体" w:eastAsia="宋体"/>
                <w:sz w:val="20"/>
              </w:rPr>
              <w:t>暂定开始时间：具体以</w:t>
            </w:r>
            <w:r>
              <w:rPr>
                <w:rFonts w:ascii="宋体" w:hAnsi="宋体" w:cs="宋体" w:eastAsia="宋体"/>
                <w:sz w:val="20"/>
              </w:rPr>
              <w:t>采购人通知</w:t>
            </w:r>
            <w:r>
              <w:rPr>
                <w:rFonts w:ascii="宋体" w:hAnsi="宋体" w:cs="宋体" w:eastAsia="宋体"/>
                <w:sz w:val="20"/>
              </w:rPr>
              <w:t>为准，各设计（咨询）项目具体节点要求见表</w:t>
            </w:r>
            <w:r>
              <w:rPr>
                <w:rFonts w:ascii="宋体" w:hAnsi="宋体" w:cs="宋体" w:eastAsia="宋体"/>
                <w:sz w:val="20"/>
              </w:rPr>
              <w:t>1。</w:t>
            </w:r>
          </w:p>
          <w:p>
            <w:pPr>
              <w:pStyle w:val="null3"/>
              <w:jc w:val="center"/>
            </w:pPr>
            <w:r>
              <w:rPr>
                <w:rFonts w:ascii="宋体" w:hAnsi="宋体" w:cs="宋体" w:eastAsia="宋体"/>
                <w:sz w:val="20"/>
                <w:b/>
              </w:rPr>
              <w:t>表</w:t>
            </w:r>
            <w:r>
              <w:rPr>
                <w:rFonts w:ascii="宋体" w:hAnsi="宋体" w:cs="宋体" w:eastAsia="宋体"/>
                <w:sz w:val="20"/>
                <w:b/>
              </w:rPr>
              <w:t>1 中间成果清单及其提交时间要求汇总表</w:t>
            </w:r>
          </w:p>
          <w:tbl>
            <w:tblPr>
              <w:tblBorders>
                <w:top w:val="none" w:color="000000" w:sz="4"/>
                <w:left w:val="none" w:color="000000" w:sz="4"/>
                <w:bottom w:val="none" w:color="000000" w:sz="4"/>
                <w:right w:val="none" w:color="000000" w:sz="4"/>
                <w:insideH w:val="none"/>
                <w:insideV w:val="none"/>
              </w:tblBorders>
            </w:tblPr>
            <w:tblGrid>
              <w:gridCol w:w="208"/>
              <w:gridCol w:w="838"/>
              <w:gridCol w:w="208"/>
              <w:gridCol w:w="543"/>
              <w:gridCol w:w="755"/>
            </w:tblGrid>
            <w:tr>
              <w:tc>
                <w:tcPr>
                  <w:tcW w:type="dxa" w:w="208"/>
                  <w:tcBorders>
                    <w:top w:val="single" w:color="000000" w:sz="8"/>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b/>
                    </w:rPr>
                    <w:t>序号</w:t>
                  </w:r>
                </w:p>
              </w:tc>
              <w:tc>
                <w:tcPr>
                  <w:tcW w:type="dxa" w:w="838"/>
                  <w:tcBorders>
                    <w:top w:val="single" w:color="000000" w:sz="8"/>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b/>
                    </w:rPr>
                    <w:t>资料及文件名称</w:t>
                  </w:r>
                </w:p>
              </w:tc>
              <w:tc>
                <w:tcPr>
                  <w:tcW w:type="dxa" w:w="208"/>
                  <w:tcBorders>
                    <w:top w:val="single" w:color="000000" w:sz="8"/>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b/>
                    </w:rPr>
                    <w:t>份数</w:t>
                  </w:r>
                </w:p>
              </w:tc>
              <w:tc>
                <w:tcPr>
                  <w:tcW w:type="dxa" w:w="543"/>
                  <w:tcBorders>
                    <w:top w:val="single" w:color="000000" w:sz="8"/>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b/>
                    </w:rPr>
                    <w:t>提交日期</w:t>
                  </w:r>
                </w:p>
              </w:tc>
              <w:tc>
                <w:tcPr>
                  <w:tcW w:type="dxa" w:w="755"/>
                  <w:tcBorders>
                    <w:top w:val="single" w:color="000000" w:sz="8"/>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 w:hAnsi="仿宋" w:cs="仿宋" w:eastAsia="仿宋"/>
                      <w:sz w:val="24"/>
                      <w:b/>
                    </w:rPr>
                    <w:t>备注</w:t>
                  </w:r>
                </w:p>
              </w:tc>
            </w:tr>
            <w:tr>
              <w:tc>
                <w:tcPr>
                  <w:tcW w:type="dxa" w:w="208"/>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b/>
                      <w:u w:val="single"/>
                    </w:rPr>
                    <w:t>交通影响评价</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5"/>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tc>
            </w:tr>
            <w:tr>
              <w:tc>
                <w:tcPr>
                  <w:tcW w:type="dxa" w:w="208"/>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评价报告</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6</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以</w:t>
                  </w:r>
                  <w:r>
                    <w:rPr>
                      <w:rFonts w:ascii="仿宋" w:hAnsi="仿宋" w:cs="仿宋" w:eastAsia="仿宋"/>
                      <w:sz w:val="21"/>
                    </w:rPr>
                    <w:t>采购人</w:t>
                  </w:r>
                  <w:r>
                    <w:rPr>
                      <w:rFonts w:ascii="仿宋" w:hAnsi="仿宋" w:cs="仿宋" w:eastAsia="仿宋"/>
                      <w:sz w:val="21"/>
                    </w:rPr>
                    <w:t>要求为准</w:t>
                  </w:r>
                </w:p>
              </w:tc>
              <w:tc>
                <w:tcPr>
                  <w:tcW w:type="dxa" w:w="755"/>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208"/>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b/>
                      <w:u w:val="single"/>
                    </w:rPr>
                    <w:t>海绵城市</w:t>
                  </w:r>
                  <w:r>
                    <w:rPr>
                      <w:rFonts w:ascii="仿宋" w:hAnsi="仿宋" w:cs="仿宋" w:eastAsia="仿宋"/>
                      <w:sz w:val="24"/>
                      <w:b/>
                      <w:u w:val="single"/>
                    </w:rPr>
                    <w:t>建设规划</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5"/>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tc>
            </w:tr>
            <w:tr>
              <w:tc>
                <w:tcPr>
                  <w:tcW w:type="dxa" w:w="208"/>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海绵城市初步设计方案</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3</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以</w:t>
                  </w:r>
                  <w:r>
                    <w:rPr>
                      <w:rFonts w:ascii="仿宋" w:hAnsi="仿宋" w:cs="仿宋" w:eastAsia="仿宋"/>
                      <w:sz w:val="21"/>
                    </w:rPr>
                    <w:t>采购人</w:t>
                  </w:r>
                  <w:r>
                    <w:rPr>
                      <w:rFonts w:ascii="仿宋" w:hAnsi="仿宋" w:cs="仿宋" w:eastAsia="仿宋"/>
                      <w:sz w:val="21"/>
                    </w:rPr>
                    <w:t>要求为准</w:t>
                  </w:r>
                </w:p>
              </w:tc>
              <w:tc>
                <w:tcPr>
                  <w:tcW w:type="dxa" w:w="755"/>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 w:hAnsi="仿宋" w:cs="仿宋" w:eastAsia="仿宋"/>
                      <w:sz w:val="21"/>
                    </w:rPr>
                    <w:t>总平图确定后</w:t>
                  </w:r>
                  <w:r>
                    <w:rPr>
                      <w:rFonts w:ascii="仿宋" w:hAnsi="仿宋" w:cs="仿宋" w:eastAsia="仿宋"/>
                      <w:sz w:val="21"/>
                    </w:rPr>
                    <w:t>5日内</w:t>
                  </w:r>
                </w:p>
              </w:tc>
            </w:tr>
            <w:tr>
              <w:tc>
                <w:tcPr>
                  <w:tcW w:type="dxa" w:w="208"/>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海绵城市施工图及申报书</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3</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以</w:t>
                  </w:r>
                  <w:r>
                    <w:rPr>
                      <w:rFonts w:ascii="仿宋" w:hAnsi="仿宋" w:cs="仿宋" w:eastAsia="仿宋"/>
                      <w:sz w:val="21"/>
                    </w:rPr>
                    <w:t>采购人</w:t>
                  </w:r>
                  <w:r>
                    <w:rPr>
                      <w:rFonts w:ascii="仿宋" w:hAnsi="仿宋" w:cs="仿宋" w:eastAsia="仿宋"/>
                      <w:sz w:val="21"/>
                    </w:rPr>
                    <w:t>要求为准</w:t>
                  </w:r>
                </w:p>
              </w:tc>
              <w:tc>
                <w:tcPr>
                  <w:tcW w:type="dxa" w:w="755"/>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 w:hAnsi="仿宋" w:cs="仿宋" w:eastAsia="仿宋"/>
                      <w:sz w:val="21"/>
                    </w:rPr>
                    <w:t>获取工程规划许可证前</w:t>
                  </w:r>
                </w:p>
              </w:tc>
            </w:tr>
            <w:tr>
              <w:tc>
                <w:tcPr>
                  <w:tcW w:type="dxa" w:w="208"/>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专家审核意见书</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以</w:t>
                  </w:r>
                  <w:r>
                    <w:rPr>
                      <w:rFonts w:ascii="仿宋" w:hAnsi="仿宋" w:cs="仿宋" w:eastAsia="仿宋"/>
                      <w:sz w:val="21"/>
                    </w:rPr>
                    <w:t>采购人</w:t>
                  </w:r>
                  <w:r>
                    <w:rPr>
                      <w:rFonts w:ascii="仿宋" w:hAnsi="仿宋" w:cs="仿宋" w:eastAsia="仿宋"/>
                      <w:sz w:val="21"/>
                    </w:rPr>
                    <w:t>要求为准</w:t>
                  </w:r>
                </w:p>
              </w:tc>
              <w:tc>
                <w:tcPr>
                  <w:tcW w:type="dxa" w:w="755"/>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bl>
          <w:p>
            <w:pPr>
              <w:pStyle w:val="null3"/>
              <w:jc w:val="both"/>
            </w:pPr>
            <w:r>
              <w:rPr>
                <w:rFonts w:ascii="宋体" w:hAnsi="宋体" w:cs="宋体" w:eastAsia="宋体"/>
                <w:sz w:val="20"/>
              </w:rPr>
              <w:t>注：本</w:t>
            </w:r>
            <w:r>
              <w:rPr>
                <w:rFonts w:ascii="宋体" w:hAnsi="宋体" w:cs="宋体" w:eastAsia="宋体"/>
                <w:sz w:val="20"/>
              </w:rPr>
              <w:t>项目</w:t>
            </w:r>
            <w:r>
              <w:rPr>
                <w:rFonts w:ascii="宋体" w:hAnsi="宋体" w:cs="宋体" w:eastAsia="宋体"/>
                <w:sz w:val="20"/>
              </w:rPr>
              <w:t>总期限不变，完成时间是指本合同约定的设计（咨询）内容完成，最终成果提交并通过</w:t>
            </w:r>
            <w:r>
              <w:rPr>
                <w:rFonts w:ascii="宋体" w:hAnsi="宋体" w:cs="宋体" w:eastAsia="宋体"/>
                <w:sz w:val="20"/>
              </w:rPr>
              <w:t>采购人</w:t>
            </w:r>
            <w:r>
              <w:rPr>
                <w:rFonts w:ascii="宋体" w:hAnsi="宋体" w:cs="宋体" w:eastAsia="宋体"/>
                <w:sz w:val="20"/>
              </w:rPr>
              <w:t>确认之日或取得第三方验收合格证明之日。任何一项中间成果、最终成果资料未按时提交或经验收评定为不合格，均视为工期延误。</w:t>
            </w: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标的名称：环评、验收、应急预案变更、排污许可变更服务，一项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0"/>
              </w:rPr>
              <w:t>（一）</w:t>
            </w:r>
            <w:r>
              <w:rPr>
                <w:rFonts w:ascii="宋体" w:hAnsi="宋体" w:cs="宋体" w:eastAsia="宋体"/>
                <w:sz w:val="20"/>
              </w:rPr>
              <w:t>项目概况：</w:t>
            </w:r>
            <w:r>
              <w:rPr>
                <w:rFonts w:ascii="宋体" w:hAnsi="宋体" w:cs="宋体" w:eastAsia="宋体"/>
                <w:sz w:val="20"/>
              </w:rPr>
              <w:t>西安市人民医院</w:t>
            </w:r>
            <w:r>
              <w:rPr>
                <w:rFonts w:ascii="宋体" w:hAnsi="宋体" w:cs="宋体" w:eastAsia="宋体"/>
                <w:sz w:val="20"/>
              </w:rPr>
              <w:t>(西安市第四医院)航天城院区后勤保障综合楼、发热门诊、核酸基地建设项目，进行环评、验收、应急预案变更、排污许可变更服务。</w:t>
            </w:r>
          </w:p>
        </w:tc>
      </w:tr>
      <w:tr>
        <w:tc>
          <w:tcPr>
            <w:tcW w:type="dxa" w:w="2769"/>
          </w:tcPr>
          <w:p/>
        </w:tc>
        <w:tc>
          <w:tcPr>
            <w:tcW w:type="dxa" w:w="2769"/>
          </w:tcPr>
          <w:p>
            <w:pPr>
              <w:pStyle w:val="null3"/>
            </w:pPr>
            <w:r>
              <w:rPr/>
              <w:t>2</w:t>
            </w:r>
          </w:p>
        </w:tc>
        <w:tc>
          <w:tcPr>
            <w:tcW w:type="dxa" w:w="2769"/>
          </w:tcPr>
          <w:p>
            <w:pPr>
              <w:pStyle w:val="null3"/>
              <w:ind w:right="-180"/>
              <w:jc w:val="both"/>
            </w:pPr>
            <w:r>
              <w:rPr>
                <w:rFonts w:ascii="宋体" w:hAnsi="宋体" w:cs="宋体" w:eastAsia="宋体"/>
                <w:sz w:val="20"/>
              </w:rPr>
              <w:t>（二）</w:t>
            </w:r>
            <w:r>
              <w:rPr>
                <w:rFonts w:ascii="宋体" w:hAnsi="宋体" w:cs="宋体" w:eastAsia="宋体"/>
                <w:sz w:val="20"/>
              </w:rPr>
              <w:t>技术要求</w:t>
            </w:r>
            <w:r>
              <w:rPr>
                <w:rFonts w:ascii="宋体" w:hAnsi="宋体" w:cs="宋体" w:eastAsia="宋体"/>
                <w:sz w:val="20"/>
              </w:rPr>
              <w:t>:</w:t>
            </w:r>
            <w:r>
              <w:rPr>
                <w:rFonts w:ascii="宋体" w:hAnsi="宋体" w:cs="宋体" w:eastAsia="宋体"/>
                <w:sz w:val="20"/>
              </w:rPr>
              <w:t>投标供应商保证采用国家或行业标准规范编制报告。</w:t>
            </w:r>
          </w:p>
        </w:tc>
      </w:tr>
      <w:tr>
        <w:tc>
          <w:tcPr>
            <w:tcW w:type="dxa" w:w="2769"/>
          </w:tcPr>
          <w:p/>
        </w:tc>
        <w:tc>
          <w:tcPr>
            <w:tcW w:type="dxa" w:w="2769"/>
          </w:tcPr>
          <w:p>
            <w:pPr>
              <w:pStyle w:val="null3"/>
            </w:pPr>
            <w:r>
              <w:rPr/>
              <w:t>3</w:t>
            </w:r>
          </w:p>
        </w:tc>
        <w:tc>
          <w:tcPr>
            <w:tcW w:type="dxa" w:w="2769"/>
          </w:tcPr>
          <w:p>
            <w:pPr>
              <w:pStyle w:val="null3"/>
              <w:ind w:right="-180"/>
              <w:jc w:val="both"/>
            </w:pPr>
            <w:r>
              <w:rPr>
                <w:rFonts w:ascii="宋体" w:hAnsi="宋体" w:cs="宋体" w:eastAsia="宋体"/>
                <w:sz w:val="20"/>
              </w:rPr>
              <w:t>（三）</w:t>
            </w:r>
            <w:r>
              <w:rPr>
                <w:rFonts w:ascii="宋体" w:hAnsi="宋体" w:cs="宋体" w:eastAsia="宋体"/>
                <w:sz w:val="20"/>
              </w:rPr>
              <w:t>服务要求：</w:t>
            </w:r>
            <w:r>
              <w:rPr>
                <w:rFonts w:ascii="宋体" w:hAnsi="宋体" w:cs="宋体" w:eastAsia="宋体"/>
                <w:sz w:val="20"/>
              </w:rPr>
              <w:t>（</w:t>
            </w:r>
            <w:r>
              <w:rPr>
                <w:rFonts w:ascii="宋体" w:hAnsi="宋体" w:cs="宋体" w:eastAsia="宋体"/>
                <w:sz w:val="20"/>
              </w:rPr>
              <w:t>1）根据《中华人民共和国环境保护法》、《中华人民共和国环境影响评价法》等有关规定编制的环境影响评价报告，报告应符合相关规范要求，评审通过后最终取得属地环保部门下发的批复文件，提供环境影响报告3份，电子版1份。</w:t>
            </w:r>
          </w:p>
        </w:tc>
      </w:tr>
      <w:tr>
        <w:tc>
          <w:tcPr>
            <w:tcW w:type="dxa" w:w="2769"/>
          </w:tcPr>
          <w:p/>
        </w:tc>
        <w:tc>
          <w:tcPr>
            <w:tcW w:type="dxa" w:w="2769"/>
          </w:tcPr>
          <w:p>
            <w:pPr>
              <w:pStyle w:val="null3"/>
            </w:pPr>
            <w:r>
              <w:rPr/>
              <w:t>4</w:t>
            </w:r>
          </w:p>
        </w:tc>
        <w:tc>
          <w:tcPr>
            <w:tcW w:type="dxa" w:w="2769"/>
          </w:tcPr>
          <w:p>
            <w:pPr>
              <w:pStyle w:val="null3"/>
              <w:ind w:right="-180"/>
              <w:jc w:val="both"/>
            </w:pPr>
            <w:r>
              <w:rPr>
                <w:rFonts w:ascii="宋体" w:hAnsi="宋体" w:cs="宋体" w:eastAsia="宋体"/>
                <w:sz w:val="20"/>
              </w:rPr>
              <w:t>（三）</w:t>
            </w:r>
            <w:r>
              <w:rPr>
                <w:rFonts w:ascii="宋体" w:hAnsi="宋体" w:cs="宋体" w:eastAsia="宋体"/>
                <w:sz w:val="20"/>
              </w:rPr>
              <w:t>服务要求：</w:t>
            </w:r>
            <w:r>
              <w:rPr>
                <w:rFonts w:ascii="宋体" w:hAnsi="宋体" w:cs="宋体" w:eastAsia="宋体"/>
                <w:sz w:val="20"/>
              </w:rPr>
              <w:t>（</w:t>
            </w:r>
            <w:r>
              <w:rPr>
                <w:rFonts w:ascii="宋体" w:hAnsi="宋体" w:cs="宋体" w:eastAsia="宋体"/>
                <w:sz w:val="20"/>
              </w:rPr>
              <w:t>2）根据《建设项目竣工环境保护验收技术指南 污染影响类》、《陕西省建设项目竣工环境保护验收指南》等有关规定编制的建设项目竣工环境保护验收报告，最终通过专家评审评估，报属地环保主管部门进行备案，提供建设项目竣工环境保护验收报告3份，电子版1份。</w:t>
            </w:r>
          </w:p>
        </w:tc>
      </w:tr>
      <w:tr>
        <w:tc>
          <w:tcPr>
            <w:tcW w:type="dxa" w:w="2769"/>
          </w:tcPr>
          <w:p/>
        </w:tc>
        <w:tc>
          <w:tcPr>
            <w:tcW w:type="dxa" w:w="2769"/>
          </w:tcPr>
          <w:p>
            <w:pPr>
              <w:pStyle w:val="null3"/>
            </w:pPr>
            <w:r>
              <w:rPr/>
              <w:t>5</w:t>
            </w:r>
          </w:p>
        </w:tc>
        <w:tc>
          <w:tcPr>
            <w:tcW w:type="dxa" w:w="2769"/>
          </w:tcPr>
          <w:p>
            <w:pPr>
              <w:pStyle w:val="null3"/>
              <w:ind w:right="-180" w:firstLine="400"/>
              <w:jc w:val="both"/>
            </w:pPr>
            <w:r>
              <w:rPr>
                <w:rFonts w:ascii="宋体" w:hAnsi="宋体" w:cs="宋体" w:eastAsia="宋体"/>
                <w:sz w:val="20"/>
              </w:rPr>
              <w:t>（三）</w:t>
            </w:r>
            <w:r>
              <w:rPr>
                <w:rFonts w:ascii="宋体" w:hAnsi="宋体" w:cs="宋体" w:eastAsia="宋体"/>
                <w:sz w:val="20"/>
              </w:rPr>
              <w:t>服务要求：</w:t>
            </w:r>
            <w:r>
              <w:rPr>
                <w:rFonts w:ascii="宋体" w:hAnsi="宋体" w:cs="宋体" w:eastAsia="宋体"/>
                <w:sz w:val="20"/>
              </w:rPr>
              <w:t>（</w:t>
            </w:r>
            <w:r>
              <w:rPr>
                <w:rFonts w:ascii="宋体" w:hAnsi="宋体" w:cs="宋体" w:eastAsia="宋体"/>
                <w:sz w:val="20"/>
              </w:rPr>
              <w:t>3）根据《排污许可证申请与核发技术规范》填报排污许可相关内容，最终通过环保主管部门的审核并通过，完成排污许可证变更服务。</w:t>
            </w:r>
          </w:p>
        </w:tc>
      </w:tr>
      <w:tr>
        <w:tc>
          <w:tcPr>
            <w:tcW w:type="dxa" w:w="2769"/>
          </w:tcPr>
          <w:p/>
        </w:tc>
        <w:tc>
          <w:tcPr>
            <w:tcW w:type="dxa" w:w="2769"/>
          </w:tcPr>
          <w:p>
            <w:pPr>
              <w:pStyle w:val="null3"/>
            </w:pPr>
            <w:r>
              <w:rPr/>
              <w:t>6</w:t>
            </w:r>
          </w:p>
        </w:tc>
        <w:tc>
          <w:tcPr>
            <w:tcW w:type="dxa" w:w="2769"/>
          </w:tcPr>
          <w:p>
            <w:pPr>
              <w:pStyle w:val="null3"/>
              <w:ind w:right="-180"/>
              <w:jc w:val="both"/>
            </w:pPr>
            <w:r>
              <w:rPr>
                <w:rFonts w:ascii="宋体" w:hAnsi="宋体" w:cs="宋体" w:eastAsia="宋体"/>
                <w:sz w:val="20"/>
              </w:rPr>
              <w:t>（三）</w:t>
            </w:r>
            <w:r>
              <w:rPr>
                <w:rFonts w:ascii="宋体" w:hAnsi="宋体" w:cs="宋体" w:eastAsia="宋体"/>
                <w:sz w:val="20"/>
              </w:rPr>
              <w:t>服务要求：</w:t>
            </w:r>
            <w:r>
              <w:rPr>
                <w:rFonts w:ascii="宋体" w:hAnsi="宋体" w:cs="宋体" w:eastAsia="宋体"/>
                <w:sz w:val="20"/>
              </w:rPr>
              <w:t>（</w:t>
            </w:r>
            <w:r>
              <w:rPr>
                <w:rFonts w:ascii="宋体" w:hAnsi="宋体" w:cs="宋体" w:eastAsia="宋体"/>
                <w:sz w:val="20"/>
              </w:rPr>
              <w:t>4）编制的突发环境事件应急预案应符合采购人实际并切实可行。《突发环境事件应急预案》最终通过专家评审评估，报属地环保主管部门备案并获得备案表，提供环境突发应急预案3份，电子版1份。</w:t>
            </w:r>
          </w:p>
        </w:tc>
      </w:tr>
      <w:tr>
        <w:tc>
          <w:tcPr>
            <w:tcW w:type="dxa" w:w="2769"/>
          </w:tcPr>
          <w:p/>
        </w:tc>
        <w:tc>
          <w:tcPr>
            <w:tcW w:type="dxa" w:w="2769"/>
          </w:tcPr>
          <w:p>
            <w:pPr>
              <w:pStyle w:val="null3"/>
            </w:pPr>
            <w:r>
              <w:rPr/>
              <w:t>7</w:t>
            </w:r>
          </w:p>
        </w:tc>
        <w:tc>
          <w:tcPr>
            <w:tcW w:type="dxa" w:w="2769"/>
          </w:tcPr>
          <w:p>
            <w:pPr>
              <w:pStyle w:val="null3"/>
              <w:jc w:val="both"/>
            </w:pPr>
            <w:r>
              <w:rPr>
                <w:rFonts w:ascii="宋体" w:hAnsi="宋体" w:cs="宋体" w:eastAsia="宋体"/>
                <w:sz w:val="20"/>
                <w:b/>
              </w:rPr>
              <w:t>商务要求</w:t>
            </w:r>
          </w:p>
          <w:p>
            <w:pPr>
              <w:pStyle w:val="null3"/>
              <w:ind w:right="-180" w:firstLine="400"/>
              <w:jc w:val="both"/>
            </w:pPr>
            <w:r>
              <w:rPr>
                <w:rFonts w:ascii="宋体" w:hAnsi="宋体" w:cs="宋体" w:eastAsia="宋体"/>
                <w:sz w:val="20"/>
              </w:rPr>
              <w:t>（一）服务期限：</w:t>
            </w:r>
            <w:r>
              <w:rPr>
                <w:rFonts w:ascii="宋体" w:hAnsi="宋体" w:cs="宋体" w:eastAsia="宋体"/>
                <w:sz w:val="20"/>
              </w:rPr>
              <w:t>≤90个工作日完成西安市人民医院(西安市第四医院)航天城院区后勤保障综合楼、发热门诊、核酸基地建设项目，环评、验收、应急预案变更的编制与排污许可证变更的申请工作并取得相应批文及备案证明。</w:t>
            </w:r>
          </w:p>
        </w:tc>
      </w:tr>
    </w:tbl>
    <w:p>
      <w:pPr>
        <w:pStyle w:val="null3"/>
        <w:outlineLvl w:val="2"/>
      </w:pPr>
      <w:r>
        <w:rPr>
          <w:sz w:val="28"/>
          <w:b/>
        </w:rPr>
        <w:t>3.2.3人员配置要求</w:t>
      </w:r>
    </w:p>
    <w:p>
      <w:pPr>
        <w:pStyle w:val="null3"/>
      </w:pPr>
      <w:r>
        <w:rPr/>
        <w:t>采购包1：</w:t>
      </w:r>
    </w:p>
    <w:p>
      <w:pPr>
        <w:pStyle w:val="null3"/>
      </w:pPr>
      <w:r>
        <w:rPr/>
        <w:t>满足本项目要求，详见竞争性磋商文件</w:t>
      </w:r>
    </w:p>
    <w:p>
      <w:pPr>
        <w:pStyle w:val="null3"/>
      </w:pPr>
      <w:r>
        <w:rPr/>
        <w:t>采购包2：</w:t>
      </w:r>
    </w:p>
    <w:p>
      <w:pPr>
        <w:pStyle w:val="null3"/>
      </w:pPr>
      <w:r>
        <w:rPr/>
        <w:t>满足本项目要求，详见竞争性磋商文件</w:t>
      </w:r>
    </w:p>
    <w:p>
      <w:pPr>
        <w:pStyle w:val="null3"/>
        <w:outlineLvl w:val="2"/>
      </w:pPr>
      <w:r>
        <w:rPr>
          <w:sz w:val="28"/>
          <w:b/>
        </w:rPr>
        <w:t>3.2.4设施设备要求</w:t>
      </w:r>
    </w:p>
    <w:p>
      <w:pPr>
        <w:pStyle w:val="null3"/>
      </w:pPr>
      <w:r>
        <w:rPr/>
        <w:t>采购包1：</w:t>
      </w:r>
    </w:p>
    <w:p>
      <w:pPr>
        <w:pStyle w:val="null3"/>
      </w:pPr>
      <w:r>
        <w:rPr/>
        <w:t>满足本项目要求，详见竞争性磋商文件</w:t>
      </w:r>
    </w:p>
    <w:p>
      <w:pPr>
        <w:pStyle w:val="null3"/>
      </w:pPr>
      <w:r>
        <w:rPr/>
        <w:t>采购包2：</w:t>
      </w:r>
    </w:p>
    <w:p>
      <w:pPr>
        <w:pStyle w:val="null3"/>
      </w:pPr>
      <w:r>
        <w:rPr/>
        <w:t>满足本项目要求，详见竞争性磋商文件</w:t>
      </w:r>
    </w:p>
    <w:p>
      <w:pPr>
        <w:pStyle w:val="null3"/>
        <w:outlineLvl w:val="2"/>
      </w:pPr>
      <w:r>
        <w:rPr>
          <w:sz w:val="28"/>
          <w:b/>
        </w:rPr>
        <w:t>3.2.5其他要求</w:t>
      </w:r>
    </w:p>
    <w:p>
      <w:pPr>
        <w:pStyle w:val="null3"/>
      </w:pPr>
      <w:r>
        <w:rPr/>
        <w:t>采购包1：</w:t>
      </w:r>
    </w:p>
    <w:p>
      <w:pPr>
        <w:pStyle w:val="null3"/>
      </w:pPr>
      <w:r>
        <w:rPr/>
        <w:t>/</w:t>
      </w:r>
    </w:p>
    <w:p>
      <w:pPr>
        <w:pStyle w:val="null3"/>
      </w:pPr>
      <w:r>
        <w:rPr/>
        <w:t>采购包2：</w:t>
      </w:r>
    </w:p>
    <w:p>
      <w:pPr>
        <w:pStyle w:val="null3"/>
      </w:pPr>
      <w:r>
        <w:rPr/>
        <w:t>/</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1、交通影响评价内容 （1）合同签订及采购人提供编制需要确定的相关资料≤15个工作日后,提交中间成果,供专家技术审查。 （2） 专家技术会议通过≤5个工作日,提交最终成果.该成果报送主管部门审查通过。 2、海绵城市建设规划内容 （1）根据项目现有设计情况和目标，进行初步预评估，提出海绵城市初步设计方案，并提交方案图纸。 （2）整理技术措施及图纸，根据主管部门要求，收集过程资料，进行自评估，编写申报报告，组织海绵城市建设规划方案图纸审查。如审查未通过，由中标供应商无偿负责根据审查意见进行图纸修改，直至审查合格，取得专家审查合格意见书。 （3）设计方案审核确认后，开始施工图设计，设计过程中涉及与项目施工图相关联的内容应及时与施工图设计单位沟通协调，确保双方图纸统一协调，互不冲突。</w:t>
      </w:r>
    </w:p>
    <w:p>
      <w:pPr>
        <w:pStyle w:val="null3"/>
      </w:pPr>
      <w:r>
        <w:rPr/>
        <w:t>采购包2：</w:t>
      </w:r>
    </w:p>
    <w:p>
      <w:pPr>
        <w:pStyle w:val="null3"/>
      </w:pPr>
      <w:r>
        <w:rPr/>
        <w:t>≤90个工作日完成西安市人民医院(西安市第四医院)航天城院区后勤保障综合楼、发热门诊、核酸基地建设项目，环评、验收、应急预案变更的编制与排污许可证变更的申请工作并取得相应批文及备案证明。</w:t>
      </w:r>
    </w:p>
    <w:p>
      <w:pPr>
        <w:pStyle w:val="null3"/>
        <w:outlineLvl w:val="3"/>
      </w:pPr>
      <w:r>
        <w:rPr>
          <w:sz w:val="24"/>
          <w:b/>
        </w:rPr>
        <w:t>3.3.2服务地点</w:t>
      </w:r>
    </w:p>
    <w:p>
      <w:pPr>
        <w:pStyle w:val="null3"/>
      </w:pPr>
      <w:r>
        <w:rPr/>
        <w:t>采购包1：</w:t>
      </w:r>
    </w:p>
    <w:p>
      <w:pPr>
        <w:pStyle w:val="null3"/>
      </w:pPr>
      <w:r>
        <w:rPr/>
        <w:t>采购人指定地点</w:t>
      </w:r>
    </w:p>
    <w:p>
      <w:pPr>
        <w:pStyle w:val="null3"/>
      </w:pPr>
      <w:r>
        <w:rPr/>
        <w:t>采购包2：</w:t>
      </w:r>
    </w:p>
    <w:p>
      <w:pPr>
        <w:pStyle w:val="null3"/>
      </w:pPr>
      <w:r>
        <w:rPr/>
        <w:t>甲方指定地点</w:t>
      </w:r>
    </w:p>
    <w:p>
      <w:pPr>
        <w:pStyle w:val="null3"/>
        <w:outlineLvl w:val="3"/>
      </w:pPr>
      <w:r>
        <w:rPr>
          <w:sz w:val="24"/>
          <w:b/>
        </w:rPr>
        <w:t>3.3.3考核（验收）标准和方法</w:t>
      </w:r>
    </w:p>
    <w:p>
      <w:pPr>
        <w:pStyle w:val="null3"/>
      </w:pPr>
      <w:r>
        <w:rPr/>
        <w:t>采购包1：</w:t>
      </w:r>
    </w:p>
    <w:p>
      <w:pPr>
        <w:pStyle w:val="null3"/>
      </w:pPr>
      <w:r>
        <w:rPr/>
        <w:t>（1）满足本项目关于海绵城市建设规划相关的政府批文及规范要求。 （2）国家、建设部、地方及相关行业现行最新的有关规范、规程、标准。 （3）合同签订时或履行中，上述规范、规程、标准如有更新的，按最新标准执行。 （4）国家、地方相关法律法规、标准及要求。 （5）中华人民共和国城乡规划法。 （6）住建部《建设项目交通影响评价技术标准》(CJJ/T141-2010)。 （7）《建设项目交通影响评价建设技术手册》(2011)。 （8）《城市综合交通体系规划标准》(GB/T51328-2018)。 （9）陕西省住建厅《陕西省城市规划管理技术规定》。 （10）西安市规划局《关于对新建项目进行交通影响评价的通知》。 （11）西安市规划局《关于建设项目交通影响评价编制与管理措施的规定》。 其他详见合同条款</w:t>
      </w:r>
    </w:p>
    <w:p>
      <w:pPr>
        <w:pStyle w:val="null3"/>
      </w:pPr>
      <w:r>
        <w:rPr/>
        <w:t>采购包2：</w:t>
      </w:r>
    </w:p>
    <w:p>
      <w:pPr>
        <w:pStyle w:val="null3"/>
      </w:pPr>
      <w:r>
        <w:rPr/>
        <w:t>（一）投标供应商应依据最新《中华人民共和国环境保护法》、《中华人民共和国环境影响评价法》、《建设项目环境保护管理条例》和《建设项目环境影响评价分类管理名录》的要求，结合国家环境保护的法律法规、规章标准和采购人的实际情况，编写《建设项目环境影响报告》，确保报告最终通过专家评审评估，报属地环保主管部门并取得批复文件。 （二）根据《建设项目竣工环境保护验收技术指南 污染影响类》、《陕西省建设项目竣工环境保护验收指南》等有关规定编制的建设项目竣工环境保护验收报告，最终通过专家评审评估，报属地环保主管部门进行备案。 （三）根据《排污许可证申请与核发技术规范》填报排污许可相关内容，最终通过环保主管部门的审核并通过，取得相应的排污许可证。 （四）编制的突发环境事件应急预案应符合采购人实际并切实可行。《突发环境事件应急预案》最终通过专家评审评估，报属地环保主管部门备案并获得备案表。 其他详见合同条款</w:t>
      </w:r>
    </w:p>
    <w:p>
      <w:pPr>
        <w:pStyle w:val="null3"/>
        <w:outlineLvl w:val="3"/>
      </w:pPr>
      <w:r>
        <w:rPr>
          <w:sz w:val="24"/>
          <w:b/>
        </w:rPr>
        <w:t>3.3.4支付方式</w:t>
      </w:r>
    </w:p>
    <w:p>
      <w:pPr>
        <w:pStyle w:val="null3"/>
      </w:pPr>
      <w:r>
        <w:rPr/>
        <w:t>采购包1：</w:t>
      </w:r>
    </w:p>
    <w:p>
      <w:pPr>
        <w:pStyle w:val="null3"/>
      </w:pPr>
      <w:r>
        <w:rPr/>
        <w:t>分期付款</w:t>
      </w:r>
    </w:p>
    <w:p>
      <w:pPr>
        <w:pStyle w:val="null3"/>
      </w:pPr>
      <w:r>
        <w:rPr/>
        <w:t>采购包2：</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合同签订后，自接到等额增值税发票</w:t>
      </w:r>
      <w:r>
        <w:rPr/>
        <w:t xml:space="preserve"> ，达到付款条件起 </w:t>
      </w:r>
      <w:r>
        <w:rPr/>
        <w:t>60</w:t>
      </w:r>
      <w:r>
        <w:rPr/>
        <w:t xml:space="preserve"> 日内，支付合同总金额的 </w:t>
      </w:r>
      <w:r>
        <w:rPr/>
        <w:t>40.00</w:t>
      </w:r>
      <w:r>
        <w:rPr/>
        <w:t>%。</w:t>
      </w:r>
    </w:p>
    <w:p>
      <w:pPr>
        <w:pStyle w:val="null3"/>
      </w:pPr>
      <w:r>
        <w:rPr/>
        <w:t>采购包1：</w:t>
      </w:r>
      <w:r>
        <w:rPr/>
        <w:t xml:space="preserve"> 付款条件说明： </w:t>
      </w:r>
      <w:r>
        <w:rPr/>
        <w:t>服务项目全部完成且验收合格后，自接到等额增值税发票之日</w:t>
      </w:r>
      <w:r>
        <w:rPr/>
        <w:t xml:space="preserve"> ，达到付款条件起 </w:t>
      </w:r>
      <w:r>
        <w:rPr/>
        <w:t>30</w:t>
      </w:r>
      <w:r>
        <w:rPr/>
        <w:t xml:space="preserve"> 日内，支付合同总金额的 </w:t>
      </w:r>
      <w:r>
        <w:rPr/>
        <w:t>60.00</w:t>
      </w:r>
      <w:r>
        <w:rPr/>
        <w:t>%。</w:t>
      </w:r>
    </w:p>
    <w:p>
      <w:pPr>
        <w:pStyle w:val="null3"/>
      </w:pPr>
      <w:r>
        <w:rPr/>
        <w:t>采购包2：</w:t>
      </w:r>
      <w:r>
        <w:rPr/>
        <w:t xml:space="preserve"> 付款条件说明： </w:t>
      </w:r>
      <w:r>
        <w:rPr/>
        <w:t>合同签订后，自接到等额增值税发票</w:t>
      </w:r>
      <w:r>
        <w:rPr/>
        <w:t xml:space="preserve"> ，达到付款条件起 </w:t>
      </w:r>
      <w:r>
        <w:rPr/>
        <w:t>60</w:t>
      </w:r>
      <w:r>
        <w:rPr/>
        <w:t xml:space="preserve"> 日内，支付合同总金额的 </w:t>
      </w:r>
      <w:r>
        <w:rPr/>
        <w:t>40.00</w:t>
      </w:r>
      <w:r>
        <w:rPr/>
        <w:t>%。</w:t>
      </w:r>
    </w:p>
    <w:p>
      <w:pPr>
        <w:pStyle w:val="null3"/>
      </w:pPr>
      <w:r>
        <w:rPr/>
        <w:t>采购包2：</w:t>
      </w:r>
      <w:r>
        <w:rPr/>
        <w:t xml:space="preserve"> 付款条件说明： </w:t>
      </w:r>
      <w:r>
        <w:rPr/>
        <w:t>服务项目全部完成且验收合格后，自接到等额增值税发票</w:t>
      </w:r>
      <w:r>
        <w:rPr/>
        <w:t xml:space="preserve"> ，达到付款条件起 </w:t>
      </w:r>
      <w:r>
        <w:rPr/>
        <w:t>30</w:t>
      </w:r>
      <w:r>
        <w:rPr/>
        <w:t xml:space="preserve"> 日内，支付合同总金额的 </w:t>
      </w:r>
      <w:r>
        <w:rPr/>
        <w:t>60.00</w:t>
      </w:r>
      <w:r>
        <w:rPr/>
        <w:t>%。</w:t>
      </w:r>
    </w:p>
    <w:p>
      <w:pPr>
        <w:pStyle w:val="null3"/>
        <w:outlineLvl w:val="3"/>
      </w:pPr>
      <w:r>
        <w:rPr>
          <w:sz w:val="24"/>
          <w:b/>
        </w:rPr>
        <w:t>3.3.6违约责任及解决争议的方法</w:t>
      </w:r>
    </w:p>
    <w:p>
      <w:pPr>
        <w:pStyle w:val="null3"/>
      </w:pPr>
      <w:r>
        <w:rPr/>
        <w:t>采购包1：</w:t>
      </w:r>
    </w:p>
    <w:p>
      <w:pPr>
        <w:pStyle w:val="null3"/>
      </w:pPr>
      <w:r>
        <w:rPr/>
        <w:t>详见合同条款</w:t>
      </w:r>
    </w:p>
    <w:p>
      <w:pPr>
        <w:pStyle w:val="null3"/>
      </w:pPr>
      <w:r>
        <w:rPr/>
        <w:t>采购包2：</w:t>
      </w:r>
    </w:p>
    <w:p>
      <w:pPr>
        <w:pStyle w:val="null3"/>
      </w:pPr>
      <w:r>
        <w:rPr/>
        <w:t>详见合同条款</w:t>
      </w:r>
    </w:p>
    <w:p>
      <w:pPr>
        <w:pStyle w:val="null3"/>
        <w:outlineLvl w:val="2"/>
      </w:pPr>
      <w:r>
        <w:rPr>
          <w:sz w:val="28"/>
          <w:b/>
        </w:rPr>
        <w:t>3.4其他要求</w:t>
      </w:r>
    </w:p>
    <w:p>
      <w:pPr>
        <w:pStyle w:val="null3"/>
      </w:pPr>
      <w:r>
        <w:rPr/>
        <w:t>各供应商所有分项报价（与最后磋商报价比例一致）同比例下浮。</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提供经审计的2023年财务报告，包括 “四表一注”（即资产负债表、利润表、现金流量表、所有者权益变动表（没有可不提供）及其附注，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 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提供经审计的2023年财务报告，包括 “四表一注”（即资产负债表、利润表、现金流量表、所有者权益变动表（没有可不提供）及其附注，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 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参与的供应商（联合体）服务全部由符合政策要求的小微企业承接。</w:t>
            </w:r>
          </w:p>
        </w:tc>
        <w:tc>
          <w:tcPr>
            <w:tcW w:type="dxa" w:w="1661"/>
          </w:tcPr>
          <w:p>
            <w:pPr>
              <w:pStyle w:val="null3"/>
            </w:pPr>
            <w:r>
              <w:rPr/>
              <w:t>中小企业声明函 残疾人福利性单位声明函 供应商应提交的相关资格证明材料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参与的供应商（联合体）服务全部由符合政策要求的小微企业承接。</w:t>
            </w:r>
          </w:p>
        </w:tc>
        <w:tc>
          <w:tcPr>
            <w:tcW w:type="dxa" w:w="1661"/>
          </w:tcPr>
          <w:p>
            <w:pPr>
              <w:pStyle w:val="null3"/>
            </w:pPr>
            <w:r>
              <w:rPr/>
              <w:t>中小企业声明函 残疾人福利性单位声明函 供应商应提交的相关资格证明材料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主体资格证明文件</w:t>
            </w:r>
          </w:p>
        </w:tc>
        <w:tc>
          <w:tcPr>
            <w:tcW w:type="dxa" w:w="3322"/>
          </w:tcPr>
          <w:p>
            <w:pPr>
              <w:pStyle w:val="null3"/>
            </w:pPr>
            <w:r>
              <w:rPr/>
              <w:t>具有独立承担民事责任能力的法人或其他组织，提供有效存续的营业执照或事业单位法人证书或非企业专业服务机构执业许可证或民办非企业单位登记证书或自然人的身份证明;</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提供经审计的2023年财务报告，包括 “四表一注”（即资产负债表、利润表、现金流量表、所有者权益变动表（没有可不提供）及其附注，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提供已缴纳的2023年5月至今任意一个月的纳税证明或完税证明，纳税证明或完税证明上应有代收机构或税务机关的公章或业务专用章。依法免税的供应商应提供相关文件证明；</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具有履行合同所必需的设备和专业技术能力的承诺</w:t>
            </w:r>
          </w:p>
        </w:tc>
        <w:tc>
          <w:tcPr>
            <w:tcW w:type="dxa" w:w="3322"/>
          </w:tcPr>
          <w:p>
            <w:pPr>
              <w:pStyle w:val="null3"/>
            </w:pPr>
            <w:r>
              <w:rPr/>
              <w:t>供应商须提供具有履行合同所必需的设备和专业技术能力的承诺；</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社会保障资金缴纳证明</w:t>
            </w:r>
          </w:p>
        </w:tc>
        <w:tc>
          <w:tcPr>
            <w:tcW w:type="dxa" w:w="3322"/>
          </w:tcPr>
          <w:p>
            <w:pPr>
              <w:pStyle w:val="null3"/>
            </w:pPr>
            <w:r>
              <w:rPr/>
              <w:t>提供已缴纳的2023年5月至今任意一个月的社会保障资金缴纳单据或社保机构开具的社会保险参保缴费情况证明，单据或证明上应有社保机构或代收机构的公章或业务专用章。依法不需要缴纳社会保障资金的供应商应提供相关文件证明</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三年无重大违法记录声明</w:t>
            </w:r>
          </w:p>
        </w:tc>
        <w:tc>
          <w:tcPr>
            <w:tcW w:type="dxa" w:w="3322"/>
          </w:tcPr>
          <w:p>
            <w:pPr>
              <w:pStyle w:val="null3"/>
            </w:pPr>
            <w:r>
              <w:rPr/>
              <w:t>出具参加本次政府采购活动前三年内在经营活动中没有重大违法记录的书面声明</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法定代表人授权书</w:t>
            </w:r>
          </w:p>
        </w:tc>
        <w:tc>
          <w:tcPr>
            <w:tcW w:type="dxa" w:w="3322"/>
          </w:tcPr>
          <w:p>
            <w:pPr>
              <w:pStyle w:val="null3"/>
            </w:pPr>
            <w:r>
              <w:rPr/>
              <w:t>法定代表人参加磋商的提供法定代表人身份证明及身份证，委托代理人参加磋商的提供授权委托书及委托代理人身份证；自然人只需提供身份证；备注：分支机构由分支机构负责人授权即可</w:t>
            </w:r>
          </w:p>
        </w:tc>
        <w:tc>
          <w:tcPr>
            <w:tcW w:type="dxa" w:w="1661"/>
          </w:tcPr>
          <w:p>
            <w:pPr>
              <w:pStyle w:val="null3"/>
            </w:pPr>
            <w:r>
              <w:rPr/>
              <w:t>法定代表人身份证明法定代表人授权委托书 供应商应提交的相关资格证明材料</w:t>
            </w:r>
          </w:p>
        </w:tc>
      </w:tr>
      <w:tr>
        <w:tc>
          <w:tcPr>
            <w:tcW w:type="dxa" w:w="831"/>
          </w:tcPr>
          <w:p>
            <w:pPr>
              <w:pStyle w:val="null3"/>
            </w:pPr>
            <w:r>
              <w:rPr/>
              <w:t>8</w:t>
            </w:r>
          </w:p>
        </w:tc>
        <w:tc>
          <w:tcPr>
            <w:tcW w:type="dxa" w:w="2492"/>
          </w:tcPr>
          <w:p>
            <w:pPr>
              <w:pStyle w:val="null3"/>
            </w:pPr>
            <w:r>
              <w:rPr/>
              <w:t>供应商资质证书</w:t>
            </w:r>
          </w:p>
        </w:tc>
        <w:tc>
          <w:tcPr>
            <w:tcW w:type="dxa" w:w="3322"/>
          </w:tcPr>
          <w:p>
            <w:pPr>
              <w:pStyle w:val="null3"/>
            </w:pPr>
            <w:r>
              <w:rPr/>
              <w:t>供应商必须具有行政主管部门颁发的城乡规划编制乙级及以上资质</w:t>
            </w:r>
          </w:p>
        </w:tc>
        <w:tc>
          <w:tcPr>
            <w:tcW w:type="dxa" w:w="1661"/>
          </w:tcPr>
          <w:p>
            <w:pPr>
              <w:pStyle w:val="null3"/>
            </w:pPr>
            <w:r>
              <w:rPr/>
              <w:t>供应商应提交的相关资格证明材料</w:t>
            </w:r>
          </w:p>
        </w:tc>
      </w:tr>
      <w:tr>
        <w:tc>
          <w:tcPr>
            <w:tcW w:type="dxa" w:w="831"/>
          </w:tcPr>
          <w:p>
            <w:pPr>
              <w:pStyle w:val="null3"/>
            </w:pPr>
            <w:r>
              <w:rPr/>
              <w:t>9</w:t>
            </w:r>
          </w:p>
        </w:tc>
        <w:tc>
          <w:tcPr>
            <w:tcW w:type="dxa" w:w="2492"/>
          </w:tcPr>
          <w:p>
            <w:pPr>
              <w:pStyle w:val="null3"/>
            </w:pPr>
            <w:r>
              <w:rPr/>
              <w:t>本项目不接受联合体磋商</w:t>
            </w:r>
          </w:p>
        </w:tc>
        <w:tc>
          <w:tcPr>
            <w:tcW w:type="dxa" w:w="3322"/>
          </w:tcPr>
          <w:p>
            <w:pPr>
              <w:pStyle w:val="null3"/>
            </w:pPr>
            <w:r>
              <w:rPr/>
              <w:t>本项目不接受联合体磋商（提供书面声明材料）</w:t>
            </w:r>
          </w:p>
        </w:tc>
        <w:tc>
          <w:tcPr>
            <w:tcW w:type="dxa" w:w="1661"/>
          </w:tcPr>
          <w:p>
            <w:pPr>
              <w:pStyle w:val="null3"/>
            </w:pPr>
            <w:r>
              <w:rPr/>
              <w:t>供应商应提交的相关资格证明材料</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主体资格证明文件</w:t>
            </w:r>
          </w:p>
        </w:tc>
        <w:tc>
          <w:tcPr>
            <w:tcW w:type="dxa" w:w="3322"/>
          </w:tcPr>
          <w:p>
            <w:pPr>
              <w:pStyle w:val="null3"/>
            </w:pPr>
            <w:r>
              <w:rPr/>
              <w:t>具有独立承担民事责任能力的法人或其他组织，提供有效存续的营业执照或事业单位法人证书或非企业专业服务机构执业许可证或民办非企业单位登记证书或自然人的身份证明;</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提供经审计的2023年财务报告，包括 “四表一注”（即资产负债表、利润表、现金流量表、所有者权益变动表（没有可不提供）及其附注，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提供已缴纳的2023年5月至今任意一个月的纳税证明或完税证明，纳税证明或完税证明上应有代收机构或税务机关的公章或业务专用章。依法免税的供应商应提供相关文件证明</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具有履行合同所必需的设备和专业技术能力的承诺</w:t>
            </w:r>
          </w:p>
        </w:tc>
        <w:tc>
          <w:tcPr>
            <w:tcW w:type="dxa" w:w="3322"/>
          </w:tcPr>
          <w:p>
            <w:pPr>
              <w:pStyle w:val="null3"/>
            </w:pPr>
            <w:r>
              <w:rPr/>
              <w:t>供应商须提供具有履行合同所必需的设备和专业技术能力的承诺</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社会保障资金缴纳证明</w:t>
            </w:r>
          </w:p>
        </w:tc>
        <w:tc>
          <w:tcPr>
            <w:tcW w:type="dxa" w:w="3322"/>
          </w:tcPr>
          <w:p>
            <w:pPr>
              <w:pStyle w:val="null3"/>
            </w:pPr>
            <w:r>
              <w:rPr/>
              <w:t>提供已缴纳的2023年5月至今任意一个月的社会保障资金缴纳单据或社保机构开具的社会保险参保缴费情况证明，单据或证明上应有社保机构或代收机构的公章或业务专用章。依法不需要缴纳社会保障资金的供应商应提供相关文件证明</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三年无重大违法记录声明</w:t>
            </w:r>
          </w:p>
        </w:tc>
        <w:tc>
          <w:tcPr>
            <w:tcW w:type="dxa" w:w="3322"/>
          </w:tcPr>
          <w:p>
            <w:pPr>
              <w:pStyle w:val="null3"/>
            </w:pPr>
            <w:r>
              <w:rPr/>
              <w:t>出具参加本次政府采购活动前三年内在经营活动中没有重大违法记录的书面声明</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法定代表人授权书</w:t>
            </w:r>
          </w:p>
        </w:tc>
        <w:tc>
          <w:tcPr>
            <w:tcW w:type="dxa" w:w="3322"/>
          </w:tcPr>
          <w:p>
            <w:pPr>
              <w:pStyle w:val="null3"/>
            </w:pPr>
            <w:r>
              <w:rPr/>
              <w:t>法定代表人参加磋商的提供法定代表人身份证明及身份证，委托代理人参加磋商的提供授权委托书及委托代理人身份证；自然人只需提供身份证；备注：分支机构由分支机构负责人授权即可</w:t>
            </w:r>
          </w:p>
        </w:tc>
        <w:tc>
          <w:tcPr>
            <w:tcW w:type="dxa" w:w="1661"/>
          </w:tcPr>
          <w:p>
            <w:pPr>
              <w:pStyle w:val="null3"/>
            </w:pPr>
            <w:r>
              <w:rPr/>
              <w:t>法定代表人身份证明法定代表人授权委托书 供应商应提交的相关资格证明材料</w:t>
            </w:r>
          </w:p>
        </w:tc>
      </w:tr>
      <w:tr>
        <w:tc>
          <w:tcPr>
            <w:tcW w:type="dxa" w:w="831"/>
          </w:tcPr>
          <w:p>
            <w:pPr>
              <w:pStyle w:val="null3"/>
            </w:pPr>
            <w:r>
              <w:rPr/>
              <w:t>8</w:t>
            </w:r>
          </w:p>
        </w:tc>
        <w:tc>
          <w:tcPr>
            <w:tcW w:type="dxa" w:w="2492"/>
          </w:tcPr>
          <w:p>
            <w:pPr>
              <w:pStyle w:val="null3"/>
            </w:pPr>
            <w:r>
              <w:rPr/>
              <w:t>本项目不接受联合体磋商</w:t>
            </w:r>
          </w:p>
        </w:tc>
        <w:tc>
          <w:tcPr>
            <w:tcW w:type="dxa" w:w="3322"/>
          </w:tcPr>
          <w:p>
            <w:pPr>
              <w:pStyle w:val="null3"/>
            </w:pPr>
            <w:r>
              <w:rPr/>
              <w:t>本项目不接受联合体磋商（提供书面声明材料）</w:t>
            </w:r>
          </w:p>
        </w:tc>
        <w:tc>
          <w:tcPr>
            <w:tcW w:type="dxa" w:w="1661"/>
          </w:tcPr>
          <w:p>
            <w:pPr>
              <w:pStyle w:val="null3"/>
            </w:pPr>
            <w:r>
              <w:rPr/>
              <w:t>供应商应提交的相关资格证明材料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响应文件的完整性</w:t>
            </w:r>
          </w:p>
        </w:tc>
        <w:tc>
          <w:tcPr>
            <w:tcW w:type="dxa" w:w="3322"/>
          </w:tcPr>
          <w:p>
            <w:pPr>
              <w:pStyle w:val="null3"/>
            </w:pPr>
            <w:r>
              <w:rPr/>
              <w:t>响应文件的完整性(按要求编制)</w:t>
            </w:r>
          </w:p>
        </w:tc>
        <w:tc>
          <w:tcPr>
            <w:tcW w:type="dxa" w:w="1661"/>
          </w:tcPr>
          <w:p>
            <w:pPr>
              <w:pStyle w:val="null3"/>
            </w:pPr>
            <w:r>
              <w:rPr/>
              <w:t>响应文件封面 服务内容及服务邀请应答表 中小企业声明函 残疾人福利性单位声明函 参加政府采购活动行为自律承诺书 商务应答表 服务方案 供应商应提交的相关资格证明材料 标的清单 报价表 响应函 监狱企业的证明文件</w:t>
            </w:r>
          </w:p>
        </w:tc>
      </w:tr>
      <w:tr>
        <w:tc>
          <w:tcPr>
            <w:tcW w:type="dxa" w:w="831"/>
          </w:tcPr>
          <w:p>
            <w:pPr>
              <w:pStyle w:val="null3"/>
            </w:pPr>
            <w:r>
              <w:rPr/>
              <w:t>3</w:t>
            </w:r>
          </w:p>
        </w:tc>
        <w:tc>
          <w:tcPr>
            <w:tcW w:type="dxa" w:w="2492"/>
          </w:tcPr>
          <w:p>
            <w:pPr>
              <w:pStyle w:val="null3"/>
            </w:pPr>
            <w:r>
              <w:rPr/>
              <w:t>响应文件的有效性</w:t>
            </w:r>
          </w:p>
        </w:tc>
        <w:tc>
          <w:tcPr>
            <w:tcW w:type="dxa" w:w="3322"/>
          </w:tcPr>
          <w:p>
            <w:pPr>
              <w:pStyle w:val="null3"/>
            </w:pPr>
            <w:r>
              <w:rPr/>
              <w:t>响应文件的有效性(按要求签署盖章)</w:t>
            </w:r>
          </w:p>
        </w:tc>
        <w:tc>
          <w:tcPr>
            <w:tcW w:type="dxa" w:w="1661"/>
          </w:tcPr>
          <w:p>
            <w:pPr>
              <w:pStyle w:val="null3"/>
            </w:pPr>
            <w:r>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t>4</w:t>
            </w:r>
          </w:p>
        </w:tc>
        <w:tc>
          <w:tcPr>
            <w:tcW w:type="dxa" w:w="2492"/>
          </w:tcPr>
          <w:p>
            <w:pPr>
              <w:pStyle w:val="null3"/>
            </w:pPr>
            <w:r>
              <w:rPr/>
              <w:t>响应文件的响应性</w:t>
            </w:r>
          </w:p>
        </w:tc>
        <w:tc>
          <w:tcPr>
            <w:tcW w:type="dxa" w:w="3322"/>
          </w:tcPr>
          <w:p>
            <w:pPr>
              <w:pStyle w:val="null3"/>
            </w:pPr>
            <w:r>
              <w:rPr/>
              <w:t>响应文件的响应性(实质上响应磋商文件，磋商文件允许偏离的除外)</w:t>
            </w:r>
          </w:p>
        </w:tc>
        <w:tc>
          <w:tcPr>
            <w:tcW w:type="dxa" w:w="1661"/>
          </w:tcPr>
          <w:p>
            <w:pPr>
              <w:pStyle w:val="null3"/>
            </w:pPr>
            <w:r>
              <w:rPr/>
              <w:t>响应文件封面 服务内容及服务邀请应答表 中小企业声明函 残疾人福利性单位声明函 参加政府采购活动行为自律承诺书 商务应答表 服务方案 供应商应提交的相关资格证明材料 标的清单 报价表 响应函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响应文件的完整性</w:t>
            </w:r>
          </w:p>
        </w:tc>
        <w:tc>
          <w:tcPr>
            <w:tcW w:type="dxa" w:w="3322"/>
          </w:tcPr>
          <w:p>
            <w:pPr>
              <w:pStyle w:val="null3"/>
            </w:pPr>
            <w:r>
              <w:rPr/>
              <w:t>响应文件的完整性(按要求编制)</w:t>
            </w:r>
          </w:p>
        </w:tc>
        <w:tc>
          <w:tcPr>
            <w:tcW w:type="dxa" w:w="1661"/>
          </w:tcPr>
          <w:p>
            <w:pPr>
              <w:pStyle w:val="null3"/>
            </w:pPr>
            <w:r>
              <w:rPr/>
              <w:t>响应文件封面 服务内容及服务邀请应答表 中小企业声明函 残疾人福利性单位声明函 参加政府采购活动行为自律承诺书 商务应答表 服务方案 供应商应提交的相关资格证明材料 标的清单 报价表 响应函 监狱企业的证明文件</w:t>
            </w:r>
          </w:p>
        </w:tc>
      </w:tr>
      <w:tr>
        <w:tc>
          <w:tcPr>
            <w:tcW w:type="dxa" w:w="831"/>
          </w:tcPr>
          <w:p>
            <w:pPr>
              <w:pStyle w:val="null3"/>
            </w:pPr>
            <w:r>
              <w:rPr/>
              <w:t>3</w:t>
            </w:r>
          </w:p>
        </w:tc>
        <w:tc>
          <w:tcPr>
            <w:tcW w:type="dxa" w:w="2492"/>
          </w:tcPr>
          <w:p>
            <w:pPr>
              <w:pStyle w:val="null3"/>
            </w:pPr>
            <w:r>
              <w:rPr/>
              <w:t>响应文件的有效性</w:t>
            </w:r>
          </w:p>
        </w:tc>
        <w:tc>
          <w:tcPr>
            <w:tcW w:type="dxa" w:w="3322"/>
          </w:tcPr>
          <w:p>
            <w:pPr>
              <w:pStyle w:val="null3"/>
            </w:pPr>
            <w:r>
              <w:rPr/>
              <w:t>响应文件的有效性(按要求签署盖章)</w:t>
            </w:r>
          </w:p>
        </w:tc>
        <w:tc>
          <w:tcPr>
            <w:tcW w:type="dxa" w:w="1661"/>
          </w:tcPr>
          <w:p>
            <w:pPr>
              <w:pStyle w:val="null3"/>
            </w:pPr>
            <w:r>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t>4</w:t>
            </w:r>
          </w:p>
        </w:tc>
        <w:tc>
          <w:tcPr>
            <w:tcW w:type="dxa" w:w="2492"/>
          </w:tcPr>
          <w:p>
            <w:pPr>
              <w:pStyle w:val="null3"/>
            </w:pPr>
            <w:r>
              <w:rPr/>
              <w:t>响应文件的响应性</w:t>
            </w:r>
          </w:p>
        </w:tc>
        <w:tc>
          <w:tcPr>
            <w:tcW w:type="dxa" w:w="3322"/>
          </w:tcPr>
          <w:p>
            <w:pPr>
              <w:pStyle w:val="null3"/>
            </w:pPr>
            <w:r>
              <w:rPr/>
              <w:t>响应文件的响应性(实质上响应磋商文件，磋商文件允许偏离的除外)</w:t>
            </w:r>
          </w:p>
        </w:tc>
        <w:tc>
          <w:tcPr>
            <w:tcW w:type="dxa" w:w="1661"/>
          </w:tcPr>
          <w:p>
            <w:pPr>
              <w:pStyle w:val="null3"/>
            </w:pPr>
            <w:r>
              <w:rPr/>
              <w:t>响应文件封面 服务内容及服务邀请应答表 中小企业声明函 残疾人福利性单位声明函 参加政府采购活动行为自律承诺书 商务应答表 服务方案 供应商应提交的相关资格证明材料 标的清单 报价表 响应函 监狱企业的证明文件</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pPr>
      <w:r>
        <w:rPr/>
        <w:t>采购包2：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t>采购包2：</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详细评审80.0000分</w:t>
            </w:r>
          </w:p>
          <w:p>
            <w:pPr>
              <w:pStyle w:val="null3"/>
            </w:pPr>
            <w:r>
              <w:rPr/>
              <w:t>报价得分20.0000分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总体方案</w:t>
            </w:r>
          </w:p>
        </w:tc>
        <w:tc>
          <w:tcPr>
            <w:tcW w:type="dxa" w:w="2492"/>
          </w:tcPr>
          <w:p>
            <w:pPr>
              <w:pStyle w:val="null3"/>
            </w:pPr>
            <w:r>
              <w:rPr/>
              <w:t>评审内容：①项目的认知：对本项目现状的了解。②工作流程：对项目实施有指导作用③实施计划：针对项目的任务及目标制定具体实施计划，提出具有针对性、可操作性的措施。质量保证体系是否完备、成果目标是否满足采购需求。 评审标准：方案各部分内容全面详细、阐述条理清晰详尽、符合本项目采购需求，能保障本项目实施得15分；评审内容每缺一项扣5分，评审内容有缺陷未完全响应评审标准的扣0.5-4.5分。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工作计划</w:t>
            </w:r>
          </w:p>
        </w:tc>
        <w:tc>
          <w:tcPr>
            <w:tcW w:type="dxa" w:w="2492"/>
          </w:tcPr>
          <w:p>
            <w:pPr>
              <w:pStyle w:val="null3"/>
            </w:pPr>
            <w:r>
              <w:rPr/>
              <w:t>评审内容：①工作计划安排②工作计划保障措施。 评审标准：方案各部分内容全面详细、阐述条理清晰详尽、符合本项目采购需求，能保障本项目实施得10分；评审内容每缺一项扣5分，评审内容有缺陷未完全响应评审标准的扣0.5-4.5分。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重、难点实施方案</w:t>
            </w:r>
          </w:p>
        </w:tc>
        <w:tc>
          <w:tcPr>
            <w:tcW w:type="dxa" w:w="2492"/>
          </w:tcPr>
          <w:p>
            <w:pPr>
              <w:pStyle w:val="null3"/>
            </w:pPr>
            <w:r>
              <w:rPr/>
              <w:t>评审内容： ①针对本项目的重、难点分析②针对本项目的重、难点的对策。 评审标准：方案各部分内容全面详细、阐述条理清晰详尽、符合本项目采购需求，能保障本项目实施得10分；评审内容每缺一项扣5分，评审内容有缺陷未完全响应评审标准的扣0.5-4.5分。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工作制度及内控制度</w:t>
            </w:r>
          </w:p>
        </w:tc>
        <w:tc>
          <w:tcPr>
            <w:tcW w:type="dxa" w:w="2492"/>
          </w:tcPr>
          <w:p>
            <w:pPr>
              <w:pStyle w:val="null3"/>
            </w:pPr>
            <w:r>
              <w:rPr/>
              <w:t>评审内容：①现场工作制度②内控制度。 评审标准：方案各部分内容全面详细、阐述条理清晰详尽、符合本项目采购需求，能保障本项目实施得10分；评审内容每缺一项扣5分，评审内容有缺陷未完全响应评审标准的扣0.5-4.5分。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拟投入项目的服务人员</w:t>
            </w:r>
          </w:p>
        </w:tc>
        <w:tc>
          <w:tcPr>
            <w:tcW w:type="dxa" w:w="2492"/>
          </w:tcPr>
          <w:p>
            <w:pPr>
              <w:pStyle w:val="null3"/>
            </w:pPr>
            <w:r>
              <w:rPr/>
              <w:t>评审内容：①根据拟投入项目的服务人员数量②根据拟投入项目的服务人员年龄、经验等情况。 评审标准：针对本项目拟投入人员数量、年龄及经验等内容实力强劲，完全符合本项目采购需求，能保障本项目实施得10分；评审内容有缺陷或未完全响应评审标准的扣0.5-4.5分。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服务承诺及保密措施</w:t>
            </w:r>
          </w:p>
        </w:tc>
        <w:tc>
          <w:tcPr>
            <w:tcW w:type="dxa" w:w="2492"/>
          </w:tcPr>
          <w:p>
            <w:pPr>
              <w:pStyle w:val="null3"/>
            </w:pPr>
            <w:r>
              <w:rPr/>
              <w:t>评审内容：①服务承诺②后续服务措施③保密措施。 评审标准：方案各部分内容全面详细、阐述条理清晰详尽、符合本项目采购需求，能保障本项目实施得15分；评审内容每缺一项扣5分，评审内容有缺陷未完全响应评审标准的扣0.5-4.5分。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业绩</w:t>
            </w:r>
          </w:p>
        </w:tc>
        <w:tc>
          <w:tcPr>
            <w:tcW w:type="dxa" w:w="2492"/>
          </w:tcPr>
          <w:p>
            <w:pPr>
              <w:pStyle w:val="null3"/>
            </w:pPr>
            <w:r>
              <w:rPr/>
              <w:t>评审内容：提供供应商2021年5月1日至今类似项目业绩； 评审标准：需提供业绩证明文件，合同关键页复印件加盖公章（必须含合同封面、采购内容、合同签订时间、合同签字页等合同信息），签订时间以具体合同签订时间为准，每提供一个业绩证明得2分，满分10分。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经资格审查、符合性审查合格的磋商响应文件，其磋商报价为有效磋商报价，以最后磋商报价最低的报价为评审基准价，其价格分为满分。其他供应商的价格分统一按照下列公式计算：磋商报价得分=（磋商基准价/磋商评审价）×20</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详细评审80.0000分</w:t>
            </w:r>
          </w:p>
          <w:p>
            <w:pPr>
              <w:pStyle w:val="null3"/>
            </w:pPr>
            <w:r>
              <w:rPr/>
              <w:t>报价得分20.0000分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总体方案</w:t>
            </w:r>
          </w:p>
        </w:tc>
        <w:tc>
          <w:tcPr>
            <w:tcW w:type="dxa" w:w="2492"/>
          </w:tcPr>
          <w:p>
            <w:pPr>
              <w:pStyle w:val="null3"/>
            </w:pPr>
            <w:r>
              <w:rPr/>
              <w:t>评审内容：①项目的认知：对本项目现状的了解。②工作流程：对项目实施有指导作用③实施计划：针对项目的任务及目标制定具体实施计划，提出具有针对性、可操作性的措施。质量保证体系是否完备、成果目标是否满足采购需求。 评审标准：方案各部分内容全面详细、阐述条理清晰详尽、符合本项目采购需求，能保障本项目实施得15分；评审内容每缺一项扣5分，评审内容有缺陷未完全响应评审标准的扣0.5-4.5分。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工作计划</w:t>
            </w:r>
          </w:p>
        </w:tc>
        <w:tc>
          <w:tcPr>
            <w:tcW w:type="dxa" w:w="2492"/>
          </w:tcPr>
          <w:p>
            <w:pPr>
              <w:pStyle w:val="null3"/>
            </w:pPr>
            <w:r>
              <w:rPr/>
              <w:t>评审内容：①工作计划安排②工作计划保障措施。 评审标准：方案各部分内容全面详细、阐述条理清晰详尽、符合本项目采购需求，能保障本项目实施得10分；评审内容每缺一项扣5分，评审内容有缺陷未完全响应评审标准的扣0.5-4.5分。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重、难点实施方案</w:t>
            </w:r>
          </w:p>
        </w:tc>
        <w:tc>
          <w:tcPr>
            <w:tcW w:type="dxa" w:w="2492"/>
          </w:tcPr>
          <w:p>
            <w:pPr>
              <w:pStyle w:val="null3"/>
            </w:pPr>
            <w:r>
              <w:rPr/>
              <w:t>评审内容： ①针对本项目的重、难点分析②针对本项目的重、难点的对策。 评审标准：方案各部分内容全面详细、阐述条理清晰详尽、符合本项目采购需求，能保障本项目实施得10分；评审内容每缺一项扣5分，评审内容有缺陷未完全响应评审标准的扣0.5-4.5分。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工作制度及内控制度</w:t>
            </w:r>
          </w:p>
        </w:tc>
        <w:tc>
          <w:tcPr>
            <w:tcW w:type="dxa" w:w="2492"/>
          </w:tcPr>
          <w:p>
            <w:pPr>
              <w:pStyle w:val="null3"/>
            </w:pPr>
            <w:r>
              <w:rPr/>
              <w:t>评审内容：①现场工作制度②内控制度。 评审标准：方案各部分内容全面详细、阐述条理清晰详尽、符合本项目采购需求，能保障本项目实施得10分；评审内容每缺一项扣5分，评审内容有缺陷未完全响应评审标准的扣0.5-4.5分。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拟投入项目的服务人员</w:t>
            </w:r>
          </w:p>
        </w:tc>
        <w:tc>
          <w:tcPr>
            <w:tcW w:type="dxa" w:w="2492"/>
          </w:tcPr>
          <w:p>
            <w:pPr>
              <w:pStyle w:val="null3"/>
            </w:pPr>
            <w:r>
              <w:rPr/>
              <w:t>评审内容：①根据拟投入项目的服务人员数量②根据拟投入项目的服务人员年龄、经验等情况。 评审标准：针对本项目拟投入人员数量、年龄及经验等内容实力强劲，完全符合本项目采购需求，能保障本项目实施得10分；评审内容有缺陷或未完全响应评审标准的扣0.5-4.5分。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服务承诺及保密措施</w:t>
            </w:r>
          </w:p>
        </w:tc>
        <w:tc>
          <w:tcPr>
            <w:tcW w:type="dxa" w:w="2492"/>
          </w:tcPr>
          <w:p>
            <w:pPr>
              <w:pStyle w:val="null3"/>
            </w:pPr>
            <w:r>
              <w:rPr/>
              <w:t>评审内容：①服务承诺②后续服务措施③保密措施。 评审标准：方案各部分内容全面详细、阐述条理清晰详尽、符合本项目采购需求，能保障本项目实施得15分；评审内容每缺一项扣5分，评审内容有缺陷未完全响应评审标准的扣0.5-4.5分。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业绩</w:t>
            </w:r>
          </w:p>
        </w:tc>
        <w:tc>
          <w:tcPr>
            <w:tcW w:type="dxa" w:w="2492"/>
          </w:tcPr>
          <w:p>
            <w:pPr>
              <w:pStyle w:val="null3"/>
            </w:pPr>
            <w:r>
              <w:rPr/>
              <w:t>评审内容：提供供应商2021年5月1日至今类似项目业绩； 评审标准：需提供业绩证明文件，合同关键页复印件加盖公章（必须含合同封面、采购内容、合同签订时间、合同签字页等合同信息），签订时间以具体合同签订时间为准，每提供一个业绩证明得2分，满分10分。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经资格审查、符合性审查合格的磋商响应文件，其磋商报价为有效磋商报价，以最后磋商报价最低的报价为评审基准价，其价格分为满分。其他供应商的价格分统一按照下列公式计算：磋商报价得分=（磋商基准价/磋商评审价）×20</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详见附件：法定代表人身份证明法定代表人授权委托书</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详见附件：参加政府采购活动行为自律承诺书</w:t>
      </w:r>
    </w:p>
    <w:p>
      <w:pPr>
        <w:pStyle w:val="null3"/>
      </w:pPr>
      <w:r>
        <w:rPr/>
        <w:t>采购包2：</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详见附件：法定代表人身份证明法定代表人授权委托书</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详见附件：参加政府采购活动行为自律承诺书</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详见附件：《西安市人民医院（西安市第四医院）服务合同》.docx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