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Y="-1140"/>
        <w:tblOverlap w:val="never"/>
        <w:tblW w:w="0" w:type="auto"/>
        <w:tblLook w:val="04A0" w:firstRow="1" w:lastRow="0" w:firstColumn="1" w:lastColumn="0" w:noHBand="0" w:noVBand="1"/>
      </w:tblPr>
      <w:tblGrid>
        <w:gridCol w:w="1161"/>
        <w:gridCol w:w="722"/>
        <w:gridCol w:w="7739"/>
      </w:tblGrid>
      <w:tr w:rsidR="00B33AA6" w:rsidTr="00EB5B78">
        <w:tc>
          <w:tcPr>
            <w:tcW w:w="1173" w:type="dxa"/>
            <w:vAlign w:val="center"/>
          </w:tcPr>
          <w:p w:rsidR="00B33AA6" w:rsidRDefault="00B33AA6" w:rsidP="00EB5B78">
            <w:pPr>
              <w:pStyle w:val="TableParagraph"/>
              <w:spacing w:before="60"/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>参数性质</w:t>
            </w:r>
          </w:p>
        </w:tc>
        <w:tc>
          <w:tcPr>
            <w:tcW w:w="727" w:type="dxa"/>
            <w:vAlign w:val="center"/>
          </w:tcPr>
          <w:p w:rsidR="00B33AA6" w:rsidRDefault="00B33AA6" w:rsidP="00EB5B78">
            <w:pPr>
              <w:pStyle w:val="TableParagraph"/>
              <w:spacing w:before="60"/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>序号</w:t>
            </w:r>
          </w:p>
        </w:tc>
        <w:tc>
          <w:tcPr>
            <w:tcW w:w="7847" w:type="dxa"/>
            <w:vAlign w:val="center"/>
          </w:tcPr>
          <w:p w:rsidR="00B33AA6" w:rsidRDefault="00B33AA6" w:rsidP="00EB5B78">
            <w:pPr>
              <w:pStyle w:val="TableParagraph"/>
              <w:spacing w:before="60"/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>技术参数与性能指标</w:t>
            </w:r>
          </w:p>
        </w:tc>
      </w:tr>
      <w:tr w:rsidR="00B33AA6" w:rsidTr="00EB5B78">
        <w:trPr>
          <w:trHeight w:val="557"/>
        </w:trPr>
        <w:tc>
          <w:tcPr>
            <w:tcW w:w="1173" w:type="dxa"/>
            <w:vAlign w:val="center"/>
          </w:tcPr>
          <w:p w:rsidR="00B33AA6" w:rsidRDefault="00B33AA6" w:rsidP="00EB5B78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▲</w:t>
            </w:r>
          </w:p>
        </w:tc>
        <w:tc>
          <w:tcPr>
            <w:tcW w:w="727" w:type="dxa"/>
            <w:vAlign w:val="center"/>
          </w:tcPr>
          <w:p w:rsidR="00B33AA6" w:rsidRDefault="00B33AA6" w:rsidP="00EB5B78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847" w:type="dxa"/>
            <w:vAlign w:val="center"/>
          </w:tcPr>
          <w:p w:rsidR="00B33AA6" w:rsidRDefault="00B33AA6" w:rsidP="00EB5B78">
            <w:pPr>
              <w:spacing w:line="360" w:lineRule="auto"/>
              <w:jc w:val="left"/>
              <w:rPr>
                <w:b/>
                <w:bCs/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10"/>
                <w:sz w:val="21"/>
                <w:szCs w:val="21"/>
                <w:lang w:eastAsia="zh-CN"/>
              </w:rPr>
              <w:t>（一</w:t>
            </w:r>
            <w:r w:rsidRPr="00DC177B">
              <w:rPr>
                <w:rFonts w:hint="eastAsia"/>
                <w:b/>
                <w:bCs/>
                <w:spacing w:val="10"/>
                <w:sz w:val="21"/>
                <w:szCs w:val="21"/>
                <w:highlight w:val="lightGray"/>
                <w:lang w:eastAsia="zh-CN"/>
              </w:rPr>
              <w:t>）全自动生化分析仪（1台）（核心产品）</w:t>
            </w:r>
          </w:p>
          <w:p w:rsidR="00B33AA6" w:rsidRPr="001B296F" w:rsidRDefault="00B33AA6" w:rsidP="00EB5B78">
            <w:pPr>
              <w:pStyle w:val="a0"/>
              <w:spacing w:line="360" w:lineRule="auto"/>
              <w:ind w:left="0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1B296F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配置要求不低于以下参数要求：</w:t>
            </w:r>
          </w:p>
          <w:p w:rsidR="00B33AA6" w:rsidRPr="001B296F" w:rsidRDefault="00B33AA6" w:rsidP="00EB5B78">
            <w:pPr>
              <w:pStyle w:val="a0"/>
              <w:spacing w:line="360" w:lineRule="auto"/>
              <w:ind w:left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1B296F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技术指标及功能：</w:t>
            </w:r>
          </w:p>
          <w:p w:rsidR="00B33AA6" w:rsidRPr="001B296F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1B296F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1、分析速度：生化分析 单机≥2000测试/小时，电解质分析≥600测试/小时。</w:t>
            </w:r>
          </w:p>
          <w:p w:rsidR="00B33AA6" w:rsidRPr="001B296F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pacing w:val="10"/>
                <w:sz w:val="21"/>
                <w:szCs w:val="21"/>
                <w:lang w:eastAsia="zh-CN"/>
              </w:rPr>
            </w:pPr>
            <w:r w:rsidRPr="001B296F">
              <w:rPr>
                <w:rFonts w:asciiTheme="minorEastAsia" w:eastAsiaTheme="minorEastAsia" w:hAnsiTheme="minorEastAsia" w:hint="eastAsia"/>
                <w:b/>
                <w:bCs/>
                <w:spacing w:val="10"/>
                <w:sz w:val="21"/>
                <w:szCs w:val="21"/>
                <w:lang w:eastAsia="zh-CN"/>
              </w:rPr>
              <w:t>*</w:t>
            </w:r>
            <w:r w:rsidRPr="001B296F">
              <w:rPr>
                <w:rFonts w:asciiTheme="minorEastAsia" w:eastAsiaTheme="minorEastAsia" w:hAnsiTheme="minorEastAsia"/>
                <w:b/>
                <w:bCs/>
                <w:spacing w:val="10"/>
                <w:sz w:val="21"/>
                <w:szCs w:val="21"/>
                <w:lang w:eastAsia="zh-CN"/>
              </w:rPr>
              <w:t>2、同时检测项目：≥90项。</w:t>
            </w:r>
          </w:p>
          <w:p w:rsidR="00B33AA6" w:rsidRPr="001B296F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1B296F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4、分析方法：终点法、速率法、电极法，线性扩展速率法，免疫比浊法等。</w:t>
            </w:r>
          </w:p>
          <w:p w:rsidR="00B33AA6" w:rsidRPr="001B296F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1B296F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5、进样方式：智能机器人进样或轨道传输进样方式。</w:t>
            </w:r>
          </w:p>
          <w:p w:rsidR="00B33AA6" w:rsidRPr="001B296F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pacing w:val="10"/>
                <w:sz w:val="21"/>
                <w:szCs w:val="21"/>
                <w:lang w:eastAsia="zh-CN"/>
              </w:rPr>
            </w:pPr>
            <w:r w:rsidRPr="001B296F">
              <w:rPr>
                <w:rFonts w:asciiTheme="minorEastAsia" w:eastAsiaTheme="minorEastAsia" w:hAnsiTheme="minorEastAsia"/>
                <w:b/>
                <w:bCs/>
                <w:spacing w:val="10"/>
                <w:sz w:val="21"/>
                <w:szCs w:val="21"/>
                <w:lang w:eastAsia="zh-CN"/>
              </w:rPr>
              <w:t>*6、全开放试剂通道，可使用与设备品牌不同的任何生化试剂。</w:t>
            </w:r>
          </w:p>
          <w:p w:rsidR="00B33AA6" w:rsidRPr="008F157B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 w:hint="eastAsia"/>
                <w:b/>
                <w:bCs/>
                <w:spacing w:val="10"/>
                <w:sz w:val="21"/>
                <w:szCs w:val="21"/>
                <w:lang w:eastAsia="zh-CN"/>
              </w:rPr>
              <w:t>*</w:t>
            </w:r>
            <w:r w:rsidRPr="008F157B">
              <w:rPr>
                <w:rFonts w:asciiTheme="minorEastAsia" w:eastAsiaTheme="minorEastAsia" w:hAnsiTheme="minorEastAsia"/>
                <w:b/>
                <w:bCs/>
                <w:spacing w:val="10"/>
                <w:sz w:val="21"/>
                <w:szCs w:val="21"/>
                <w:lang w:eastAsia="zh-CN"/>
              </w:rPr>
              <w:t>7、样品量：1.0-50</w:t>
            </w:r>
            <w:r w:rsidRPr="008F157B">
              <w:rPr>
                <w:rFonts w:asciiTheme="minorEastAsia" w:eastAsiaTheme="minorEastAsia" w:hAnsiTheme="minorEastAsia" w:hint="eastAsia"/>
                <w:b/>
                <w:bCs/>
                <w:spacing w:val="10"/>
                <w:sz w:val="21"/>
                <w:szCs w:val="21"/>
                <w:lang w:eastAsia="zh-CN"/>
              </w:rPr>
              <w:t>µ</w:t>
            </w:r>
            <w:r w:rsidRPr="008F157B">
              <w:rPr>
                <w:rFonts w:asciiTheme="minorEastAsia" w:eastAsiaTheme="minorEastAsia" w:hAnsiTheme="minorEastAsia"/>
                <w:b/>
                <w:bCs/>
                <w:spacing w:val="10"/>
                <w:sz w:val="21"/>
                <w:szCs w:val="21"/>
                <w:lang w:eastAsia="zh-CN"/>
              </w:rPr>
              <w:t>l(1</w:t>
            </w:r>
            <w:r w:rsidRPr="008F157B">
              <w:rPr>
                <w:rFonts w:asciiTheme="minorEastAsia" w:eastAsiaTheme="minorEastAsia" w:hAnsiTheme="minorEastAsia" w:hint="eastAsia"/>
                <w:b/>
                <w:bCs/>
                <w:spacing w:val="10"/>
                <w:sz w:val="21"/>
                <w:szCs w:val="21"/>
                <w:lang w:eastAsia="zh-CN"/>
              </w:rPr>
              <w:t>µ</w:t>
            </w:r>
            <w:r w:rsidRPr="008F157B">
              <w:rPr>
                <w:rFonts w:asciiTheme="minorEastAsia" w:eastAsiaTheme="minorEastAsia" w:hAnsiTheme="minorEastAsia"/>
                <w:b/>
                <w:bCs/>
                <w:spacing w:val="10"/>
                <w:sz w:val="21"/>
                <w:szCs w:val="21"/>
                <w:lang w:eastAsia="zh-CN"/>
              </w:rPr>
              <w:t>l步进) 样品间交叉污染0.01PPM以下 (千万分之一)</w:t>
            </w:r>
          </w:p>
          <w:p w:rsidR="00B33AA6" w:rsidRPr="008F157B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8、试剂量: R1:60nl-250</w:t>
            </w:r>
            <w:r w:rsidRPr="008F157B">
              <w:rPr>
                <w:rFonts w:asciiTheme="minorEastAsia" w:eastAsiaTheme="minorEastAsia" w:hAnsiTheme="minorEastAsia" w:hint="eastAsia"/>
                <w:bCs/>
                <w:spacing w:val="10"/>
                <w:sz w:val="21"/>
                <w:szCs w:val="21"/>
                <w:lang w:eastAsia="zh-CN"/>
              </w:rPr>
              <w:t>µ</w:t>
            </w: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l，R2:0.20nl-160</w:t>
            </w:r>
            <w:r w:rsidRPr="008F157B">
              <w:rPr>
                <w:rFonts w:asciiTheme="minorEastAsia" w:eastAsiaTheme="minorEastAsia" w:hAnsiTheme="minorEastAsia" w:hint="eastAsia"/>
                <w:bCs/>
                <w:spacing w:val="10"/>
                <w:sz w:val="21"/>
                <w:szCs w:val="21"/>
                <w:lang w:eastAsia="zh-CN"/>
              </w:rPr>
              <w:t>µ</w:t>
            </w: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l (1</w:t>
            </w:r>
            <w:r w:rsidRPr="008F157B">
              <w:rPr>
                <w:rFonts w:asciiTheme="minorEastAsia" w:eastAsiaTheme="minorEastAsia" w:hAnsiTheme="minorEastAsia" w:hint="eastAsia"/>
                <w:bCs/>
                <w:spacing w:val="10"/>
                <w:sz w:val="21"/>
                <w:szCs w:val="21"/>
                <w:lang w:eastAsia="zh-CN"/>
              </w:rPr>
              <w:t>µ</w:t>
            </w: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l步进),可自动稀释浓缩试剂。</w:t>
            </w:r>
          </w:p>
          <w:p w:rsidR="00B33AA6" w:rsidRPr="008F157B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9、样品容器：样品杯和采血管，多种规格均可上机测定（六种规格以上）</w:t>
            </w:r>
          </w:p>
          <w:p w:rsidR="00B33AA6" w:rsidRPr="008F157B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10、最小反应液量：80</w:t>
            </w:r>
            <w:r w:rsidRPr="008F157B">
              <w:rPr>
                <w:rFonts w:asciiTheme="minorEastAsia" w:eastAsiaTheme="minorEastAsia" w:hAnsiTheme="minorEastAsia" w:hint="eastAsia"/>
                <w:bCs/>
                <w:spacing w:val="10"/>
                <w:sz w:val="21"/>
                <w:szCs w:val="21"/>
                <w:lang w:eastAsia="zh-CN"/>
              </w:rPr>
              <w:t>µ</w:t>
            </w: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l</w:t>
            </w:r>
          </w:p>
          <w:p w:rsidR="00B33AA6" w:rsidRPr="008F157B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11、进样量：双轨道一次进样300个样品（标配样品条码扫描系统）</w:t>
            </w:r>
          </w:p>
          <w:p w:rsidR="00B33AA6" w:rsidRPr="008F157B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b/>
                <w:bCs/>
                <w:spacing w:val="10"/>
                <w:sz w:val="21"/>
                <w:szCs w:val="21"/>
                <w:lang w:eastAsia="zh-CN"/>
              </w:rPr>
              <w:t>*12、单机试剂位：≥170个。</w:t>
            </w:r>
          </w:p>
          <w:p w:rsidR="00B33AA6" w:rsidRPr="008F157B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13、急诊方式：急诊样本随时插入优先检测。</w:t>
            </w:r>
          </w:p>
          <w:p w:rsidR="00B33AA6" w:rsidRPr="008F157B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14、反应盘反应杯：分离式反应盘，硬质玻璃反应杯永久性使用，不产生医疗废弃物（光径5mm）</w:t>
            </w:r>
          </w:p>
          <w:p w:rsidR="00B33AA6" w:rsidRPr="008F157B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15、反应时间：约10分钟左右。</w:t>
            </w:r>
          </w:p>
          <w:p w:rsidR="00B33AA6" w:rsidRPr="008F157B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16、温控方式：循环水浴，免维护使用，且无维护保养成本。</w:t>
            </w:r>
          </w:p>
          <w:p w:rsidR="00B33AA6" w:rsidRPr="008F157B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17、恒温精度：±0.1℃。</w:t>
            </w:r>
          </w:p>
          <w:p w:rsidR="00B33AA6" w:rsidRPr="008F157B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18、波长范围：360nm—800nm。</w:t>
            </w:r>
          </w:p>
          <w:p w:rsidR="00B33AA6" w:rsidRPr="008F157B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19、测定波长：≥15个波长。</w:t>
            </w:r>
          </w:p>
          <w:p w:rsidR="00B33AA6" w:rsidRPr="008F157B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20、光学系统：反应管直接测光方式，单波长、双波长测试。</w:t>
            </w:r>
          </w:p>
          <w:p w:rsidR="00B33AA6" w:rsidRPr="008F157B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21、加样针：具备液面感应、碰撞保护、血凝块检测和防堵塞报警功能。</w:t>
            </w:r>
          </w:p>
          <w:p w:rsidR="00B33AA6" w:rsidRPr="001B296F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22、操作系统：大屏幕触摸</w:t>
            </w:r>
            <w:r w:rsidRPr="001B296F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式彩色液晶显示器，触摸屏、鼠标、键盘三种操作方式。</w:t>
            </w:r>
          </w:p>
          <w:p w:rsidR="00B33AA6" w:rsidRPr="001B296F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</w:pPr>
            <w:r w:rsidRPr="001B296F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3</w:t>
            </w:r>
            <w:r w:rsidRPr="001B296F"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  <w:lang w:eastAsia="zh-CN"/>
              </w:rPr>
              <w:t>、数据控制：主机系统配置双硬盘数据存储及备份。</w:t>
            </w:r>
          </w:p>
        </w:tc>
      </w:tr>
      <w:tr w:rsidR="00B33AA6" w:rsidTr="00EB5B78">
        <w:tc>
          <w:tcPr>
            <w:tcW w:w="1173" w:type="dxa"/>
            <w:vAlign w:val="center"/>
          </w:tcPr>
          <w:p w:rsidR="00B33AA6" w:rsidRDefault="00B33AA6" w:rsidP="00EB5B78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▲</w:t>
            </w:r>
          </w:p>
        </w:tc>
        <w:tc>
          <w:tcPr>
            <w:tcW w:w="727" w:type="dxa"/>
            <w:vAlign w:val="center"/>
          </w:tcPr>
          <w:p w:rsidR="00B33AA6" w:rsidRDefault="00B33AA6" w:rsidP="00EB5B78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847" w:type="dxa"/>
            <w:vAlign w:val="center"/>
          </w:tcPr>
          <w:p w:rsidR="00B33AA6" w:rsidRPr="001B296F" w:rsidRDefault="00B33AA6" w:rsidP="00EB5B78">
            <w:pPr>
              <w:spacing w:line="360" w:lineRule="auto"/>
              <w:jc w:val="left"/>
              <w:rPr>
                <w:b/>
                <w:spacing w:val="10"/>
                <w:sz w:val="21"/>
                <w:szCs w:val="21"/>
                <w:lang w:eastAsia="zh-CN"/>
              </w:rPr>
            </w:pPr>
            <w:r w:rsidRPr="001B296F">
              <w:rPr>
                <w:rFonts w:hint="eastAsia"/>
                <w:b/>
                <w:spacing w:val="10"/>
                <w:sz w:val="21"/>
                <w:szCs w:val="21"/>
                <w:lang w:eastAsia="zh-CN"/>
              </w:rPr>
              <w:t>（二）纯净水处理机（</w:t>
            </w:r>
            <w:r w:rsidRPr="001B296F">
              <w:rPr>
                <w:b/>
                <w:spacing w:val="10"/>
                <w:sz w:val="21"/>
                <w:szCs w:val="21"/>
                <w:lang w:eastAsia="zh-CN"/>
              </w:rPr>
              <w:t>1台）</w:t>
            </w:r>
          </w:p>
          <w:p w:rsidR="00B33AA6" w:rsidRPr="001B296F" w:rsidRDefault="00B33AA6" w:rsidP="00EB5B78">
            <w:pPr>
              <w:pStyle w:val="a0"/>
              <w:spacing w:line="360" w:lineRule="auto"/>
              <w:ind w:left="0"/>
              <w:rPr>
                <w:sz w:val="21"/>
                <w:szCs w:val="21"/>
                <w:lang w:eastAsia="zh-CN"/>
              </w:rPr>
            </w:pPr>
            <w:r w:rsidRPr="001B296F">
              <w:rPr>
                <w:sz w:val="21"/>
                <w:szCs w:val="21"/>
                <w:lang w:eastAsia="zh-CN"/>
              </w:rPr>
              <w:t>配置要求</w:t>
            </w:r>
            <w:r w:rsidRPr="001B296F">
              <w:rPr>
                <w:rFonts w:hint="eastAsia"/>
                <w:sz w:val="21"/>
                <w:szCs w:val="21"/>
                <w:lang w:eastAsia="zh-CN"/>
              </w:rPr>
              <w:t>不低于以下参数要求：</w:t>
            </w:r>
          </w:p>
          <w:p w:rsidR="00B33AA6" w:rsidRPr="001B296F" w:rsidRDefault="00B33AA6" w:rsidP="00EB5B78">
            <w:pPr>
              <w:pStyle w:val="a0"/>
              <w:spacing w:line="360" w:lineRule="auto"/>
              <w:ind w:left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1B296F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技术指标及功能：</w:t>
            </w:r>
          </w:p>
          <w:p w:rsidR="00B33AA6" w:rsidRPr="001B296F" w:rsidRDefault="00B33AA6" w:rsidP="00EB5B78">
            <w:pPr>
              <w:spacing w:line="360" w:lineRule="auto"/>
              <w:rPr>
                <w:lang w:eastAsia="zh-CN"/>
              </w:rPr>
            </w:pPr>
            <w:r w:rsidRPr="001B296F">
              <w:rPr>
                <w:rFonts w:hint="eastAsia"/>
                <w:sz w:val="21"/>
                <w:szCs w:val="21"/>
                <w:lang w:eastAsia="zh-CN"/>
              </w:rPr>
              <w:t>制水量≥</w:t>
            </w:r>
            <w:r w:rsidRPr="001B296F">
              <w:rPr>
                <w:sz w:val="21"/>
                <w:szCs w:val="21"/>
                <w:lang w:eastAsia="zh-CN"/>
              </w:rPr>
              <w:t>80升/小时</w:t>
            </w:r>
            <w:r w:rsidRPr="001B296F"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:rsidR="00B33AA6" w:rsidTr="00EB5B78">
        <w:tc>
          <w:tcPr>
            <w:tcW w:w="1173" w:type="dxa"/>
            <w:vAlign w:val="center"/>
          </w:tcPr>
          <w:p w:rsidR="00B33AA6" w:rsidRDefault="00B33AA6" w:rsidP="00EB5B78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▲</w:t>
            </w:r>
          </w:p>
        </w:tc>
        <w:tc>
          <w:tcPr>
            <w:tcW w:w="727" w:type="dxa"/>
            <w:vAlign w:val="center"/>
          </w:tcPr>
          <w:p w:rsidR="00B33AA6" w:rsidRDefault="00B33AA6" w:rsidP="00EB5B78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847" w:type="dxa"/>
            <w:vAlign w:val="center"/>
          </w:tcPr>
          <w:p w:rsidR="00B33AA6" w:rsidRPr="008F157B" w:rsidRDefault="00B33AA6" w:rsidP="00EB5B78">
            <w:pPr>
              <w:jc w:val="left"/>
              <w:rPr>
                <w:b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hint="eastAsia"/>
                <w:b/>
                <w:spacing w:val="10"/>
                <w:sz w:val="21"/>
                <w:szCs w:val="21"/>
                <w:lang w:eastAsia="zh-CN"/>
              </w:rPr>
              <w:t>（三）中文报告打印工作站（</w:t>
            </w:r>
            <w:r w:rsidRPr="008F157B">
              <w:rPr>
                <w:b/>
                <w:spacing w:val="10"/>
                <w:sz w:val="21"/>
                <w:szCs w:val="21"/>
                <w:lang w:eastAsia="zh-CN"/>
              </w:rPr>
              <w:t>1套）</w:t>
            </w:r>
          </w:p>
          <w:p w:rsidR="00B33AA6" w:rsidRPr="008F157B" w:rsidRDefault="00B33AA6" w:rsidP="00EB5B78">
            <w:pPr>
              <w:pStyle w:val="a0"/>
              <w:spacing w:line="276" w:lineRule="auto"/>
              <w:ind w:left="0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配置要求不低于以下参数要求：</w:t>
            </w:r>
          </w:p>
          <w:p w:rsidR="00B33AA6" w:rsidRPr="008F157B" w:rsidRDefault="00B33AA6" w:rsidP="00EB5B78">
            <w:pPr>
              <w:pStyle w:val="a0"/>
              <w:spacing w:line="276" w:lineRule="auto"/>
              <w:ind w:left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技术指标及功能：</w:t>
            </w:r>
          </w:p>
          <w:p w:rsidR="00B33AA6" w:rsidRPr="008F157B" w:rsidRDefault="00B33AA6" w:rsidP="00EB5B78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F15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、商用电脑，≥19寸液晶显示器，中文软件，激光打印机。</w:t>
            </w:r>
          </w:p>
          <w:p w:rsidR="00B33AA6" w:rsidRPr="008F157B" w:rsidRDefault="00B33AA6" w:rsidP="00EB5B78">
            <w:pPr>
              <w:tabs>
                <w:tab w:val="left" w:pos="735"/>
              </w:tabs>
              <w:snapToGrid w:val="0"/>
              <w:spacing w:line="360" w:lineRule="auto"/>
              <w:ind w:rightChars="-159" w:right="-35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lastRenderedPageBreak/>
              <w:t>2</w:t>
            </w:r>
            <w:r w:rsidRPr="008F15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、电脑配置：Win</w:t>
            </w:r>
            <w:r w:rsidRPr="008F157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11</w:t>
            </w:r>
            <w:r w:rsidRPr="008F15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操作系统,CPU双盒（i</w:t>
            </w:r>
            <w:r w:rsidRPr="008F157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7及以上</w:t>
            </w:r>
            <w:r w:rsidRPr="008F15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），内存≥8G,硬盘:≥</w:t>
            </w:r>
            <w:r w:rsidRPr="008F157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500</w:t>
            </w:r>
            <w:r w:rsidRPr="008F15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G</w:t>
            </w:r>
          </w:p>
          <w:p w:rsidR="00B33AA6" w:rsidRPr="008F157B" w:rsidRDefault="00B33AA6" w:rsidP="00EB5B78">
            <w:pPr>
              <w:tabs>
                <w:tab w:val="left" w:pos="735"/>
              </w:tabs>
              <w:snapToGrid w:val="0"/>
              <w:spacing w:line="360" w:lineRule="auto"/>
              <w:ind w:rightChars="-159" w:right="-35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8F157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8F15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、系统功能：自由设定、中文操作及报告打印。</w:t>
            </w:r>
          </w:p>
        </w:tc>
      </w:tr>
      <w:tr w:rsidR="00B33AA6" w:rsidTr="00EB5B78">
        <w:tc>
          <w:tcPr>
            <w:tcW w:w="1173" w:type="dxa"/>
            <w:vAlign w:val="center"/>
          </w:tcPr>
          <w:p w:rsidR="00B33AA6" w:rsidRDefault="00B33AA6" w:rsidP="00EB5B78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lastRenderedPageBreak/>
              <w:t>▲</w:t>
            </w:r>
          </w:p>
        </w:tc>
        <w:tc>
          <w:tcPr>
            <w:tcW w:w="727" w:type="dxa"/>
            <w:vAlign w:val="center"/>
          </w:tcPr>
          <w:p w:rsidR="00B33AA6" w:rsidRDefault="00B33AA6" w:rsidP="00EB5B78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spacing w:val="1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847" w:type="dxa"/>
            <w:vAlign w:val="center"/>
          </w:tcPr>
          <w:p w:rsidR="00B33AA6" w:rsidRPr="00211B7C" w:rsidRDefault="00B33AA6" w:rsidP="00EB5B78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pacing w:val="10"/>
                <w:sz w:val="21"/>
                <w:szCs w:val="21"/>
                <w:lang w:eastAsia="zh-CN"/>
              </w:rPr>
            </w:pPr>
            <w:r w:rsidRPr="00211B7C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1"/>
                <w:lang w:eastAsia="zh-CN"/>
              </w:rPr>
              <w:t>（四）稳压电源</w:t>
            </w:r>
            <w:r w:rsidRPr="004E66B9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1"/>
                <w:lang w:eastAsia="zh-CN"/>
              </w:rPr>
              <w:t>（</w:t>
            </w:r>
            <w:r w:rsidRPr="004E66B9">
              <w:rPr>
                <w:rFonts w:asciiTheme="minorEastAsia" w:eastAsiaTheme="minorEastAsia" w:hAnsiTheme="minorEastAsia"/>
                <w:b/>
                <w:spacing w:val="10"/>
                <w:sz w:val="21"/>
                <w:szCs w:val="21"/>
                <w:lang w:eastAsia="zh-CN"/>
              </w:rPr>
              <w:t>1台）</w:t>
            </w:r>
          </w:p>
          <w:p w:rsidR="00B33AA6" w:rsidRPr="00211B7C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spacing w:val="10"/>
                <w:sz w:val="21"/>
                <w:szCs w:val="21"/>
                <w:lang w:eastAsia="zh-CN"/>
              </w:rPr>
            </w:pPr>
            <w:r w:rsidRPr="00211B7C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zh-CN"/>
              </w:rPr>
              <w:t>配置要求不低于以下参数要求：</w:t>
            </w:r>
          </w:p>
          <w:p w:rsidR="00B33AA6" w:rsidRPr="00211B7C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/>
                <w:spacing w:val="10"/>
                <w:sz w:val="21"/>
                <w:szCs w:val="21"/>
                <w:lang w:eastAsia="zh-CN"/>
              </w:rPr>
            </w:pPr>
            <w:r w:rsidRPr="00211B7C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1"/>
                <w:lang w:eastAsia="zh-CN"/>
              </w:rPr>
              <w:t>技术指标及功能：</w:t>
            </w:r>
          </w:p>
          <w:p w:rsidR="00B33AA6" w:rsidRPr="00FD64F5" w:rsidRDefault="00B33AA6" w:rsidP="00EB5B78">
            <w:pPr>
              <w:pStyle w:val="a0"/>
              <w:spacing w:line="360" w:lineRule="auto"/>
              <w:ind w:left="0"/>
              <w:rPr>
                <w:lang w:eastAsia="zh-CN"/>
              </w:rPr>
            </w:pPr>
            <w:r w:rsidRPr="00211B7C">
              <w:rPr>
                <w:rFonts w:hint="eastAsia"/>
                <w:sz w:val="21"/>
                <w:szCs w:val="21"/>
                <w:lang w:eastAsia="zh-CN"/>
              </w:rPr>
              <w:t>功率≥</w:t>
            </w:r>
            <w:r w:rsidRPr="00211B7C">
              <w:rPr>
                <w:sz w:val="21"/>
                <w:szCs w:val="21"/>
                <w:lang w:eastAsia="zh-CN"/>
              </w:rPr>
              <w:t>6</w:t>
            </w:r>
            <w:r>
              <w:rPr>
                <w:rFonts w:hint="eastAsia"/>
                <w:sz w:val="21"/>
                <w:szCs w:val="21"/>
                <w:lang w:eastAsia="zh-CN"/>
              </w:rPr>
              <w:t>KW</w:t>
            </w:r>
            <w:r w:rsidRPr="00211B7C">
              <w:rPr>
                <w:sz w:val="21"/>
                <w:szCs w:val="21"/>
                <w:lang w:eastAsia="zh-CN"/>
              </w:rPr>
              <w:t>，断电延时≥15分钟</w:t>
            </w:r>
          </w:p>
        </w:tc>
      </w:tr>
      <w:tr w:rsidR="00B33AA6" w:rsidTr="00EB5B78">
        <w:tc>
          <w:tcPr>
            <w:tcW w:w="1173" w:type="dxa"/>
            <w:vAlign w:val="center"/>
          </w:tcPr>
          <w:p w:rsidR="00B33AA6" w:rsidRDefault="00B33AA6" w:rsidP="00EB5B78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▲</w:t>
            </w:r>
          </w:p>
        </w:tc>
        <w:tc>
          <w:tcPr>
            <w:tcW w:w="727" w:type="dxa"/>
            <w:vAlign w:val="center"/>
          </w:tcPr>
          <w:p w:rsidR="00B33AA6" w:rsidRDefault="00B33AA6" w:rsidP="00EB5B78">
            <w:pPr>
              <w:jc w:val="center"/>
              <w:rPr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847" w:type="dxa"/>
            <w:vAlign w:val="center"/>
          </w:tcPr>
          <w:p w:rsidR="00B33AA6" w:rsidRPr="0089484F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/>
                <w:spacing w:val="10"/>
                <w:sz w:val="21"/>
                <w:szCs w:val="21"/>
                <w:lang w:eastAsia="zh-CN"/>
              </w:rPr>
            </w:pPr>
            <w:r w:rsidRPr="0089484F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1"/>
                <w:lang w:eastAsia="zh-CN"/>
              </w:rPr>
              <w:t>（五）</w:t>
            </w:r>
            <w:r w:rsidRPr="0089484F">
              <w:rPr>
                <w:rFonts w:asciiTheme="minorEastAsia" w:eastAsiaTheme="minorEastAsia" w:hAnsiTheme="minorEastAsia"/>
                <w:b/>
                <w:spacing w:val="10"/>
                <w:sz w:val="21"/>
                <w:szCs w:val="21"/>
                <w:lang w:eastAsia="zh-CN"/>
              </w:rPr>
              <w:t>其他商务要求</w:t>
            </w:r>
            <w:r w:rsidRPr="0089484F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1"/>
                <w:lang w:eastAsia="zh-CN"/>
              </w:rPr>
              <w:t>：</w:t>
            </w:r>
          </w:p>
          <w:p w:rsidR="00B33AA6" w:rsidRPr="0089484F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/>
                <w:spacing w:val="10"/>
                <w:sz w:val="21"/>
                <w:szCs w:val="21"/>
                <w:lang w:eastAsia="zh-CN"/>
              </w:rPr>
            </w:pPr>
            <w:r w:rsidRPr="0089484F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1"/>
                <w:lang w:eastAsia="zh-CN"/>
              </w:rPr>
              <w:t>（1）售后服务保障</w:t>
            </w:r>
          </w:p>
          <w:p w:rsidR="00B33AA6" w:rsidRPr="0089484F" w:rsidRDefault="00B33AA6" w:rsidP="00EB5B78">
            <w:pPr>
              <w:snapToGrid w:val="0"/>
              <w:spacing w:line="360" w:lineRule="auto"/>
              <w:ind w:leftChars="54" w:left="119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89484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1、操作培训：装机现场免费培训操作人员可独立熟练操作；并免费提供3-5名工作人员到厂家培训、学习的机会。</w:t>
            </w:r>
          </w:p>
          <w:p w:rsidR="00B33AA6" w:rsidRPr="004E66B9" w:rsidRDefault="00B33AA6" w:rsidP="00EB5B78">
            <w:pPr>
              <w:snapToGrid w:val="0"/>
              <w:spacing w:line="360" w:lineRule="auto"/>
              <w:ind w:leftChars="42" w:left="92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4E66B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、售后服务：保修≥3年，终身维修，十年以</w:t>
            </w:r>
            <w:r w:rsidRPr="001153B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上配件供应服务，一小时响应，六小时现场处置。</w:t>
            </w:r>
          </w:p>
          <w:p w:rsidR="00B33AA6" w:rsidRPr="004E66B9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b/>
                <w:spacing w:val="10"/>
                <w:sz w:val="21"/>
                <w:szCs w:val="21"/>
                <w:lang w:eastAsia="zh-CN"/>
              </w:rPr>
            </w:pPr>
            <w:r w:rsidRPr="004E66B9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1"/>
                <w:lang w:eastAsia="zh-CN"/>
              </w:rPr>
              <w:t>（2）技术资料及培训（中标供应商提供）</w:t>
            </w:r>
          </w:p>
          <w:p w:rsidR="00B33AA6" w:rsidRPr="004E66B9" w:rsidRDefault="00B33AA6" w:rsidP="00EB5B78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E66B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1、提供设备安装场地环境标准文件及产品中英文使用说明书。</w:t>
            </w:r>
          </w:p>
          <w:p w:rsidR="00B33AA6" w:rsidRPr="004E66B9" w:rsidRDefault="00B33AA6" w:rsidP="00EB5B78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E66B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2、提供设备全部技术资料文件及全部应用软件及光盘备份。</w:t>
            </w:r>
          </w:p>
          <w:p w:rsidR="00B33AA6" w:rsidRPr="004E66B9" w:rsidRDefault="00B33AA6" w:rsidP="00EB5B78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4E66B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3、各项参数均为设备重要技术指标配置，虚假应标责任自负。</w:t>
            </w:r>
          </w:p>
          <w:p w:rsidR="00B33AA6" w:rsidRPr="004E66B9" w:rsidRDefault="00B33AA6" w:rsidP="00EB5B78">
            <w:pPr>
              <w:pStyle w:val="a0"/>
              <w:spacing w:line="360" w:lineRule="auto"/>
              <w:ind w:left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4E66B9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（3）服务要求</w:t>
            </w:r>
          </w:p>
          <w:p w:rsidR="00B33AA6" w:rsidRPr="004E66B9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E66B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Pr="004E66B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.1</w:t>
            </w:r>
            <w:r w:rsidRPr="004E66B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质保期内：</w:t>
            </w:r>
          </w:p>
          <w:p w:rsidR="00B33AA6" w:rsidRPr="004E66B9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153B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1、发生质量（包括软件部分）问题，接到甲方通知后，应于当日派出专业的维修人员到现场进行检测维修。发生的</w:t>
            </w:r>
            <w:r w:rsidRPr="004E66B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全部费用由乙方承担，若需送回生产厂，乙方承担往返费用；</w:t>
            </w:r>
          </w:p>
          <w:p w:rsidR="00B33AA6" w:rsidRPr="004E66B9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E66B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2、每月派技术人员到现场走访，给予检查维护；</w:t>
            </w:r>
          </w:p>
          <w:p w:rsidR="00B33AA6" w:rsidRPr="004E66B9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153B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3、排除故障的期限不得超过48小时。否</w:t>
            </w:r>
            <w:r w:rsidRPr="004E66B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则甲方有权指定第三方维修，维修费用由乙方承担。甲方可在货款和其他应付乙方款项中扣除。</w:t>
            </w:r>
          </w:p>
          <w:p w:rsidR="00B33AA6" w:rsidRPr="004E66B9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E66B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4、物品在质保期内，如果出现两次以上因质量问题引起的故障，乙方公司负责更换同类新的物品。</w:t>
            </w:r>
          </w:p>
          <w:p w:rsidR="00B33AA6" w:rsidRPr="004E66B9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E66B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5、如因乙方物品质量问题，导致甲方损失，乙方应予以赔偿。</w:t>
            </w:r>
          </w:p>
          <w:p w:rsidR="00B33AA6" w:rsidRPr="004E66B9" w:rsidRDefault="00B33AA6" w:rsidP="00EB5B7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E66B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Pr="004E66B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.2</w:t>
            </w:r>
            <w:r w:rsidRPr="004E66B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、保修期结束前，进行系统测试，全面保养维护，确保正常运行。</w:t>
            </w:r>
          </w:p>
          <w:p w:rsidR="00B33AA6" w:rsidRPr="00CE63EF" w:rsidRDefault="00B33AA6" w:rsidP="00EB5B78">
            <w:pPr>
              <w:spacing w:line="360" w:lineRule="auto"/>
              <w:rPr>
                <w:lang w:eastAsia="zh-CN"/>
              </w:rPr>
            </w:pPr>
            <w:r w:rsidRPr="004E66B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Pr="004E66B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.3</w:t>
            </w:r>
            <w:r w:rsidRPr="004E66B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、保修期结束后，厂家对设备终身维护，维修只能按市场最低价收取配件费，人工服务费全免，并提供技术支持。</w:t>
            </w:r>
          </w:p>
        </w:tc>
      </w:tr>
    </w:tbl>
    <w:p w:rsidR="00B33AA6" w:rsidRPr="00B33AA6" w:rsidRDefault="00B33AA6" w:rsidP="00B33AA6">
      <w:pPr>
        <w:tabs>
          <w:tab w:val="left" w:pos="4705"/>
        </w:tabs>
        <w:spacing w:line="360" w:lineRule="auto"/>
        <w:ind w:firstLineChars="200" w:firstLine="520"/>
        <w:rPr>
          <w:rFonts w:hint="eastAsia"/>
          <w:spacing w:val="10"/>
          <w:sz w:val="24"/>
          <w:szCs w:val="24"/>
          <w:lang w:eastAsia="zh-CN"/>
        </w:rPr>
        <w:sectPr w:rsidR="00B33AA6" w:rsidRPr="00B33AA6">
          <w:pgSz w:w="11900" w:h="16840"/>
          <w:pgMar w:top="1134" w:right="1134" w:bottom="1134" w:left="1134" w:header="0" w:footer="13" w:gutter="0"/>
          <w:cols w:space="720"/>
        </w:sectPr>
      </w:pPr>
      <w:r>
        <w:rPr>
          <w:spacing w:val="10"/>
          <w:sz w:val="24"/>
          <w:szCs w:val="24"/>
          <w:lang w:eastAsia="zh-CN"/>
        </w:rPr>
        <w:lastRenderedPageBreak/>
        <w:tab/>
      </w:r>
      <w:bookmarkStart w:id="0" w:name="_GoBack"/>
      <w:bookmarkEnd w:id="0"/>
    </w:p>
    <w:p w:rsidR="00CE72A9" w:rsidRDefault="00CE72A9" w:rsidP="00B33AA6">
      <w:pPr>
        <w:rPr>
          <w:rFonts w:hint="eastAsia"/>
          <w:lang w:eastAsia="zh-CN"/>
        </w:rPr>
      </w:pPr>
    </w:p>
    <w:sectPr w:rsidR="00CE72A9" w:rsidSect="00B33A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A6"/>
    <w:rsid w:val="00B33AA6"/>
    <w:rsid w:val="00C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C52D4-1E41-4DF9-9946-E5430AD0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rsid w:val="00B33AA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1"/>
    <w:qFormat/>
    <w:rsid w:val="00B33AA6"/>
    <w:pPr>
      <w:ind w:left="490"/>
    </w:pPr>
    <w:rPr>
      <w:sz w:val="19"/>
      <w:szCs w:val="19"/>
    </w:rPr>
  </w:style>
  <w:style w:type="character" w:customStyle="1" w:styleId="Char">
    <w:name w:val="正文文本 Char"/>
    <w:basedOn w:val="a1"/>
    <w:link w:val="a0"/>
    <w:uiPriority w:val="1"/>
    <w:rsid w:val="00B33AA6"/>
    <w:rPr>
      <w:rFonts w:ascii="宋体" w:eastAsia="宋体" w:hAnsi="宋体" w:cs="宋体"/>
      <w:kern w:val="0"/>
      <w:sz w:val="19"/>
      <w:szCs w:val="19"/>
      <w:lang w:eastAsia="en-US"/>
    </w:rPr>
  </w:style>
  <w:style w:type="table" w:styleId="a4">
    <w:name w:val="Table Grid"/>
    <w:basedOn w:val="a2"/>
    <w:uiPriority w:val="39"/>
    <w:qFormat/>
    <w:rsid w:val="00B33A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3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2024-05-27T08:40:00Z</dcterms:created>
  <dcterms:modified xsi:type="dcterms:W3CDTF">2024-05-27T08:41:00Z</dcterms:modified>
</cp:coreProperties>
</file>