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医保网络安全检查</w:t>
      </w:r>
    </w:p>
    <w:p>
      <w:pPr>
        <w:pStyle w:val="null3"/>
        <w:jc w:val="center"/>
        <w:outlineLvl w:val="2"/>
      </w:pPr>
      <w:r>
        <w:rPr>
          <w:sz w:val="28"/>
          <w:b/>
        </w:rPr>
        <w:t>采购项目编号：</w:t>
      </w:r>
      <w:r>
        <w:rPr>
          <w:sz w:val="28"/>
          <w:b/>
        </w:rPr>
        <w:t>YC24001018（CGQ）</w:t>
      </w:r>
      <w:r>
        <w:br/>
      </w:r>
      <w:r>
        <w:br/>
      </w:r>
      <w:r>
        <w:br/>
      </w:r>
    </w:p>
    <w:p>
      <w:pPr>
        <w:pStyle w:val="null3"/>
        <w:jc w:val="center"/>
        <w:outlineLvl w:val="2"/>
      </w:pPr>
      <w:r>
        <w:rPr>
          <w:sz w:val="28"/>
          <w:b/>
        </w:rPr>
        <w:t>西安市医疗保险基金管理中心</w:t>
      </w:r>
    </w:p>
    <w:p>
      <w:pPr>
        <w:pStyle w:val="null3"/>
        <w:jc w:val="center"/>
        <w:outlineLvl w:val="2"/>
      </w:pPr>
      <w:r>
        <w:rPr>
          <w:sz w:val="28"/>
          <w:b/>
        </w:rPr>
        <w:t>亿诚建设项目管理有限公司</w:t>
      </w:r>
      <w:r>
        <w:rPr>
          <w:sz w:val="28"/>
          <w:b/>
        </w:rPr>
        <w:t>共同编制</w:t>
      </w:r>
    </w:p>
    <w:p>
      <w:pPr>
        <w:pStyle w:val="null3"/>
        <w:jc w:val="center"/>
        <w:outlineLvl w:val="2"/>
      </w:pPr>
      <w:r>
        <w:rPr>
          <w:sz w:val="28"/>
          <w:b/>
        </w:rPr>
        <w:t>2024年05月28日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亿诚建设项目管理有限公司</w:t>
      </w:r>
      <w:r>
        <w:rPr/>
        <w:t>（以下简称“代理机构”）受</w:t>
      </w:r>
      <w:r>
        <w:rPr/>
        <w:t>西安市医疗保险基金管理中心</w:t>
      </w:r>
      <w:r>
        <w:rPr/>
        <w:t>委托，拟对</w:t>
      </w:r>
      <w:r>
        <w:rPr/>
        <w:t>医保网络安全检查</w:t>
      </w:r>
      <w:r>
        <w:rPr/>
        <w:t>采用竞争性磋商采购方式进行采购，兹邀请供应商参加本项目的竞争性磋商。</w:t>
      </w:r>
    </w:p>
    <w:p>
      <w:pPr>
        <w:pStyle w:val="null3"/>
        <w:outlineLvl w:val="2"/>
      </w:pPr>
      <w:r>
        <w:rPr>
          <w:sz w:val="28"/>
          <w:b/>
        </w:rPr>
        <w:t>一、项目编号：</w:t>
      </w:r>
      <w:r>
        <w:rPr>
          <w:sz w:val="28"/>
          <w:b/>
        </w:rPr>
        <w:t>YC24001018（CGQ）</w:t>
      </w:r>
    </w:p>
    <w:p>
      <w:pPr>
        <w:pStyle w:val="null3"/>
        <w:outlineLvl w:val="2"/>
      </w:pPr>
      <w:r>
        <w:rPr>
          <w:sz w:val="28"/>
          <w:b/>
        </w:rPr>
        <w:t>二、项目名称：</w:t>
      </w:r>
      <w:r>
        <w:rPr>
          <w:sz w:val="28"/>
          <w:b/>
        </w:rPr>
        <w:t>医保网络安全检查</w:t>
      </w:r>
    </w:p>
    <w:p>
      <w:pPr>
        <w:pStyle w:val="null3"/>
        <w:outlineLvl w:val="2"/>
      </w:pPr>
      <w:r>
        <w:rPr>
          <w:sz w:val="28"/>
          <w:b/>
        </w:rPr>
        <w:t>三、磋商项目简介</w:t>
      </w:r>
    </w:p>
    <w:p>
      <w:pPr>
        <w:pStyle w:val="null3"/>
        <w:ind w:firstLine="480"/>
      </w:pPr>
      <w:r>
        <w:rPr/>
        <w:t>医保网络安全检查采购项目，工作内容：（一）项目背景：为响应国家相关政策标准及法律法规的要求以应对越来越严格的网络安全监管局势，通过网络安全检查服务发现全市医保机构、部分定点医药机构、市医疗保险基金管理中心存在的安全风险，并及时整改，保障网络信息安全，避免因医保网络攻击问题造成重大网络安全事件，切实提高全市医保网络安全防护能力，并通过建立、实施、检查、优化的工作流程，为全市医保网络提供网络安全综合治理服务，为将来的更加成熟的信息化建设工作提供指导性的规划意见。 （二）目的：为有效落实国家相关法律法规要求，履行网络安全工作管理职责，有效提升我市医保网络安全防护水平和应急响应能力，对全市医保相关单位医保网络的安全现状与存在的安全风险隐患进行检查，提高全市医保网络的安全防护水平。同时通过建立符合国家法律法规和行业标准要求的网络安全管理体系，形成一套科学、规范、有效的安全管理机制，为全市医保网络的稳定运行提供坚实的网络安全保障。</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采购包1（医保网络安全检查服务）：属于专门面向中小企业采购。</w:t>
      </w:r>
    </w:p>
    <w:p>
      <w:pPr>
        <w:pStyle w:val="null3"/>
      </w:pPr>
      <w:r>
        <w:rPr/>
        <w:t>采购包2（市本级定点医疗机构及定点零售药店网络安全检查服务）：属于专门面向中小企业采购。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1、法定代表人授权委托书：法定代表人授权委托书（附法定代表人、被授权人身份证复印件并加盖公章）。（法定代表人参加投标只须提供法定代表人身份证明书及法人身份证复印件）；</w:t>
      </w:r>
    </w:p>
    <w:p>
      <w:pPr>
        <w:pStyle w:val="null3"/>
      </w:pPr>
      <w:r>
        <w:rPr/>
        <w:t>2、企业信誉截图：供应商不得为“信用中国”网站（www.creditchina.gov.cn）中列入失信 被执行人和税收违法黑名单的供应商，不得为中国政府采购网（www.ccgp.gov.cn）政府采购严重违法失信行为记录名单中被财政部门禁止参加政府采购活动的供应商；</w:t>
      </w:r>
    </w:p>
    <w:p>
      <w:pPr>
        <w:pStyle w:val="null3"/>
      </w:pPr>
      <w:r>
        <w:rPr/>
        <w:t>3、供应商关联关系声明：单位负责人为同一人或者存在直接控股、管理关系的不同供应商，不得参加同一合同项下的政府采购活动；</w:t>
      </w:r>
    </w:p>
    <w:p>
      <w:pPr>
        <w:pStyle w:val="null3"/>
      </w:pPr>
      <w:r>
        <w:rPr/>
        <w:t>4、非联合体声明：本次项目不接受联合体；</w:t>
      </w:r>
    </w:p>
    <w:p>
      <w:pPr>
        <w:pStyle w:val="null3"/>
      </w:pPr>
      <w:r>
        <w:rPr/>
        <w:t>采购包2：</w:t>
      </w:r>
    </w:p>
    <w:p>
      <w:pPr>
        <w:pStyle w:val="null3"/>
      </w:pPr>
      <w:r>
        <w:rPr/>
        <w:t>1、法定代表人授权委托书：法定代表人授权委托书（附法定代表人、被授权人身份证复印件并加盖公章）。（法定代表人参加投标只须提供法定代表人身份证明书及法人身份证复印件）；</w:t>
      </w:r>
    </w:p>
    <w:p>
      <w:pPr>
        <w:pStyle w:val="null3"/>
      </w:pPr>
      <w:r>
        <w:rPr/>
        <w:t>2、企业信誉截图：供应商不得为“信用中国”网站（www.creditchina.gov.cn）中列入失信 被执行人和税收违法黑名单的供应商，不得为中国政府采购网（www.ccgp.gov.cn）政府采购严重违法失信行为记录名单中被财政部门禁止参加政府采购活动的供应商；</w:t>
      </w:r>
    </w:p>
    <w:p>
      <w:pPr>
        <w:pStyle w:val="null3"/>
      </w:pPr>
      <w:r>
        <w:rPr/>
        <w:t>3、供应商关联关系声明：单位负责人为同一人或者存在直接控股、管理关系的不同供应商，不得参加同一合同项下的政府采购活动；</w:t>
      </w:r>
    </w:p>
    <w:p>
      <w:pPr>
        <w:pStyle w:val="null3"/>
      </w:pPr>
      <w:r>
        <w:rPr/>
        <w:t>4、非联合体声明：本次项目不接受联合体；</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西安市医疗保险基金管理中心</w:t>
      </w:r>
    </w:p>
    <w:p>
      <w:pPr>
        <w:pStyle w:val="null3"/>
      </w:pPr>
      <w:r>
        <w:rPr/>
        <w:t xml:space="preserve"> 地址： </w:t>
      </w:r>
      <w:r>
        <w:rPr/>
        <w:t>西安市未央区明光路166号凯瑞H座4层</w:t>
      </w:r>
    </w:p>
    <w:p>
      <w:pPr>
        <w:pStyle w:val="null3"/>
      </w:pPr>
      <w:r>
        <w:rPr/>
        <w:t xml:space="preserve"> 邮编： </w:t>
      </w:r>
      <w:r>
        <w:rPr/>
        <w:t>/</w:t>
      </w:r>
    </w:p>
    <w:p>
      <w:pPr>
        <w:pStyle w:val="null3"/>
      </w:pPr>
      <w:r>
        <w:rPr/>
        <w:t xml:space="preserve"> 联系人： </w:t>
      </w:r>
      <w:r>
        <w:rPr/>
        <w:t>毛老师</w:t>
      </w:r>
    </w:p>
    <w:p>
      <w:pPr>
        <w:pStyle w:val="null3"/>
      </w:pPr>
      <w:r>
        <w:rPr/>
        <w:t xml:space="preserve"> 联系电话： </w:t>
      </w:r>
      <w:r>
        <w:rPr/>
        <w:t>029-87222552</w:t>
      </w:r>
    </w:p>
    <w:p>
      <w:pPr>
        <w:pStyle w:val="null3"/>
        <w:outlineLvl w:val="3"/>
      </w:pPr>
      <w:r>
        <w:rPr>
          <w:sz w:val="24"/>
          <w:b/>
        </w:rPr>
        <w:t>代理机构：</w:t>
      </w:r>
      <w:r>
        <w:rPr>
          <w:sz w:val="24"/>
          <w:b/>
        </w:rPr>
        <w:t>亿诚建设项目管理有限公司</w:t>
      </w:r>
    </w:p>
    <w:p>
      <w:pPr>
        <w:pStyle w:val="null3"/>
      </w:pPr>
      <w:r>
        <w:rPr/>
        <w:t xml:space="preserve"> 地址： </w:t>
      </w:r>
      <w:r>
        <w:rPr/>
        <w:t>陕西省西安市高新区丈八五路高科尚都ONE尚城A座10F</w:t>
      </w:r>
    </w:p>
    <w:p>
      <w:pPr>
        <w:pStyle w:val="null3"/>
      </w:pPr>
      <w:r>
        <w:rPr/>
        <w:t xml:space="preserve"> 邮编： </w:t>
      </w:r>
      <w:r>
        <w:rPr/>
        <w:t>710000</w:t>
      </w:r>
    </w:p>
    <w:p>
      <w:pPr>
        <w:pStyle w:val="null3"/>
      </w:pPr>
      <w:r>
        <w:rPr/>
        <w:t xml:space="preserve"> 联系人： </w:t>
      </w:r>
      <w:r>
        <w:rPr/>
        <w:t>董海龙、蒋斌、王珍</w:t>
      </w:r>
    </w:p>
    <w:p>
      <w:pPr>
        <w:pStyle w:val="null3"/>
      </w:pPr>
      <w:r>
        <w:rPr/>
        <w:t xml:space="preserve"> 联系电话： </w:t>
      </w:r>
      <w:r>
        <w:rPr/>
        <w:t>029-68683878</w:t>
      </w:r>
    </w:p>
    <w:p>
      <w:pPr>
        <w:pStyle w:val="null3"/>
        <w:outlineLvl w:val="3"/>
      </w:pPr>
      <w:r>
        <w:rPr>
          <w:sz w:val="24"/>
          <w:b/>
        </w:rPr>
        <w:t>采购监督机构：</w:t>
      </w:r>
      <w:r>
        <w:rPr>
          <w:sz w:val="24"/>
          <w:b/>
        </w:rPr>
        <w:t>西安市财政局政府采购管理处</w:t>
      </w:r>
    </w:p>
    <w:p>
      <w:pPr>
        <w:pStyle w:val="null3"/>
        <w:ind w:firstLine="480"/>
      </w:pPr>
      <w:r>
        <w:rPr/>
        <w:t>联系人：</w:t>
      </w:r>
      <w:r>
        <w:rPr/>
        <w:t>杜老师</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采购包1：262,000.00元</w:t>
            </w:r>
          </w:p>
          <w:p>
            <w:pPr>
              <w:pStyle w:val="null3"/>
            </w:pPr>
            <w:r>
              <w:rPr/>
              <w:t>采购包2：288,000.00元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采购招标代理服务费参照国家发改委文件计价格〔2002〕1980号及发改价格〔2011〕534号文件规定的收费标准计取，成交单位在领取成交通知书前，须向采购代理机构一次性支付招标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西安市医疗保险基金管理中心</w:t>
      </w:r>
      <w:r>
        <w:rPr/>
        <w:t>和</w:t>
      </w:r>
      <w:r>
        <w:rPr/>
        <w:t>亿诚建设项目管理有限公司</w:t>
      </w:r>
      <w:r>
        <w:rPr/>
        <w:t>享有。对磋商文件中供应商参加本次政府采购活动应当具备的条件，磋商项目技术、服务、商务及其他要求，评审细则及标准由</w:t>
      </w:r>
      <w:r>
        <w:rPr/>
        <w:t>西安市医疗保险基金管理中心</w:t>
      </w:r>
      <w:r>
        <w:rPr/>
        <w:t>负责解释。除上述磋商文件内容，其他内容由</w:t>
      </w:r>
      <w:r>
        <w:rPr/>
        <w:t>亿诚建设项目管理有限公司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西安市医疗保险基金管理中心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亿诚建设项目管理有限公司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详见采购文件</w:t>
      </w:r>
    </w:p>
    <w:p>
      <w:pPr>
        <w:pStyle w:val="null3"/>
      </w:pPr>
      <w:r>
        <w:rPr/>
        <w:t>采购包2：</w:t>
      </w:r>
    </w:p>
    <w:p>
      <w:pPr>
        <w:pStyle w:val="null3"/>
      </w:pPr>
      <w:r>
        <w:rPr/>
        <w:t>详见采购文件</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亿诚建设项目管理有限公司</w:t>
      </w:r>
      <w:r>
        <w:rPr/>
        <w:t xml:space="preserve"> 负责答复；供应商对除采购需求外的采购文件的询问、质疑由</w:t>
      </w:r>
      <w:r>
        <w:rPr/>
        <w:t>亿诚建设项目管理有限公司</w:t>
      </w:r>
      <w:r>
        <w:rPr/>
        <w:t xml:space="preserve"> 负责答复；供应商对采购过程、采购结果的询问、质疑由 </w:t>
      </w:r>
      <w:r>
        <w:rPr/>
        <w:t>亿诚建设项目管理有限公司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联系人：董海龙、蒋斌、王珍</w:t>
      </w:r>
    </w:p>
    <w:p>
      <w:pPr>
        <w:pStyle w:val="null3"/>
      </w:pPr>
      <w:r>
        <w:rPr/>
        <w:t>联系电话：029-68683878</w:t>
      </w:r>
    </w:p>
    <w:p>
      <w:pPr>
        <w:pStyle w:val="null3"/>
      </w:pPr>
      <w:r>
        <w:rPr/>
        <w:t>地址：陕西省西安市高新区丈八五路高科尚都ONE尚城A座10F</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医保网络安全检查采购项目，工作内容：（一）项目背景：为响应国家相关政策标准及法律法规的要求以应对越来越严格的网络安全监管局势，通过网络安全检查服务发现全市医保机构、部分定点医药机构、市医疗保险基金管理中心存在的安全风险，并及时整改，保障网络信息安全，避免因医保网络攻击问题造成重大网络安全事件，切实提高全市医保网络安全防护能力，并通过建立、实施、检查、优化的工作流程，为全市医保网络提供网络安全综合治理服务，为将来的更加成熟的信息化建设工作提供指导性的规划意见。 （二）目的：为有效落实国家相关法律法规要求，履行网络安全工作管理职责，有效提升我市医保网络安全防护水平和应急响应能力，对全市医保相关单位医保网络的安全现状与存在的安全风险隐患进行检查，提高全市医保网络的安全防护水平。同时通过建立符合国家法律法规和行业标准要求的网络安全管理体系，形成一套科学、规范、有效的安全管理机制，为全市医保网络的稳定运行提供坚实的网络安全保障。</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262,000.00</w:t>
      </w:r>
    </w:p>
    <w:p>
      <w:pPr>
        <w:pStyle w:val="null3"/>
      </w:pPr>
      <w:r>
        <w:rPr/>
        <w:t>采购包最高限价（元）: 262,000.00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医保网络安全检查</w:t>
            </w:r>
          </w:p>
        </w:tc>
        <w:tc>
          <w:tcPr>
            <w:tcW w:type="dxa" w:w="831"/>
          </w:tcPr>
          <w:p>
            <w:pPr>
              <w:pStyle w:val="null3"/>
              <w:jc w:val="right"/>
            </w:pPr>
            <w:r>
              <w:rPr/>
              <w:t>1.00</w:t>
            </w:r>
          </w:p>
        </w:tc>
        <w:tc>
          <w:tcPr>
            <w:tcW w:type="dxa" w:w="831"/>
          </w:tcPr>
          <w:p>
            <w:pPr>
              <w:pStyle w:val="null3"/>
              <w:jc w:val="right"/>
            </w:pPr>
            <w:r>
              <w:rPr/>
              <w:t>262,000.00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288,000.00</w:t>
      </w:r>
    </w:p>
    <w:p>
      <w:pPr>
        <w:pStyle w:val="null3"/>
      </w:pPr>
      <w:r>
        <w:rPr/>
        <w:t>采购包最高限价（元）: 288,000.00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医保网络安全检查</w:t>
            </w:r>
          </w:p>
        </w:tc>
        <w:tc>
          <w:tcPr>
            <w:tcW w:type="dxa" w:w="831"/>
          </w:tcPr>
          <w:p>
            <w:pPr>
              <w:pStyle w:val="null3"/>
              <w:jc w:val="right"/>
            </w:pPr>
            <w:r>
              <w:rPr/>
              <w:t>1.00</w:t>
            </w:r>
          </w:p>
        </w:tc>
        <w:tc>
          <w:tcPr>
            <w:tcW w:type="dxa" w:w="831"/>
          </w:tcPr>
          <w:p>
            <w:pPr>
              <w:pStyle w:val="null3"/>
              <w:jc w:val="right"/>
            </w:pPr>
            <w:r>
              <w:rPr/>
              <w:t>288,000.00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标的名称：医保网络安全检查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b/>
              </w:rPr>
              <w:t>一、</w:t>
            </w:r>
            <w:r>
              <w:rPr>
                <w:rFonts w:ascii="宋体" w:hAnsi="宋体" w:cs="宋体" w:eastAsia="宋体"/>
                <w:sz w:val="21"/>
                <w:b/>
              </w:rPr>
              <w:t>服务内容</w:t>
            </w:r>
          </w:p>
          <w:p>
            <w:pPr>
              <w:pStyle w:val="null3"/>
              <w:jc w:val="both"/>
            </w:pPr>
            <w:r>
              <w:rPr>
                <w:rFonts w:ascii="宋体" w:hAnsi="宋体" w:cs="宋体" w:eastAsia="宋体"/>
                <w:sz w:val="21"/>
              </w:rPr>
              <w:t>一包</w:t>
            </w:r>
            <w:r>
              <w:rPr>
                <w:rFonts w:ascii="宋体" w:hAnsi="宋体" w:cs="宋体" w:eastAsia="宋体"/>
                <w:sz w:val="21"/>
              </w:rPr>
              <w:t>：医保网络安全检查服务</w:t>
            </w:r>
          </w:p>
          <w:p>
            <w:pPr>
              <w:pStyle w:val="null3"/>
              <w:jc w:val="both"/>
            </w:pPr>
            <w:r>
              <w:rPr>
                <w:rFonts w:ascii="宋体" w:hAnsi="宋体" w:cs="宋体" w:eastAsia="宋体"/>
                <w:sz w:val="21"/>
              </w:rPr>
              <w:t>对</w:t>
            </w:r>
            <w:r>
              <w:rPr>
                <w:rFonts w:ascii="宋体" w:hAnsi="宋体" w:cs="宋体" w:eastAsia="宋体"/>
                <w:sz w:val="21"/>
              </w:rPr>
              <w:t>43家医保机构、15家二级定点医疗机构、市医疗保险基金管理中心进行医保网络安全合规检查，检查内容包括但不限于：网络基本情况、网络安全管理机构情况、网络安全工作责任制、网络安全管理制度及运行情况、网络安全管理措施情况、安全物理环境情况、网络安全技术防护措施情况、网络安全应急管理情况、数据安全和个人信息保护法规落实情况、网络安全风险评估情况、漏洞风险管理情况、医保数据检查、数字证书检查等，出具检查报告，同时针对本次检查数据进行分析形成分析报告；同时为市医疗保险基金管理中心提供网络安全综合治理服务（包括但不限于：业务梳理服务、网络安全工作整体规划咨询服务、网络安全制度体系完善服务、网络安全培训服务、应急预案修订及演练服务、网络安全配合检查服务、数据安全管理咨询服务、市医疗保险基金管理中心网络安全风险评估服务等），建立全市医保网络安全管理体系。</w:t>
            </w:r>
          </w:p>
          <w:p>
            <w:pPr>
              <w:pStyle w:val="null3"/>
              <w:jc w:val="both"/>
            </w:pPr>
            <w:r>
              <w:rPr>
                <w:rFonts w:ascii="宋体" w:hAnsi="宋体" w:cs="宋体" w:eastAsia="宋体"/>
                <w:sz w:val="21"/>
                <w:b/>
              </w:rPr>
              <w:t>二、</w:t>
            </w:r>
            <w:r>
              <w:rPr>
                <w:rFonts w:ascii="宋体" w:hAnsi="宋体" w:cs="宋体" w:eastAsia="宋体"/>
                <w:sz w:val="21"/>
                <w:b/>
              </w:rPr>
              <w:t>人员配置与检测工具</w:t>
            </w:r>
          </w:p>
          <w:p>
            <w:pPr>
              <w:pStyle w:val="null3"/>
            </w:pPr>
            <w:r>
              <w:rPr>
                <w:rFonts w:ascii="宋体" w:hAnsi="宋体" w:cs="宋体" w:eastAsia="宋体"/>
                <w:sz w:val="21"/>
              </w:rPr>
              <w:t>1.网络安全检查服务</w:t>
            </w:r>
          </w:p>
          <w:p>
            <w:pPr>
              <w:pStyle w:val="null3"/>
              <w:ind w:firstLine="560"/>
            </w:pPr>
            <w:r>
              <w:rPr>
                <w:rFonts w:ascii="宋体" w:hAnsi="宋体" w:cs="宋体" w:eastAsia="宋体"/>
                <w:sz w:val="21"/>
              </w:rPr>
              <w:t>服务商应配备专业的硬件检测工具；检查完毕后提供被检查单位检查报告（每单位一份）及检查总结报告（应包括检查数据分析），交付物应包括纸质版</w:t>
            </w:r>
            <w:r>
              <w:rPr>
                <w:rFonts w:ascii="宋体" w:hAnsi="宋体" w:cs="宋体" w:eastAsia="宋体"/>
                <w:sz w:val="21"/>
              </w:rPr>
              <w:t>2份、电子版1份；供应商根据统一安排，自行前往被检单位。</w:t>
            </w:r>
          </w:p>
          <w:p>
            <w:pPr>
              <w:pStyle w:val="null3"/>
            </w:pPr>
            <w:r>
              <w:rPr>
                <w:rFonts w:ascii="宋体" w:hAnsi="宋体" w:cs="宋体" w:eastAsia="宋体"/>
                <w:sz w:val="21"/>
              </w:rPr>
              <w:t>2.网络安全综合治理</w:t>
            </w:r>
          </w:p>
          <w:p>
            <w:pPr>
              <w:pStyle w:val="null3"/>
              <w:ind w:firstLine="560"/>
            </w:pPr>
            <w:r>
              <w:rPr>
                <w:rFonts w:ascii="宋体" w:hAnsi="宋体" w:cs="宋体" w:eastAsia="宋体"/>
                <w:sz w:val="21"/>
              </w:rPr>
              <w:t>服务商提供服务人员不得少于</w:t>
            </w:r>
            <w:r>
              <w:rPr>
                <w:rFonts w:ascii="宋体" w:hAnsi="宋体" w:cs="宋体" w:eastAsia="宋体"/>
                <w:sz w:val="21"/>
              </w:rPr>
              <w:t>4人；服务商应提供包括但不限于：业务梳理服务、网络安全工作整体规划咨询服务、优化网络安全整体目标和策略、优化网络安全管理制度服务、网络安全培训服务、市医疗保险基金管理中心网络安全风险评估服务、应急预案修订及演练服务、网络安全配合检查服务、数据安全管理咨询服务等，服务整体不少于40人天/年；相关交付物在该项服务提供完毕后交付，应包括纸质版2份、电子版1份，所有服务交付完毕后，提供胶装版纸质资料2份。</w:t>
            </w:r>
          </w:p>
          <w:p>
            <w:pPr>
              <w:pStyle w:val="null3"/>
              <w:jc w:val="both"/>
            </w:pPr>
            <w:r>
              <w:rPr>
                <w:rFonts w:ascii="宋体" w:hAnsi="宋体" w:cs="宋体" w:eastAsia="宋体"/>
                <w:sz w:val="21"/>
              </w:rPr>
              <w:t>三、</w:t>
            </w:r>
            <w:r>
              <w:rPr>
                <w:rFonts w:ascii="宋体" w:hAnsi="宋体" w:cs="宋体" w:eastAsia="宋体"/>
                <w:sz w:val="21"/>
                <w:b/>
              </w:rPr>
              <w:t>服务规范标准</w:t>
            </w:r>
          </w:p>
          <w:p>
            <w:pPr>
              <w:pStyle w:val="null3"/>
              <w:jc w:val="both"/>
            </w:pPr>
            <w:r>
              <w:rPr>
                <w:rFonts w:ascii="宋体" w:hAnsi="宋体" w:cs="宋体" w:eastAsia="宋体"/>
                <w:sz w:val="21"/>
              </w:rPr>
              <w:t>（一）法律法规</w:t>
            </w:r>
          </w:p>
          <w:p>
            <w:pPr>
              <w:pStyle w:val="null3"/>
              <w:numPr>
                <w:ilvl w:val="0"/>
                <w:numId w:val="1"/>
              </w:numPr>
              <w:ind w:left="450"/>
            </w:pPr>
            <w:r>
              <w:rPr>
                <w:rFonts w:ascii="宋体" w:hAnsi="宋体" w:cs="宋体" w:eastAsia="宋体"/>
                <w:sz w:val="21"/>
              </w:rPr>
              <w:t>《中华人民共和国网络安全法》</w:t>
            </w:r>
          </w:p>
          <w:p>
            <w:pPr>
              <w:pStyle w:val="null3"/>
              <w:numPr>
                <w:ilvl w:val="0"/>
                <w:numId w:val="1"/>
              </w:numPr>
              <w:ind w:left="450"/>
            </w:pPr>
            <w:r>
              <w:rPr>
                <w:rFonts w:ascii="宋体" w:hAnsi="宋体" w:cs="宋体" w:eastAsia="宋体"/>
                <w:sz w:val="21"/>
              </w:rPr>
              <w:t>《中华人民共和国数据安全法》</w:t>
            </w:r>
          </w:p>
          <w:p>
            <w:pPr>
              <w:pStyle w:val="null3"/>
              <w:numPr>
                <w:ilvl w:val="0"/>
                <w:numId w:val="1"/>
              </w:numPr>
              <w:ind w:left="450"/>
            </w:pPr>
            <w:r>
              <w:rPr>
                <w:rFonts w:ascii="宋体" w:hAnsi="宋体" w:cs="宋体" w:eastAsia="宋体"/>
                <w:sz w:val="21"/>
              </w:rPr>
              <w:t>《中华人民共和国个人信息保护法》</w:t>
            </w:r>
          </w:p>
          <w:p>
            <w:pPr>
              <w:pStyle w:val="null3"/>
              <w:numPr>
                <w:ilvl w:val="0"/>
                <w:numId w:val="1"/>
              </w:numPr>
              <w:ind w:left="450"/>
            </w:pPr>
            <w:r>
              <w:rPr>
                <w:rFonts w:ascii="宋体" w:hAnsi="宋体" w:cs="宋体" w:eastAsia="宋体"/>
                <w:sz w:val="21"/>
              </w:rPr>
              <w:t>《关键信息基础设施安全保护条例》</w:t>
            </w:r>
          </w:p>
          <w:p>
            <w:pPr>
              <w:pStyle w:val="null3"/>
              <w:jc w:val="both"/>
            </w:pPr>
            <w:r>
              <w:rPr>
                <w:rFonts w:ascii="宋体" w:hAnsi="宋体" w:cs="宋体" w:eastAsia="宋体"/>
                <w:sz w:val="21"/>
              </w:rPr>
              <w:t>（二）参照标准</w:t>
            </w:r>
          </w:p>
          <w:p>
            <w:pPr>
              <w:pStyle w:val="null3"/>
              <w:numPr>
                <w:ilvl w:val="0"/>
                <w:numId w:val="1"/>
              </w:numPr>
              <w:ind w:left="465"/>
            </w:pPr>
            <w:r>
              <w:rPr>
                <w:rFonts w:ascii="宋体" w:hAnsi="宋体" w:cs="宋体" w:eastAsia="宋体"/>
                <w:sz w:val="21"/>
              </w:rPr>
              <w:t>《信息安全技术</w:t>
            </w:r>
            <w:r>
              <w:rPr>
                <w:rFonts w:ascii="宋体" w:hAnsi="宋体" w:cs="宋体" w:eastAsia="宋体"/>
                <w:sz w:val="21"/>
              </w:rPr>
              <w:t>信息安全风险评估方法》（</w:t>
            </w:r>
            <w:r>
              <w:rPr>
                <w:rFonts w:ascii="宋体" w:hAnsi="宋体" w:cs="宋体" w:eastAsia="宋体"/>
                <w:sz w:val="21"/>
              </w:rPr>
              <w:t>GB/T 20984-2022）</w:t>
            </w:r>
          </w:p>
          <w:p>
            <w:pPr>
              <w:pStyle w:val="null3"/>
              <w:numPr>
                <w:ilvl w:val="0"/>
                <w:numId w:val="1"/>
              </w:numPr>
              <w:ind w:left="465"/>
            </w:pPr>
            <w:r>
              <w:rPr>
                <w:rFonts w:ascii="宋体" w:hAnsi="宋体" w:cs="宋体" w:eastAsia="宋体"/>
                <w:sz w:val="21"/>
              </w:rPr>
              <w:t>《信息技术</w:t>
            </w:r>
            <w:r>
              <w:rPr>
                <w:rFonts w:ascii="宋体" w:hAnsi="宋体" w:cs="宋体" w:eastAsia="宋体"/>
                <w:sz w:val="21"/>
              </w:rPr>
              <w:t>安全技术</w:t>
            </w:r>
            <w:r>
              <w:rPr>
                <w:rFonts w:ascii="宋体" w:hAnsi="宋体" w:cs="宋体" w:eastAsia="宋体"/>
                <w:sz w:val="21"/>
              </w:rPr>
              <w:t>信息安全管理</w:t>
            </w:r>
            <w:r>
              <w:rPr>
                <w:rFonts w:ascii="宋体" w:hAnsi="宋体" w:cs="宋体" w:eastAsia="宋体"/>
                <w:sz w:val="21"/>
              </w:rPr>
              <w:t>监视、测量、分析和评价》（</w:t>
            </w:r>
            <w:r>
              <w:rPr>
                <w:rFonts w:ascii="宋体" w:hAnsi="宋体" w:cs="宋体" w:eastAsia="宋体"/>
                <w:sz w:val="21"/>
              </w:rPr>
              <w:t>GB/T 31497-2024）</w:t>
            </w:r>
          </w:p>
          <w:p>
            <w:pPr>
              <w:pStyle w:val="null3"/>
              <w:numPr>
                <w:ilvl w:val="0"/>
                <w:numId w:val="1"/>
              </w:numPr>
              <w:ind w:left="465"/>
            </w:pPr>
            <w:r>
              <w:rPr>
                <w:rFonts w:ascii="宋体" w:hAnsi="宋体" w:cs="宋体" w:eastAsia="宋体"/>
                <w:sz w:val="21"/>
              </w:rPr>
              <w:t>《信息安全技术</w:t>
            </w:r>
            <w:r>
              <w:rPr>
                <w:rFonts w:ascii="宋体" w:hAnsi="宋体" w:cs="宋体" w:eastAsia="宋体"/>
                <w:sz w:val="21"/>
              </w:rPr>
              <w:t>安全漏洞分类》（</w:t>
            </w:r>
            <w:r>
              <w:rPr>
                <w:rFonts w:ascii="宋体" w:hAnsi="宋体" w:cs="宋体" w:eastAsia="宋体"/>
                <w:sz w:val="21"/>
              </w:rPr>
              <w:t>GB/T 33561-2017）</w:t>
            </w:r>
          </w:p>
          <w:p>
            <w:pPr>
              <w:pStyle w:val="null3"/>
              <w:numPr>
                <w:ilvl w:val="0"/>
                <w:numId w:val="1"/>
              </w:numPr>
              <w:ind w:left="465"/>
            </w:pPr>
            <w:r>
              <w:rPr>
                <w:rFonts w:ascii="宋体" w:hAnsi="宋体" w:cs="宋体" w:eastAsia="宋体"/>
                <w:sz w:val="21"/>
              </w:rPr>
              <w:t>《信息安全技术</w:t>
            </w:r>
            <w:r>
              <w:rPr>
                <w:rFonts w:ascii="宋体" w:hAnsi="宋体" w:cs="宋体" w:eastAsia="宋体"/>
                <w:sz w:val="21"/>
              </w:rPr>
              <w:t>网络安全漏洞管理规范》（</w:t>
            </w:r>
            <w:r>
              <w:rPr>
                <w:rFonts w:ascii="宋体" w:hAnsi="宋体" w:cs="宋体" w:eastAsia="宋体"/>
                <w:sz w:val="21"/>
              </w:rPr>
              <w:t>GB/T 30276-2020）</w:t>
            </w:r>
          </w:p>
          <w:p>
            <w:pPr>
              <w:pStyle w:val="null3"/>
              <w:numPr>
                <w:ilvl w:val="0"/>
                <w:numId w:val="1"/>
              </w:numPr>
              <w:ind w:left="465"/>
            </w:pPr>
            <w:r>
              <w:rPr>
                <w:rFonts w:ascii="宋体" w:hAnsi="宋体" w:cs="宋体" w:eastAsia="宋体"/>
                <w:sz w:val="21"/>
              </w:rPr>
              <w:t>《信息安全技术</w:t>
            </w:r>
            <w:r>
              <w:rPr>
                <w:rFonts w:ascii="宋体" w:hAnsi="宋体" w:cs="宋体" w:eastAsia="宋体"/>
                <w:sz w:val="21"/>
              </w:rPr>
              <w:t>网络攻击定义及描述规范》（</w:t>
            </w:r>
            <w:r>
              <w:rPr>
                <w:rFonts w:ascii="宋体" w:hAnsi="宋体" w:cs="宋体" w:eastAsia="宋体"/>
                <w:sz w:val="21"/>
              </w:rPr>
              <w:t>GB/T 37027-2018）</w:t>
            </w:r>
          </w:p>
          <w:p>
            <w:pPr>
              <w:pStyle w:val="null3"/>
              <w:numPr>
                <w:ilvl w:val="0"/>
                <w:numId w:val="1"/>
              </w:numPr>
              <w:ind w:left="465"/>
            </w:pPr>
            <w:r>
              <w:rPr>
                <w:rFonts w:ascii="宋体" w:hAnsi="宋体" w:cs="宋体" w:eastAsia="宋体"/>
                <w:sz w:val="21"/>
              </w:rPr>
              <w:t>《信息安全技术</w:t>
            </w:r>
            <w:r>
              <w:rPr>
                <w:rFonts w:ascii="宋体" w:hAnsi="宋体" w:cs="宋体" w:eastAsia="宋体"/>
                <w:sz w:val="21"/>
              </w:rPr>
              <w:t>网络安全漏洞分类分级指南》（</w:t>
            </w:r>
            <w:r>
              <w:rPr>
                <w:rFonts w:ascii="宋体" w:hAnsi="宋体" w:cs="宋体" w:eastAsia="宋体"/>
                <w:sz w:val="21"/>
              </w:rPr>
              <w:t>GB/T 302711-2020）</w:t>
            </w:r>
          </w:p>
          <w:p>
            <w:pPr>
              <w:pStyle w:val="null3"/>
              <w:numPr>
                <w:ilvl w:val="0"/>
                <w:numId w:val="1"/>
              </w:numPr>
              <w:ind w:left="465"/>
            </w:pPr>
            <w:r>
              <w:rPr>
                <w:rFonts w:ascii="宋体" w:hAnsi="宋体" w:cs="宋体" w:eastAsia="宋体"/>
                <w:sz w:val="21"/>
              </w:rPr>
              <w:t>《信息安全技术</w:t>
            </w:r>
            <w:r>
              <w:rPr>
                <w:rFonts w:ascii="宋体" w:hAnsi="宋体" w:cs="宋体" w:eastAsia="宋体"/>
                <w:sz w:val="21"/>
              </w:rPr>
              <w:t>网络安全漏洞标识与描述规范》（</w:t>
            </w:r>
            <w:r>
              <w:rPr>
                <w:rFonts w:ascii="宋体" w:hAnsi="宋体" w:cs="宋体" w:eastAsia="宋体"/>
                <w:sz w:val="21"/>
              </w:rPr>
              <w:t>GB/T 28458-2020）</w:t>
            </w:r>
          </w:p>
          <w:p>
            <w:pPr>
              <w:pStyle w:val="null3"/>
              <w:numPr>
                <w:ilvl w:val="0"/>
                <w:numId w:val="1"/>
              </w:numPr>
              <w:ind w:left="465"/>
            </w:pPr>
            <w:r>
              <w:rPr>
                <w:rFonts w:ascii="宋体" w:hAnsi="宋体" w:cs="宋体" w:eastAsia="宋体"/>
                <w:sz w:val="21"/>
              </w:rPr>
              <w:t>《信息安全技术</w:t>
            </w:r>
            <w:r>
              <w:rPr>
                <w:rFonts w:ascii="宋体" w:hAnsi="宋体" w:cs="宋体" w:eastAsia="宋体"/>
                <w:sz w:val="21"/>
              </w:rPr>
              <w:t>个人信息安全规范》（</w:t>
            </w:r>
            <w:r>
              <w:rPr>
                <w:rFonts w:ascii="宋体" w:hAnsi="宋体" w:cs="宋体" w:eastAsia="宋体"/>
                <w:sz w:val="21"/>
              </w:rPr>
              <w:t>GB/T 35273-2020）</w:t>
            </w:r>
          </w:p>
          <w:p>
            <w:pPr>
              <w:pStyle w:val="null3"/>
              <w:numPr>
                <w:ilvl w:val="0"/>
                <w:numId w:val="1"/>
              </w:numPr>
              <w:ind w:left="465"/>
            </w:pPr>
            <w:r>
              <w:rPr>
                <w:rFonts w:ascii="宋体" w:hAnsi="宋体" w:cs="宋体" w:eastAsia="宋体"/>
                <w:sz w:val="21"/>
              </w:rPr>
              <w:t>《信息安全技术</w:t>
            </w:r>
            <w:r>
              <w:rPr>
                <w:rFonts w:ascii="宋体" w:hAnsi="宋体" w:cs="宋体" w:eastAsia="宋体"/>
                <w:sz w:val="21"/>
              </w:rPr>
              <w:t>办公设备安全测试方法》（</w:t>
            </w:r>
            <w:r>
              <w:rPr>
                <w:rFonts w:ascii="宋体" w:hAnsi="宋体" w:cs="宋体" w:eastAsia="宋体"/>
                <w:sz w:val="21"/>
              </w:rPr>
              <w:t>GB/T 38558-2020）</w:t>
            </w:r>
          </w:p>
          <w:p>
            <w:pPr>
              <w:pStyle w:val="null3"/>
              <w:numPr>
                <w:ilvl w:val="0"/>
                <w:numId w:val="1"/>
              </w:numPr>
              <w:ind w:left="465"/>
            </w:pPr>
            <w:r>
              <w:rPr>
                <w:rFonts w:ascii="宋体" w:hAnsi="宋体" w:cs="宋体" w:eastAsia="宋体"/>
                <w:sz w:val="21"/>
              </w:rPr>
              <w:t>《信息安全技术</w:t>
            </w:r>
            <w:r>
              <w:rPr>
                <w:rFonts w:ascii="宋体" w:hAnsi="宋体" w:cs="宋体" w:eastAsia="宋体"/>
                <w:sz w:val="21"/>
              </w:rPr>
              <w:t>信息安全应急响应计划规范》（</w:t>
            </w:r>
            <w:r>
              <w:rPr>
                <w:rFonts w:ascii="宋体" w:hAnsi="宋体" w:cs="宋体" w:eastAsia="宋体"/>
                <w:sz w:val="21"/>
              </w:rPr>
              <w:t>GB/T 24363-2009）</w:t>
            </w:r>
          </w:p>
          <w:p>
            <w:pPr>
              <w:pStyle w:val="null3"/>
              <w:jc w:val="both"/>
            </w:pPr>
            <w:r>
              <w:rPr>
                <w:rFonts w:ascii="宋体" w:hAnsi="宋体" w:cs="宋体" w:eastAsia="宋体"/>
                <w:sz w:val="21"/>
                <w:b/>
              </w:rPr>
              <w:t>四、</w:t>
            </w:r>
            <w:r>
              <w:rPr>
                <w:rFonts w:ascii="宋体" w:hAnsi="宋体" w:cs="宋体" w:eastAsia="宋体"/>
                <w:sz w:val="21"/>
                <w:b/>
              </w:rPr>
              <w:t>商务要求</w:t>
            </w:r>
          </w:p>
          <w:p>
            <w:pPr>
              <w:pStyle w:val="null3"/>
              <w:jc w:val="both"/>
            </w:pPr>
            <w:r>
              <w:rPr>
                <w:rFonts w:ascii="宋体" w:hAnsi="宋体" w:cs="宋体" w:eastAsia="宋体"/>
                <w:sz w:val="21"/>
              </w:rPr>
              <w:t>1.服务期限</w:t>
            </w:r>
          </w:p>
          <w:p>
            <w:pPr>
              <w:pStyle w:val="null3"/>
              <w:jc w:val="both"/>
            </w:pPr>
            <w:r>
              <w:rPr>
                <w:rFonts w:ascii="宋体" w:hAnsi="宋体" w:cs="宋体" w:eastAsia="宋体"/>
                <w:sz w:val="21"/>
              </w:rPr>
              <w:t>合同签订，接采购人通知后</w:t>
            </w:r>
            <w:r>
              <w:rPr>
                <w:rFonts w:ascii="宋体" w:hAnsi="宋体" w:cs="宋体" w:eastAsia="宋体"/>
                <w:sz w:val="21"/>
              </w:rPr>
              <w:t>90天内完成所有检查任务，并提交相关报告。</w:t>
            </w:r>
          </w:p>
          <w:p>
            <w:pPr>
              <w:pStyle w:val="null3"/>
              <w:jc w:val="both"/>
            </w:pPr>
            <w:r>
              <w:rPr>
                <w:rFonts w:ascii="宋体" w:hAnsi="宋体" w:cs="宋体" w:eastAsia="宋体"/>
                <w:sz w:val="21"/>
              </w:rPr>
              <w:t>2.验收</w:t>
            </w:r>
          </w:p>
          <w:p>
            <w:pPr>
              <w:pStyle w:val="null3"/>
              <w:jc w:val="both"/>
            </w:pPr>
            <w:r>
              <w:rPr>
                <w:rFonts w:ascii="宋体" w:hAnsi="宋体" w:cs="宋体" w:eastAsia="宋体"/>
                <w:sz w:val="21"/>
              </w:rPr>
              <w:t>项目完成后，供应商提出验收申请，采购人组织对供应商的服务及报告进行验收，验收合格出具验收合格单。</w:t>
            </w:r>
          </w:p>
          <w:p>
            <w:pPr>
              <w:pStyle w:val="null3"/>
              <w:jc w:val="both"/>
            </w:pPr>
            <w:r>
              <w:rPr>
                <w:rFonts w:ascii="宋体" w:hAnsi="宋体" w:cs="宋体" w:eastAsia="宋体"/>
                <w:sz w:val="21"/>
              </w:rPr>
              <w:t>验收依据：</w:t>
            </w:r>
            <w:r>
              <w:rPr>
                <w:rFonts w:ascii="宋体" w:hAnsi="宋体" w:cs="宋体" w:eastAsia="宋体"/>
                <w:sz w:val="21"/>
              </w:rPr>
              <w:t>1.采购文件；2.响应文件；3.相关法规、规范。</w:t>
            </w:r>
          </w:p>
          <w:p>
            <w:pPr>
              <w:pStyle w:val="null3"/>
              <w:jc w:val="both"/>
            </w:pPr>
            <w:r>
              <w:rPr>
                <w:rFonts w:ascii="宋体" w:hAnsi="宋体" w:cs="宋体" w:eastAsia="宋体"/>
                <w:sz w:val="21"/>
              </w:rPr>
              <w:t>款项结算</w:t>
            </w:r>
          </w:p>
          <w:p>
            <w:pPr>
              <w:pStyle w:val="null3"/>
              <w:jc w:val="both"/>
            </w:pPr>
            <w:r>
              <w:rPr>
                <w:rFonts w:ascii="宋体" w:hAnsi="宋体" w:cs="宋体" w:eastAsia="宋体"/>
                <w:sz w:val="21"/>
              </w:rPr>
              <w:t>在合同签订后</w:t>
            </w:r>
            <w:r>
              <w:rPr>
                <w:rFonts w:ascii="宋体" w:hAnsi="宋体" w:cs="宋体" w:eastAsia="宋体"/>
                <w:sz w:val="21"/>
              </w:rPr>
              <w:t>10</w:t>
            </w:r>
            <w:r>
              <w:rPr>
                <w:rFonts w:ascii="宋体" w:hAnsi="宋体" w:cs="宋体" w:eastAsia="宋体"/>
                <w:sz w:val="21"/>
              </w:rPr>
              <w:t>日内，支付合同总额的</w:t>
            </w:r>
            <w:r>
              <w:rPr>
                <w:rFonts w:ascii="宋体" w:hAnsi="宋体" w:cs="宋体" w:eastAsia="宋体"/>
                <w:sz w:val="21"/>
              </w:rPr>
              <w:t>60%；网络安全检查服务验收完成后，支付合同金额的40%。</w:t>
            </w:r>
          </w:p>
          <w:p>
            <w:pPr>
              <w:pStyle w:val="null3"/>
              <w:jc w:val="both"/>
            </w:pPr>
            <w:r>
              <w:rPr>
                <w:rFonts w:ascii="宋体" w:hAnsi="宋体" w:cs="宋体" w:eastAsia="宋体"/>
                <w:sz w:val="21"/>
              </w:rPr>
              <w:t>5.违约责任</w:t>
            </w:r>
          </w:p>
          <w:p>
            <w:pPr>
              <w:pStyle w:val="null3"/>
              <w:jc w:val="both"/>
            </w:pPr>
            <w:r>
              <w:rPr>
                <w:rFonts w:ascii="宋体" w:hAnsi="宋体" w:cs="宋体" w:eastAsia="宋体"/>
                <w:sz w:val="21"/>
              </w:rPr>
              <w:t>按《中华人民共和国民法典》相关规定执行。</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标的名称：医保网络安全检查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b/>
              </w:rPr>
              <w:t>一、</w:t>
            </w:r>
            <w:r>
              <w:rPr>
                <w:rFonts w:ascii="宋体" w:hAnsi="宋体" w:cs="宋体" w:eastAsia="宋体"/>
                <w:sz w:val="21"/>
                <w:b/>
              </w:rPr>
              <w:t>服务内容</w:t>
            </w:r>
          </w:p>
          <w:p>
            <w:pPr>
              <w:pStyle w:val="null3"/>
              <w:jc w:val="both"/>
            </w:pPr>
            <w:r>
              <w:rPr>
                <w:rFonts w:ascii="宋体" w:hAnsi="宋体" w:cs="宋体" w:eastAsia="宋体"/>
                <w:sz w:val="21"/>
              </w:rPr>
              <w:t>二包：市本级定点医疗机构及定点零售药店网络安全检查</w:t>
            </w:r>
            <w:r>
              <w:rPr>
                <w:rFonts w:ascii="宋体" w:hAnsi="宋体" w:cs="宋体" w:eastAsia="宋体"/>
                <w:sz w:val="21"/>
              </w:rPr>
              <w:t>服务</w:t>
            </w:r>
          </w:p>
          <w:p>
            <w:pPr>
              <w:pStyle w:val="null3"/>
            </w:pPr>
            <w:r>
              <w:rPr>
                <w:rFonts w:ascii="宋体" w:hAnsi="宋体" w:cs="宋体" w:eastAsia="宋体"/>
                <w:sz w:val="21"/>
              </w:rPr>
              <w:t>对</w:t>
            </w:r>
            <w:r>
              <w:rPr>
                <w:rFonts w:ascii="宋体" w:hAnsi="宋体" w:cs="宋体" w:eastAsia="宋体"/>
                <w:sz w:val="21"/>
              </w:rPr>
              <w:t>55家市本级定点医疗机构、31家市本级定点零售药店进行医保网络安全管理检查，检查内容包括但不限于：网络基本情况、网络安全管理机构情况、网络安全工作责任制、网络安全管理制度及运行情况、网络安全管理措施情况、安全物理环境情况、网络安全技术防护措施情况、网络安全应急管理情况、网络安全风险评估情况、漏洞风险管理情况、出具检查报告，同时针对本次检查数据进行分析形成分析报告。</w:t>
            </w:r>
          </w:p>
          <w:p>
            <w:pPr>
              <w:pStyle w:val="null3"/>
              <w:jc w:val="both"/>
            </w:pPr>
            <w:r>
              <w:rPr>
                <w:rFonts w:ascii="宋体" w:hAnsi="宋体" w:cs="宋体" w:eastAsia="宋体"/>
                <w:sz w:val="21"/>
                <w:b/>
              </w:rPr>
              <w:t>二、</w:t>
            </w:r>
            <w:r>
              <w:rPr>
                <w:rFonts w:ascii="宋体" w:hAnsi="宋体" w:cs="宋体" w:eastAsia="宋体"/>
                <w:sz w:val="21"/>
                <w:b/>
              </w:rPr>
              <w:t>人员配置与检测工具</w:t>
            </w:r>
          </w:p>
          <w:p>
            <w:pPr>
              <w:pStyle w:val="null3"/>
            </w:pPr>
            <w:r>
              <w:rPr>
                <w:rFonts w:ascii="宋体" w:hAnsi="宋体" w:cs="宋体" w:eastAsia="宋体"/>
                <w:sz w:val="21"/>
              </w:rPr>
              <w:t>网络安全检查服务</w:t>
            </w:r>
          </w:p>
          <w:p>
            <w:pPr>
              <w:pStyle w:val="null3"/>
              <w:ind w:firstLine="560"/>
            </w:pPr>
            <w:r>
              <w:rPr>
                <w:rFonts w:ascii="宋体" w:hAnsi="宋体" w:cs="宋体" w:eastAsia="宋体"/>
                <w:sz w:val="21"/>
              </w:rPr>
              <w:t>服务商应配备专业的硬件检测工具；检查完毕后提供被检查单位检查报告（每单位一份）及检查总结报告（应包括检查数据分析），交付物应包括纸质版</w:t>
            </w:r>
            <w:r>
              <w:rPr>
                <w:rFonts w:ascii="宋体" w:hAnsi="宋体" w:cs="宋体" w:eastAsia="宋体"/>
                <w:sz w:val="21"/>
              </w:rPr>
              <w:t>2份、电子版1份；供应商根据统一安排，自行前往被检单位。</w:t>
            </w:r>
          </w:p>
          <w:p>
            <w:pPr>
              <w:pStyle w:val="null3"/>
              <w:jc w:val="both"/>
            </w:pPr>
            <w:r>
              <w:rPr>
                <w:rFonts w:ascii="宋体" w:hAnsi="宋体" w:cs="宋体" w:eastAsia="宋体"/>
                <w:sz w:val="21"/>
              </w:rPr>
              <w:t>三、</w:t>
            </w:r>
            <w:r>
              <w:rPr>
                <w:rFonts w:ascii="宋体" w:hAnsi="宋体" w:cs="宋体" w:eastAsia="宋体"/>
                <w:sz w:val="21"/>
                <w:b/>
              </w:rPr>
              <w:t>服务规范标准</w:t>
            </w:r>
          </w:p>
          <w:p>
            <w:pPr>
              <w:pStyle w:val="null3"/>
              <w:jc w:val="both"/>
            </w:pPr>
            <w:r>
              <w:rPr>
                <w:rFonts w:ascii="宋体" w:hAnsi="宋体" w:cs="宋体" w:eastAsia="宋体"/>
                <w:sz w:val="21"/>
              </w:rPr>
              <w:t>（一）法律法规</w:t>
            </w:r>
          </w:p>
          <w:p>
            <w:pPr>
              <w:pStyle w:val="null3"/>
              <w:numPr>
                <w:ilvl w:val="0"/>
                <w:numId w:val="1"/>
              </w:numPr>
              <w:ind w:left="450"/>
            </w:pPr>
            <w:r>
              <w:rPr>
                <w:rFonts w:ascii="宋体" w:hAnsi="宋体" w:cs="宋体" w:eastAsia="宋体"/>
                <w:sz w:val="21"/>
              </w:rPr>
              <w:t>《中华人民共和国网络安全法》</w:t>
            </w:r>
          </w:p>
          <w:p>
            <w:pPr>
              <w:pStyle w:val="null3"/>
              <w:numPr>
                <w:ilvl w:val="0"/>
                <w:numId w:val="1"/>
              </w:numPr>
              <w:ind w:left="450"/>
            </w:pPr>
            <w:r>
              <w:rPr>
                <w:rFonts w:ascii="宋体" w:hAnsi="宋体" w:cs="宋体" w:eastAsia="宋体"/>
                <w:sz w:val="21"/>
              </w:rPr>
              <w:t>《中华人民共和国数据安全法》</w:t>
            </w:r>
          </w:p>
          <w:p>
            <w:pPr>
              <w:pStyle w:val="null3"/>
              <w:numPr>
                <w:ilvl w:val="0"/>
                <w:numId w:val="1"/>
              </w:numPr>
              <w:ind w:left="450"/>
            </w:pPr>
            <w:r>
              <w:rPr>
                <w:rFonts w:ascii="宋体" w:hAnsi="宋体" w:cs="宋体" w:eastAsia="宋体"/>
                <w:sz w:val="21"/>
              </w:rPr>
              <w:t>《中华人民共和国个人信息保护法》</w:t>
            </w:r>
          </w:p>
          <w:p>
            <w:pPr>
              <w:pStyle w:val="null3"/>
              <w:numPr>
                <w:ilvl w:val="0"/>
                <w:numId w:val="1"/>
              </w:numPr>
              <w:ind w:left="450"/>
            </w:pPr>
            <w:r>
              <w:rPr>
                <w:rFonts w:ascii="宋体" w:hAnsi="宋体" w:cs="宋体" w:eastAsia="宋体"/>
                <w:sz w:val="21"/>
              </w:rPr>
              <w:t>《关键信息基础设施安全保护条例》</w:t>
            </w:r>
          </w:p>
          <w:p>
            <w:pPr>
              <w:pStyle w:val="null3"/>
              <w:jc w:val="both"/>
            </w:pPr>
            <w:r>
              <w:rPr>
                <w:rFonts w:ascii="宋体" w:hAnsi="宋体" w:cs="宋体" w:eastAsia="宋体"/>
                <w:sz w:val="21"/>
              </w:rPr>
              <w:t>（二）参照标准</w:t>
            </w:r>
          </w:p>
          <w:p>
            <w:pPr>
              <w:pStyle w:val="null3"/>
              <w:numPr>
                <w:ilvl w:val="0"/>
                <w:numId w:val="1"/>
              </w:numPr>
              <w:ind w:left="465"/>
            </w:pPr>
            <w:r>
              <w:rPr>
                <w:rFonts w:ascii="宋体" w:hAnsi="宋体" w:cs="宋体" w:eastAsia="宋体"/>
                <w:sz w:val="21"/>
              </w:rPr>
              <w:t>《信息安全技术</w:t>
            </w:r>
            <w:r>
              <w:rPr>
                <w:rFonts w:ascii="宋体" w:hAnsi="宋体" w:cs="宋体" w:eastAsia="宋体"/>
                <w:sz w:val="21"/>
              </w:rPr>
              <w:t>信息安全风险评估方法》（</w:t>
            </w:r>
            <w:r>
              <w:rPr>
                <w:rFonts w:ascii="宋体" w:hAnsi="宋体" w:cs="宋体" w:eastAsia="宋体"/>
                <w:sz w:val="21"/>
              </w:rPr>
              <w:t>GB/T 20984-2022）</w:t>
            </w:r>
          </w:p>
          <w:p>
            <w:pPr>
              <w:pStyle w:val="null3"/>
              <w:numPr>
                <w:ilvl w:val="0"/>
                <w:numId w:val="1"/>
              </w:numPr>
              <w:ind w:left="465"/>
            </w:pPr>
            <w:r>
              <w:rPr>
                <w:rFonts w:ascii="宋体" w:hAnsi="宋体" w:cs="宋体" w:eastAsia="宋体"/>
                <w:sz w:val="21"/>
              </w:rPr>
              <w:t>《信息技术</w:t>
            </w:r>
            <w:r>
              <w:rPr>
                <w:rFonts w:ascii="宋体" w:hAnsi="宋体" w:cs="宋体" w:eastAsia="宋体"/>
                <w:sz w:val="21"/>
              </w:rPr>
              <w:t>安全技术</w:t>
            </w:r>
            <w:r>
              <w:rPr>
                <w:rFonts w:ascii="宋体" w:hAnsi="宋体" w:cs="宋体" w:eastAsia="宋体"/>
                <w:sz w:val="21"/>
              </w:rPr>
              <w:t>信息安全管理</w:t>
            </w:r>
            <w:r>
              <w:rPr>
                <w:rFonts w:ascii="宋体" w:hAnsi="宋体" w:cs="宋体" w:eastAsia="宋体"/>
                <w:sz w:val="21"/>
              </w:rPr>
              <w:t>监视、测量、分析和评价》（</w:t>
            </w:r>
            <w:r>
              <w:rPr>
                <w:rFonts w:ascii="宋体" w:hAnsi="宋体" w:cs="宋体" w:eastAsia="宋体"/>
                <w:sz w:val="21"/>
              </w:rPr>
              <w:t>GB/T 31497-2024）</w:t>
            </w:r>
          </w:p>
          <w:p>
            <w:pPr>
              <w:pStyle w:val="null3"/>
              <w:numPr>
                <w:ilvl w:val="0"/>
                <w:numId w:val="1"/>
              </w:numPr>
              <w:ind w:left="465"/>
            </w:pPr>
            <w:r>
              <w:rPr>
                <w:rFonts w:ascii="宋体" w:hAnsi="宋体" w:cs="宋体" w:eastAsia="宋体"/>
                <w:sz w:val="21"/>
              </w:rPr>
              <w:t>《信息安全技术</w:t>
            </w:r>
            <w:r>
              <w:rPr>
                <w:rFonts w:ascii="宋体" w:hAnsi="宋体" w:cs="宋体" w:eastAsia="宋体"/>
                <w:sz w:val="21"/>
              </w:rPr>
              <w:t>安全漏洞分类》（</w:t>
            </w:r>
            <w:r>
              <w:rPr>
                <w:rFonts w:ascii="宋体" w:hAnsi="宋体" w:cs="宋体" w:eastAsia="宋体"/>
                <w:sz w:val="21"/>
              </w:rPr>
              <w:t>GB/T 33561-2017）</w:t>
            </w:r>
          </w:p>
          <w:p>
            <w:pPr>
              <w:pStyle w:val="null3"/>
              <w:numPr>
                <w:ilvl w:val="0"/>
                <w:numId w:val="1"/>
              </w:numPr>
              <w:ind w:left="465"/>
            </w:pPr>
            <w:r>
              <w:rPr>
                <w:rFonts w:ascii="宋体" w:hAnsi="宋体" w:cs="宋体" w:eastAsia="宋体"/>
                <w:sz w:val="21"/>
              </w:rPr>
              <w:t>《信息安全技术</w:t>
            </w:r>
            <w:r>
              <w:rPr>
                <w:rFonts w:ascii="宋体" w:hAnsi="宋体" w:cs="宋体" w:eastAsia="宋体"/>
                <w:sz w:val="21"/>
              </w:rPr>
              <w:t>网络安全漏洞管理规范》（</w:t>
            </w:r>
            <w:r>
              <w:rPr>
                <w:rFonts w:ascii="宋体" w:hAnsi="宋体" w:cs="宋体" w:eastAsia="宋体"/>
                <w:sz w:val="21"/>
              </w:rPr>
              <w:t>GB/T 30276-2020）</w:t>
            </w:r>
          </w:p>
          <w:p>
            <w:pPr>
              <w:pStyle w:val="null3"/>
              <w:numPr>
                <w:ilvl w:val="0"/>
                <w:numId w:val="1"/>
              </w:numPr>
              <w:ind w:left="465"/>
            </w:pPr>
            <w:r>
              <w:rPr>
                <w:rFonts w:ascii="宋体" w:hAnsi="宋体" w:cs="宋体" w:eastAsia="宋体"/>
                <w:sz w:val="21"/>
              </w:rPr>
              <w:t>《信息安全技术</w:t>
            </w:r>
            <w:r>
              <w:rPr>
                <w:rFonts w:ascii="宋体" w:hAnsi="宋体" w:cs="宋体" w:eastAsia="宋体"/>
                <w:sz w:val="21"/>
              </w:rPr>
              <w:t>网络攻击定义及描述规范》（</w:t>
            </w:r>
            <w:r>
              <w:rPr>
                <w:rFonts w:ascii="宋体" w:hAnsi="宋体" w:cs="宋体" w:eastAsia="宋体"/>
                <w:sz w:val="21"/>
              </w:rPr>
              <w:t>GB/T 37027-2018）</w:t>
            </w:r>
          </w:p>
          <w:p>
            <w:pPr>
              <w:pStyle w:val="null3"/>
              <w:numPr>
                <w:ilvl w:val="0"/>
                <w:numId w:val="1"/>
              </w:numPr>
              <w:ind w:left="465"/>
            </w:pPr>
            <w:r>
              <w:rPr>
                <w:rFonts w:ascii="宋体" w:hAnsi="宋体" w:cs="宋体" w:eastAsia="宋体"/>
                <w:sz w:val="21"/>
              </w:rPr>
              <w:t>《信息安全技术</w:t>
            </w:r>
            <w:r>
              <w:rPr>
                <w:rFonts w:ascii="宋体" w:hAnsi="宋体" w:cs="宋体" w:eastAsia="宋体"/>
                <w:sz w:val="21"/>
              </w:rPr>
              <w:t>网络安全漏洞分类分级指南》（</w:t>
            </w:r>
            <w:r>
              <w:rPr>
                <w:rFonts w:ascii="宋体" w:hAnsi="宋体" w:cs="宋体" w:eastAsia="宋体"/>
                <w:sz w:val="21"/>
              </w:rPr>
              <w:t>GB/T 302711-2020）</w:t>
            </w:r>
          </w:p>
          <w:p>
            <w:pPr>
              <w:pStyle w:val="null3"/>
              <w:numPr>
                <w:ilvl w:val="0"/>
                <w:numId w:val="1"/>
              </w:numPr>
              <w:ind w:left="465"/>
            </w:pPr>
            <w:r>
              <w:rPr>
                <w:rFonts w:ascii="宋体" w:hAnsi="宋体" w:cs="宋体" w:eastAsia="宋体"/>
                <w:sz w:val="21"/>
              </w:rPr>
              <w:t>《信息安全技术</w:t>
            </w:r>
            <w:r>
              <w:rPr>
                <w:rFonts w:ascii="宋体" w:hAnsi="宋体" w:cs="宋体" w:eastAsia="宋体"/>
                <w:sz w:val="21"/>
              </w:rPr>
              <w:t>网络安全漏洞标识与描述规范》（</w:t>
            </w:r>
            <w:r>
              <w:rPr>
                <w:rFonts w:ascii="宋体" w:hAnsi="宋体" w:cs="宋体" w:eastAsia="宋体"/>
                <w:sz w:val="21"/>
              </w:rPr>
              <w:t>GB/T 28458-2020）</w:t>
            </w:r>
          </w:p>
          <w:p>
            <w:pPr>
              <w:pStyle w:val="null3"/>
              <w:numPr>
                <w:ilvl w:val="0"/>
                <w:numId w:val="1"/>
              </w:numPr>
              <w:ind w:left="465"/>
            </w:pPr>
            <w:r>
              <w:rPr>
                <w:rFonts w:ascii="宋体" w:hAnsi="宋体" w:cs="宋体" w:eastAsia="宋体"/>
                <w:sz w:val="21"/>
              </w:rPr>
              <w:t>《信息安全技术</w:t>
            </w:r>
            <w:r>
              <w:rPr>
                <w:rFonts w:ascii="宋体" w:hAnsi="宋体" w:cs="宋体" w:eastAsia="宋体"/>
                <w:sz w:val="21"/>
              </w:rPr>
              <w:t>个人信息安全规范》（</w:t>
            </w:r>
            <w:r>
              <w:rPr>
                <w:rFonts w:ascii="宋体" w:hAnsi="宋体" w:cs="宋体" w:eastAsia="宋体"/>
                <w:sz w:val="21"/>
              </w:rPr>
              <w:t>GB/T 35273-2020）</w:t>
            </w:r>
          </w:p>
          <w:p>
            <w:pPr>
              <w:pStyle w:val="null3"/>
              <w:numPr>
                <w:ilvl w:val="0"/>
                <w:numId w:val="1"/>
              </w:numPr>
              <w:ind w:left="465"/>
            </w:pPr>
            <w:r>
              <w:rPr>
                <w:rFonts w:ascii="宋体" w:hAnsi="宋体" w:cs="宋体" w:eastAsia="宋体"/>
                <w:sz w:val="21"/>
              </w:rPr>
              <w:t>《信息安全技术</w:t>
            </w:r>
            <w:r>
              <w:rPr>
                <w:rFonts w:ascii="宋体" w:hAnsi="宋体" w:cs="宋体" w:eastAsia="宋体"/>
                <w:sz w:val="21"/>
              </w:rPr>
              <w:t>办公设备安全测试方法》（</w:t>
            </w:r>
            <w:r>
              <w:rPr>
                <w:rFonts w:ascii="宋体" w:hAnsi="宋体" w:cs="宋体" w:eastAsia="宋体"/>
                <w:sz w:val="21"/>
              </w:rPr>
              <w:t>GB/T 38558-2020）</w:t>
            </w:r>
          </w:p>
          <w:p>
            <w:pPr>
              <w:pStyle w:val="null3"/>
              <w:numPr>
                <w:ilvl w:val="0"/>
                <w:numId w:val="1"/>
              </w:numPr>
              <w:ind w:left="465"/>
            </w:pPr>
            <w:r>
              <w:rPr>
                <w:rFonts w:ascii="宋体" w:hAnsi="宋体" w:cs="宋体" w:eastAsia="宋体"/>
                <w:sz w:val="21"/>
              </w:rPr>
              <w:t>《信息安全技术</w:t>
            </w:r>
            <w:r>
              <w:rPr>
                <w:rFonts w:ascii="宋体" w:hAnsi="宋体" w:cs="宋体" w:eastAsia="宋体"/>
                <w:sz w:val="21"/>
              </w:rPr>
              <w:t>信息安全应急响应计划规范》（</w:t>
            </w:r>
            <w:r>
              <w:rPr>
                <w:rFonts w:ascii="宋体" w:hAnsi="宋体" w:cs="宋体" w:eastAsia="宋体"/>
                <w:sz w:val="21"/>
              </w:rPr>
              <w:t>GB/T 24363-2009）</w:t>
            </w:r>
          </w:p>
          <w:p>
            <w:pPr>
              <w:pStyle w:val="null3"/>
              <w:jc w:val="both"/>
            </w:pPr>
            <w:r>
              <w:rPr>
                <w:rFonts w:ascii="宋体" w:hAnsi="宋体" w:cs="宋体" w:eastAsia="宋体"/>
                <w:sz w:val="21"/>
                <w:b/>
              </w:rPr>
              <w:t>四、</w:t>
            </w:r>
            <w:r>
              <w:rPr>
                <w:rFonts w:ascii="宋体" w:hAnsi="宋体" w:cs="宋体" w:eastAsia="宋体"/>
                <w:sz w:val="21"/>
                <w:b/>
              </w:rPr>
              <w:t>商务要求</w:t>
            </w:r>
          </w:p>
          <w:p>
            <w:pPr>
              <w:pStyle w:val="null3"/>
              <w:jc w:val="both"/>
            </w:pPr>
            <w:r>
              <w:rPr>
                <w:rFonts w:ascii="宋体" w:hAnsi="宋体" w:cs="宋体" w:eastAsia="宋体"/>
                <w:sz w:val="21"/>
              </w:rPr>
              <w:t>1.服务期限</w:t>
            </w:r>
          </w:p>
          <w:p>
            <w:pPr>
              <w:pStyle w:val="null3"/>
              <w:jc w:val="both"/>
            </w:pPr>
            <w:r>
              <w:rPr>
                <w:rFonts w:ascii="宋体" w:hAnsi="宋体" w:cs="宋体" w:eastAsia="宋体"/>
                <w:sz w:val="21"/>
              </w:rPr>
              <w:t>合同签订，接采购人通知后</w:t>
            </w:r>
            <w:r>
              <w:rPr>
                <w:rFonts w:ascii="宋体" w:hAnsi="宋体" w:cs="宋体" w:eastAsia="宋体"/>
                <w:sz w:val="21"/>
              </w:rPr>
              <w:t>90天内完成所有检查任务，并提交相关报告。</w:t>
            </w:r>
          </w:p>
          <w:p>
            <w:pPr>
              <w:pStyle w:val="null3"/>
              <w:jc w:val="both"/>
            </w:pPr>
            <w:r>
              <w:rPr>
                <w:rFonts w:ascii="宋体" w:hAnsi="宋体" w:cs="宋体" w:eastAsia="宋体"/>
                <w:sz w:val="21"/>
              </w:rPr>
              <w:t>2.验收</w:t>
            </w:r>
          </w:p>
          <w:p>
            <w:pPr>
              <w:pStyle w:val="null3"/>
              <w:jc w:val="both"/>
            </w:pPr>
            <w:r>
              <w:rPr>
                <w:rFonts w:ascii="宋体" w:hAnsi="宋体" w:cs="宋体" w:eastAsia="宋体"/>
                <w:sz w:val="21"/>
              </w:rPr>
              <w:t>项目完成后，供应商提出验收申请，采购人组织对供应商的服务及报告进行验收，验收合格出具验收合格单。</w:t>
            </w:r>
          </w:p>
          <w:p>
            <w:pPr>
              <w:pStyle w:val="null3"/>
              <w:jc w:val="both"/>
            </w:pPr>
            <w:r>
              <w:rPr>
                <w:rFonts w:ascii="宋体" w:hAnsi="宋体" w:cs="宋体" w:eastAsia="宋体"/>
                <w:sz w:val="21"/>
              </w:rPr>
              <w:t>验收依据：</w:t>
            </w:r>
            <w:r>
              <w:rPr>
                <w:rFonts w:ascii="宋体" w:hAnsi="宋体" w:cs="宋体" w:eastAsia="宋体"/>
                <w:sz w:val="21"/>
              </w:rPr>
              <w:t>1.采购文件；2.响应文件；3.相关法规、规范。</w:t>
            </w:r>
          </w:p>
          <w:p>
            <w:pPr>
              <w:pStyle w:val="null3"/>
              <w:jc w:val="both"/>
            </w:pPr>
            <w:r>
              <w:rPr>
                <w:rFonts w:ascii="宋体" w:hAnsi="宋体" w:cs="宋体" w:eastAsia="宋体"/>
                <w:sz w:val="21"/>
              </w:rPr>
              <w:t>款项结算</w:t>
            </w:r>
          </w:p>
          <w:p>
            <w:pPr>
              <w:pStyle w:val="null3"/>
              <w:jc w:val="both"/>
            </w:pPr>
            <w:r>
              <w:rPr>
                <w:rFonts w:ascii="宋体" w:hAnsi="宋体" w:cs="宋体" w:eastAsia="宋体"/>
                <w:sz w:val="21"/>
              </w:rPr>
              <w:t>在合同签订后</w:t>
            </w:r>
            <w:r>
              <w:rPr>
                <w:rFonts w:ascii="宋体" w:hAnsi="宋体" w:cs="宋体" w:eastAsia="宋体"/>
                <w:sz w:val="21"/>
              </w:rPr>
              <w:t>10</w:t>
            </w:r>
            <w:r>
              <w:rPr>
                <w:rFonts w:ascii="宋体" w:hAnsi="宋体" w:cs="宋体" w:eastAsia="宋体"/>
                <w:sz w:val="21"/>
              </w:rPr>
              <w:t>日内，支付合同总额的</w:t>
            </w:r>
            <w:r>
              <w:rPr>
                <w:rFonts w:ascii="宋体" w:hAnsi="宋体" w:cs="宋体" w:eastAsia="宋体"/>
                <w:sz w:val="21"/>
              </w:rPr>
              <w:t>60%；网络安全检查服务验收完成后，支付合同金额的40%。</w:t>
            </w:r>
          </w:p>
          <w:p>
            <w:pPr>
              <w:pStyle w:val="null3"/>
              <w:jc w:val="both"/>
            </w:pPr>
            <w:r>
              <w:rPr>
                <w:rFonts w:ascii="宋体" w:hAnsi="宋体" w:cs="宋体" w:eastAsia="宋体"/>
                <w:sz w:val="21"/>
              </w:rPr>
              <w:t>5.违约责任</w:t>
            </w:r>
          </w:p>
          <w:p>
            <w:pPr>
              <w:pStyle w:val="null3"/>
              <w:jc w:val="both"/>
            </w:pPr>
            <w:r>
              <w:rPr>
                <w:rFonts w:ascii="宋体" w:hAnsi="宋体" w:cs="宋体" w:eastAsia="宋体"/>
                <w:sz w:val="21"/>
              </w:rPr>
              <w:t>按《中华人民共和国民法典》相关规定执行。</w:t>
            </w:r>
          </w:p>
        </w:tc>
      </w:tr>
    </w:tbl>
    <w:p>
      <w:pPr>
        <w:pStyle w:val="null3"/>
        <w:outlineLvl w:val="2"/>
      </w:pPr>
      <w:r>
        <w:rPr>
          <w:sz w:val="28"/>
          <w:b/>
        </w:rPr>
        <w:t>3.2.3人员配置要求</w:t>
      </w:r>
    </w:p>
    <w:p>
      <w:pPr>
        <w:pStyle w:val="null3"/>
      </w:pPr>
      <w:r>
        <w:rPr/>
        <w:t>采购包1：</w:t>
      </w:r>
    </w:p>
    <w:p>
      <w:pPr>
        <w:pStyle w:val="null3"/>
      </w:pPr>
      <w:r>
        <w:rPr/>
        <w:t>详见采购文件要求</w:t>
      </w:r>
    </w:p>
    <w:p>
      <w:pPr>
        <w:pStyle w:val="null3"/>
      </w:pPr>
      <w:r>
        <w:rPr/>
        <w:t>采购包2：</w:t>
      </w:r>
    </w:p>
    <w:p>
      <w:pPr>
        <w:pStyle w:val="null3"/>
      </w:pPr>
      <w:r>
        <w:rPr/>
        <w:t>详见采购文件要求</w:t>
      </w:r>
    </w:p>
    <w:p>
      <w:pPr>
        <w:pStyle w:val="null3"/>
        <w:outlineLvl w:val="2"/>
      </w:pPr>
      <w:r>
        <w:rPr>
          <w:sz w:val="28"/>
          <w:b/>
        </w:rPr>
        <w:t>3.2.4设施设备要求</w:t>
      </w:r>
    </w:p>
    <w:p>
      <w:pPr>
        <w:pStyle w:val="null3"/>
      </w:pPr>
      <w:r>
        <w:rPr/>
        <w:t>采购包1：</w:t>
      </w:r>
    </w:p>
    <w:p>
      <w:pPr>
        <w:pStyle w:val="null3"/>
      </w:pPr>
      <w:r>
        <w:rPr/>
        <w:t>详见采购文件要求</w:t>
      </w:r>
    </w:p>
    <w:p>
      <w:pPr>
        <w:pStyle w:val="null3"/>
      </w:pPr>
      <w:r>
        <w:rPr/>
        <w:t>采购包2：</w:t>
      </w:r>
    </w:p>
    <w:p>
      <w:pPr>
        <w:pStyle w:val="null3"/>
      </w:pPr>
      <w:r>
        <w:rPr/>
        <w:t>详见采购文件要求</w:t>
      </w:r>
    </w:p>
    <w:p>
      <w:pPr>
        <w:pStyle w:val="null3"/>
        <w:outlineLvl w:val="2"/>
      </w:pPr>
      <w:r>
        <w:rPr>
          <w:sz w:val="28"/>
          <w:b/>
        </w:rPr>
        <w:t>3.2.5其他要求</w:t>
      </w:r>
    </w:p>
    <w:p>
      <w:pPr>
        <w:pStyle w:val="null3"/>
      </w:pPr>
      <w:r>
        <w:rPr/>
        <w:t>采购包1：</w:t>
      </w:r>
    </w:p>
    <w:p>
      <w:pPr>
        <w:pStyle w:val="null3"/>
      </w:pPr>
      <w:r>
        <w:rPr/>
        <w:t>详见采购文件要求</w:t>
      </w:r>
    </w:p>
    <w:p>
      <w:pPr>
        <w:pStyle w:val="null3"/>
      </w:pPr>
      <w:r>
        <w:rPr/>
        <w:t>采购包2：</w:t>
      </w:r>
    </w:p>
    <w:p>
      <w:pPr>
        <w:pStyle w:val="null3"/>
      </w:pPr>
      <w:r>
        <w:rPr/>
        <w:t>详见采购文件要求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合同签订，接采购人通知后90天内完成所有检查任务，并提交相关报告。</w:t>
      </w:r>
    </w:p>
    <w:p>
      <w:pPr>
        <w:pStyle w:val="null3"/>
      </w:pPr>
      <w:r>
        <w:rPr/>
        <w:t>采购包2：</w:t>
      </w:r>
    </w:p>
    <w:p>
      <w:pPr>
        <w:pStyle w:val="null3"/>
      </w:pPr>
      <w:r>
        <w:rPr/>
        <w:t>合同签订，接采购人通知后90天内完成所有检查任务，并提交相关报告。</w:t>
      </w:r>
    </w:p>
    <w:p>
      <w:pPr>
        <w:pStyle w:val="null3"/>
        <w:outlineLvl w:val="3"/>
      </w:pPr>
      <w:r>
        <w:rPr>
          <w:sz w:val="24"/>
          <w:b/>
        </w:rPr>
        <w:t>3.3.2服务地点</w:t>
      </w:r>
    </w:p>
    <w:p>
      <w:pPr>
        <w:pStyle w:val="null3"/>
      </w:pPr>
      <w:r>
        <w:rPr/>
        <w:t>采购包1：</w:t>
      </w:r>
    </w:p>
    <w:p>
      <w:pPr>
        <w:pStyle w:val="null3"/>
      </w:pPr>
      <w:r>
        <w:rPr/>
        <w:t>采购人制定地点</w:t>
      </w:r>
    </w:p>
    <w:p>
      <w:pPr>
        <w:pStyle w:val="null3"/>
      </w:pPr>
      <w:r>
        <w:rPr/>
        <w:t>采购包2：</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项目完成后，供应商提出验收申请，采购人组织对供应商的服务及报告进行验收，验收合格出具验收合格单。 验收依据：1.采购文件；2.响应文件；3.相关法规、规范。</w:t>
      </w:r>
    </w:p>
    <w:p>
      <w:pPr>
        <w:pStyle w:val="null3"/>
      </w:pPr>
      <w:r>
        <w:rPr/>
        <w:t>采购包2：</w:t>
      </w:r>
    </w:p>
    <w:p>
      <w:pPr>
        <w:pStyle w:val="null3"/>
      </w:pPr>
      <w:r>
        <w:rPr/>
        <w:t>项目完成后，供应商提出验收申请，采购人组织对供应商的服务及报告进行验收，验收合格出具验收合格单。 验收依据：1.采购文件；2.响应文件；3.相关法规、规范。</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在合同签订后</w:t>
      </w:r>
      <w:r>
        <w:rPr/>
        <w:t xml:space="preserve"> ，达到付款条件起 </w:t>
      </w:r>
      <w:r>
        <w:rPr/>
        <w:t>10</w:t>
      </w:r>
      <w:r>
        <w:rPr/>
        <w:t xml:space="preserve"> 日内，支付合同总金额的 </w:t>
      </w:r>
      <w:r>
        <w:rPr/>
        <w:t>60.00</w:t>
      </w:r>
      <w:r>
        <w:rPr/>
        <w:t>%。</w:t>
      </w:r>
    </w:p>
    <w:p>
      <w:pPr>
        <w:pStyle w:val="null3"/>
      </w:pPr>
      <w:r>
        <w:rPr/>
        <w:t>采购包1：</w:t>
      </w:r>
      <w:r>
        <w:rPr/>
        <w:t xml:space="preserve"> 付款条件说明： </w:t>
      </w:r>
      <w:r>
        <w:rPr/>
        <w:t>网络安全检查服务验收完成后</w:t>
      </w:r>
      <w:r>
        <w:rPr/>
        <w:t xml:space="preserve"> ，达到付款条件起 </w:t>
      </w:r>
      <w:r>
        <w:rPr/>
        <w:t>10</w:t>
      </w:r>
      <w:r>
        <w:rPr/>
        <w:t xml:space="preserve"> 日内，支付合同总金额的 </w:t>
      </w:r>
      <w:r>
        <w:rPr/>
        <w:t>40.00</w:t>
      </w:r>
      <w:r>
        <w:rPr/>
        <w:t>%。</w:t>
      </w:r>
    </w:p>
    <w:p>
      <w:pPr>
        <w:pStyle w:val="null3"/>
      </w:pPr>
      <w:r>
        <w:rPr/>
        <w:t>采购包2：</w:t>
      </w:r>
      <w:r>
        <w:rPr/>
        <w:t xml:space="preserve"> 付款条件说明： </w:t>
      </w:r>
      <w:r>
        <w:rPr/>
        <w:t>在合同签订后</w:t>
      </w:r>
      <w:r>
        <w:rPr/>
        <w:t xml:space="preserve"> ，达到付款条件起 </w:t>
      </w:r>
      <w:r>
        <w:rPr/>
        <w:t>10</w:t>
      </w:r>
      <w:r>
        <w:rPr/>
        <w:t xml:space="preserve"> 日内，支付合同总金额的 </w:t>
      </w:r>
      <w:r>
        <w:rPr/>
        <w:t>60.00</w:t>
      </w:r>
      <w:r>
        <w:rPr/>
        <w:t>%。</w:t>
      </w:r>
    </w:p>
    <w:p>
      <w:pPr>
        <w:pStyle w:val="null3"/>
      </w:pPr>
      <w:r>
        <w:rPr/>
        <w:t>采购包2：</w:t>
      </w:r>
      <w:r>
        <w:rPr/>
        <w:t xml:space="preserve"> 付款条件说明： </w:t>
      </w:r>
      <w:r>
        <w:rPr/>
        <w:t>网络安全检查服务验收完成后</w:t>
      </w:r>
      <w:r>
        <w:rPr/>
        <w:t xml:space="preserve"> ，达到付款条件起 </w:t>
      </w:r>
      <w:r>
        <w:rPr/>
        <w:t>10</w:t>
      </w:r>
      <w:r>
        <w:rPr/>
        <w:t xml:space="preserve"> 日内，支付合同总金额的 </w:t>
      </w:r>
      <w:r>
        <w:rPr/>
        <w:t>40.00</w:t>
      </w:r>
      <w:r>
        <w:rPr/>
        <w:t>%。</w:t>
      </w:r>
    </w:p>
    <w:p>
      <w:pPr>
        <w:pStyle w:val="null3"/>
        <w:outlineLvl w:val="3"/>
      </w:pPr>
      <w:r>
        <w:rPr>
          <w:sz w:val="24"/>
          <w:b/>
        </w:rPr>
        <w:t>3.3.6违约责任及解决争议的方法</w:t>
      </w:r>
    </w:p>
    <w:p>
      <w:pPr>
        <w:pStyle w:val="null3"/>
      </w:pPr>
      <w:r>
        <w:rPr/>
        <w:t>采购包1：</w:t>
      </w:r>
    </w:p>
    <w:p>
      <w:pPr>
        <w:pStyle w:val="null3"/>
      </w:pPr>
      <w:r>
        <w:rPr/>
        <w:t>按《中华人民共和国民法典》相关规定执行。</w:t>
      </w:r>
    </w:p>
    <w:p>
      <w:pPr>
        <w:pStyle w:val="null3"/>
      </w:pPr>
      <w:r>
        <w:rPr/>
        <w:t>采购包2：</w:t>
      </w:r>
    </w:p>
    <w:p>
      <w:pPr>
        <w:pStyle w:val="null3"/>
      </w:pPr>
      <w:r>
        <w:rPr/>
        <w:t>按《中华人民共和国民法典》相关规定执行。</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1、营业执照：有独立承担民事责任能力的法人、其他组织或自然人，投标人是法人或其他组织的应提供营业执照等证明文件，自然人的提供有效的自然人身份证明； 2、完税证明：供应商须提供投标截止时间前一年内，已缴纳的任意一个月的纳税证明或完税证明，纳税证明或完税证明上应有代收机构或税务机关的公章或业务专用章，依法免税的投标人应提供相关文件证明；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t>响应函 12-相关资格证明材料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资信证明需提供 投标截止时间前6个月内）及基本存款账户开户许可证（基本账户信息），供应商需在项目电子化交易系统中按要求上传相应证明文件并进行电子签章。</w:t>
            </w:r>
          </w:p>
        </w:tc>
        <w:tc>
          <w:tcPr>
            <w:tcW w:type="dxa" w:w="1661"/>
          </w:tcPr>
          <w:p>
            <w:pPr>
              <w:pStyle w:val="null3"/>
            </w:pPr>
            <w:r>
              <w:rPr/>
              <w:t>12-相关资格证明材料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1、营业执照：有独立承担民事责任能力的法人、其他组织或自然人，投标人是法人或其他组织的应提供营业执照等证明文件，自然人的提供有效的自然人身份证明； 2、完税证明：供应商须提供投标截止时间前一年内，已缴纳的任意一个月的纳税证明或完税证明，纳税证明或完税证明上应有代收机构或税务机关的公章或 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t>响应函 12-相关资格证明材料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资信证明需提供 投标截止时间前6个月内）及基本存款账户开户许可证（基本账户信息）。</w:t>
            </w:r>
          </w:p>
        </w:tc>
        <w:tc>
          <w:tcPr>
            <w:tcW w:type="dxa" w:w="1661"/>
          </w:tcPr>
          <w:p>
            <w:pPr>
              <w:pStyle w:val="null3"/>
            </w:pPr>
            <w:r>
              <w:rPr/>
              <w:t>12-相关资格证明材料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法定代表人授权委托书（附法定代表人、被授权人身份证复印件并加盖公章）。（法定代表人参加投标只须提供法定代表人身份证明书及法人身份证复印件）；</w:t>
            </w:r>
          </w:p>
        </w:tc>
        <w:tc>
          <w:tcPr>
            <w:tcW w:type="dxa" w:w="1661"/>
          </w:tcPr>
          <w:p>
            <w:pPr>
              <w:pStyle w:val="null3"/>
            </w:pPr>
            <w:r>
              <w:rPr/>
              <w:t>12-相关资格证明材料</w:t>
            </w:r>
          </w:p>
        </w:tc>
      </w:tr>
      <w:tr>
        <w:tc>
          <w:tcPr>
            <w:tcW w:type="dxa" w:w="831"/>
          </w:tcPr>
          <w:p>
            <w:pPr>
              <w:pStyle w:val="null3"/>
            </w:pPr>
            <w:r>
              <w:rPr/>
              <w:t>2</w:t>
            </w:r>
          </w:p>
        </w:tc>
        <w:tc>
          <w:tcPr>
            <w:tcW w:type="dxa" w:w="2492"/>
          </w:tcPr>
          <w:p>
            <w:pPr>
              <w:pStyle w:val="null3"/>
            </w:pPr>
            <w:r>
              <w:rPr/>
              <w:t>企业信誉截图</w:t>
            </w:r>
          </w:p>
        </w:tc>
        <w:tc>
          <w:tcPr>
            <w:tcW w:type="dxa" w:w="3322"/>
          </w:tcPr>
          <w:p>
            <w:pPr>
              <w:pStyle w:val="null3"/>
            </w:pPr>
            <w:r>
              <w:rPr/>
              <w:t>供应商不得为“信用中国”网站（www.creditchina.gov.cn）中列入失信 被执行人和税收违法黑名单的供应商，不得为中国政府采购网（www.ccgp.gov.cn）政府采购严重违法失信行为记录名单中被财政部门禁止参加政府采购活动的供应商；</w:t>
            </w:r>
          </w:p>
        </w:tc>
        <w:tc>
          <w:tcPr>
            <w:tcW w:type="dxa" w:w="1661"/>
          </w:tcPr>
          <w:p>
            <w:pPr>
              <w:pStyle w:val="null3"/>
            </w:pPr>
            <w:r>
              <w:rPr/>
              <w:t>12-相关资格证明材料</w:t>
            </w:r>
          </w:p>
        </w:tc>
      </w:tr>
      <w:tr>
        <w:tc>
          <w:tcPr>
            <w:tcW w:type="dxa" w:w="831"/>
          </w:tcPr>
          <w:p>
            <w:pPr>
              <w:pStyle w:val="null3"/>
            </w:pPr>
            <w:r>
              <w:rPr/>
              <w:t>3</w:t>
            </w:r>
          </w:p>
        </w:tc>
        <w:tc>
          <w:tcPr>
            <w:tcW w:type="dxa" w:w="2492"/>
          </w:tcPr>
          <w:p>
            <w:pPr>
              <w:pStyle w:val="null3"/>
            </w:pPr>
            <w:r>
              <w:rPr/>
              <w:t>供应商关联关系声明</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12-相关资格证明材料</w:t>
            </w:r>
          </w:p>
        </w:tc>
      </w:tr>
      <w:tr>
        <w:tc>
          <w:tcPr>
            <w:tcW w:type="dxa" w:w="831"/>
          </w:tcPr>
          <w:p>
            <w:pPr>
              <w:pStyle w:val="null3"/>
            </w:pPr>
            <w:r>
              <w:rPr/>
              <w:t>4</w:t>
            </w:r>
          </w:p>
        </w:tc>
        <w:tc>
          <w:tcPr>
            <w:tcW w:type="dxa" w:w="2492"/>
          </w:tcPr>
          <w:p>
            <w:pPr>
              <w:pStyle w:val="null3"/>
            </w:pPr>
            <w:r>
              <w:rPr/>
              <w:t>非联合体声明</w:t>
            </w:r>
          </w:p>
        </w:tc>
        <w:tc>
          <w:tcPr>
            <w:tcW w:type="dxa" w:w="3322"/>
          </w:tcPr>
          <w:p>
            <w:pPr>
              <w:pStyle w:val="null3"/>
            </w:pPr>
            <w:r>
              <w:rPr/>
              <w:t>本次项目不接受联合体；</w:t>
            </w:r>
          </w:p>
        </w:tc>
        <w:tc>
          <w:tcPr>
            <w:tcW w:type="dxa" w:w="1661"/>
          </w:tcPr>
          <w:p>
            <w:pPr>
              <w:pStyle w:val="null3"/>
            </w:pPr>
            <w:r>
              <w:rPr/>
              <w:t>12-相关资格证明材料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法定代表人授权委托书（附法定代表人、被授权人身份证复印件并加盖公章）。（法定代表人参加投标只须提供法定代表人身份证明书及法人身份证复印件）；</w:t>
            </w:r>
          </w:p>
        </w:tc>
        <w:tc>
          <w:tcPr>
            <w:tcW w:type="dxa" w:w="1661"/>
          </w:tcPr>
          <w:p>
            <w:pPr>
              <w:pStyle w:val="null3"/>
            </w:pPr>
            <w:r>
              <w:rPr/>
              <w:t>12-相关资格证明材料</w:t>
            </w:r>
          </w:p>
        </w:tc>
      </w:tr>
      <w:tr>
        <w:tc>
          <w:tcPr>
            <w:tcW w:type="dxa" w:w="831"/>
          </w:tcPr>
          <w:p>
            <w:pPr>
              <w:pStyle w:val="null3"/>
            </w:pPr>
            <w:r>
              <w:rPr/>
              <w:t>2</w:t>
            </w:r>
          </w:p>
        </w:tc>
        <w:tc>
          <w:tcPr>
            <w:tcW w:type="dxa" w:w="2492"/>
          </w:tcPr>
          <w:p>
            <w:pPr>
              <w:pStyle w:val="null3"/>
            </w:pPr>
            <w:r>
              <w:rPr/>
              <w:t>企业信誉截图</w:t>
            </w:r>
          </w:p>
        </w:tc>
        <w:tc>
          <w:tcPr>
            <w:tcW w:type="dxa" w:w="3322"/>
          </w:tcPr>
          <w:p>
            <w:pPr>
              <w:pStyle w:val="null3"/>
            </w:pPr>
            <w:r>
              <w:rPr/>
              <w:t>供应商不得为“信用中国”网站（www.creditchina.gov.cn）中列入失信 被执行人和税收违法黑名单的供应商，不得为中国政府采购网（www.ccgp.gov.cn）政府采购严重违法失信行为记录名单中被财政部门禁止参加政府采购活动的供应商；</w:t>
            </w:r>
          </w:p>
        </w:tc>
        <w:tc>
          <w:tcPr>
            <w:tcW w:type="dxa" w:w="1661"/>
          </w:tcPr>
          <w:p>
            <w:pPr>
              <w:pStyle w:val="null3"/>
            </w:pPr>
            <w:r>
              <w:rPr/>
              <w:t>12-相关资格证明材料</w:t>
            </w:r>
          </w:p>
        </w:tc>
      </w:tr>
      <w:tr>
        <w:tc>
          <w:tcPr>
            <w:tcW w:type="dxa" w:w="831"/>
          </w:tcPr>
          <w:p>
            <w:pPr>
              <w:pStyle w:val="null3"/>
            </w:pPr>
            <w:r>
              <w:rPr/>
              <w:t>3</w:t>
            </w:r>
          </w:p>
        </w:tc>
        <w:tc>
          <w:tcPr>
            <w:tcW w:type="dxa" w:w="2492"/>
          </w:tcPr>
          <w:p>
            <w:pPr>
              <w:pStyle w:val="null3"/>
            </w:pPr>
            <w:r>
              <w:rPr/>
              <w:t>供应商关联关系声明</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12-相关资格证明材料</w:t>
            </w:r>
          </w:p>
        </w:tc>
      </w:tr>
      <w:tr>
        <w:tc>
          <w:tcPr>
            <w:tcW w:type="dxa" w:w="831"/>
          </w:tcPr>
          <w:p>
            <w:pPr>
              <w:pStyle w:val="null3"/>
            </w:pPr>
            <w:r>
              <w:rPr/>
              <w:t>4</w:t>
            </w:r>
          </w:p>
        </w:tc>
        <w:tc>
          <w:tcPr>
            <w:tcW w:type="dxa" w:w="2492"/>
          </w:tcPr>
          <w:p>
            <w:pPr>
              <w:pStyle w:val="null3"/>
            </w:pPr>
            <w:r>
              <w:rPr/>
              <w:t>非联合体声明</w:t>
            </w:r>
          </w:p>
        </w:tc>
        <w:tc>
          <w:tcPr>
            <w:tcW w:type="dxa" w:w="3322"/>
          </w:tcPr>
          <w:p>
            <w:pPr>
              <w:pStyle w:val="null3"/>
            </w:pPr>
            <w:r>
              <w:rPr/>
              <w:t>本次项目不接受联合体；</w:t>
            </w:r>
          </w:p>
        </w:tc>
        <w:tc>
          <w:tcPr>
            <w:tcW w:type="dxa" w:w="1661"/>
          </w:tcPr>
          <w:p>
            <w:pPr>
              <w:pStyle w:val="null3"/>
            </w:pPr>
            <w:r>
              <w:rPr/>
              <w:t>12-相关资格证明材料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满足磋商文件格式要求</w:t>
            </w:r>
          </w:p>
        </w:tc>
        <w:tc>
          <w:tcPr>
            <w:tcW w:type="dxa" w:w="1661"/>
          </w:tcPr>
          <w:p>
            <w:pPr>
              <w:pStyle w:val="null3"/>
            </w:pPr>
            <w:r>
              <w:rPr/>
              <w:t>响应文件封面 服务内容及服务邀请应答表 中小企业声明函 残疾人福利性单位声明函 商务应答表 标的清单 报价表 11-类似项目业绩表 响应函 监狱企业的证明文件 10-服务方案</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应符合“磋商响应文件格式”要求</w:t>
            </w:r>
          </w:p>
        </w:tc>
        <w:tc>
          <w:tcPr>
            <w:tcW w:type="dxa" w:w="1661"/>
          </w:tcPr>
          <w:p>
            <w:pPr>
              <w:pStyle w:val="null3"/>
            </w:pPr>
            <w:r>
              <w:rPr/>
              <w:t>响应文件封面 服务内容及服务邀请应答表 中小企业声明函 残疾人福利性单位声明函 商务应答表 标的清单 报价表 11-类似项目业绩表 响应函 监狱企业的证明文件 10-服务方案</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按磋商文件要求报价，不得提交选择性报价，且每轮报价不超过采购预算金额或最高限价。</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响应文件封面 服务内容及服务邀请应答表 中小企业声明函 残疾人福利性单位声明函 商务应答表 标的清单 报价表 11-类似项目业绩表 响应函 监狱企业的证明文件 10-服务方案</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应满足磋商文件中要求的服务期限</w:t>
            </w:r>
          </w:p>
        </w:tc>
        <w:tc>
          <w:tcPr>
            <w:tcW w:type="dxa" w:w="1661"/>
          </w:tcPr>
          <w:p>
            <w:pPr>
              <w:pStyle w:val="null3"/>
            </w:pPr>
            <w:r>
              <w:rPr/>
              <w:t>服务内容及服务邀请应答表 商务应答表 响应函</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其他</w:t>
            </w:r>
          </w:p>
        </w:tc>
        <w:tc>
          <w:tcPr>
            <w:tcW w:type="dxa" w:w="3322"/>
          </w:tcPr>
          <w:p>
            <w:pPr>
              <w:pStyle w:val="null3"/>
            </w:pPr>
            <w:r>
              <w:rPr/>
              <w:t>不存在法律、法规和招标文件规定的其他无效投标情形</w:t>
            </w:r>
          </w:p>
        </w:tc>
        <w:tc>
          <w:tcPr>
            <w:tcW w:type="dxa" w:w="1661"/>
          </w:tcPr>
          <w:p>
            <w:pPr>
              <w:pStyle w:val="null3"/>
            </w:pPr>
            <w:r>
              <w:rPr/>
              <w:t>响应文件封面 服务内容及服务邀请应答表 中小企业声明函 残疾人福利性单位声明函 商务应答表 标的清单 报价表 11-类似项目业绩表 响应函 监狱企业的证明文件 10-服务方案</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满足磋商文件格式要求</w:t>
            </w:r>
          </w:p>
        </w:tc>
        <w:tc>
          <w:tcPr>
            <w:tcW w:type="dxa" w:w="1661"/>
          </w:tcPr>
          <w:p>
            <w:pPr>
              <w:pStyle w:val="null3"/>
            </w:pPr>
            <w:r>
              <w:rPr/>
              <w:t>响应文件封面 服务内容及服务邀请应答表 中小企业声明函 残疾人福利性单位声明函 商务应答表 标的清单 报价表 11-类似项目业绩表 响应函 监狱企业的证明文件 10-服务方案</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应符合“磋商响应文件格式”要求</w:t>
            </w:r>
          </w:p>
        </w:tc>
        <w:tc>
          <w:tcPr>
            <w:tcW w:type="dxa" w:w="1661"/>
          </w:tcPr>
          <w:p>
            <w:pPr>
              <w:pStyle w:val="null3"/>
            </w:pPr>
            <w:r>
              <w:rPr/>
              <w:t>响应文件封面 服务内容及服务邀请应答表 中小企业声明函 残疾人福利性单位声明函 商务应答表 标的清单 报价表 11-类似项目业绩表 响应函 监狱企业的证明文件 10-服务方案</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按磋商文件要求报价，不得提交选择性报价，且每轮报价不超过采购预算金额或最高限价。</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响应文件封面 服务内容及服务邀请应答表 中小企业声明函 残疾人福利性单位声明函 商务应答表 标的清单 报价表 11-类似项目业绩表 响应函 监狱企业的证明文件 10-服务方案</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应满足磋商文件中要求的服务期限</w:t>
            </w:r>
          </w:p>
        </w:tc>
        <w:tc>
          <w:tcPr>
            <w:tcW w:type="dxa" w:w="1661"/>
          </w:tcPr>
          <w:p>
            <w:pPr>
              <w:pStyle w:val="null3"/>
            </w:pPr>
            <w:r>
              <w:rPr/>
              <w:t>服务内容及服务邀请应答表 商务应答表 响应函</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其他</w:t>
            </w:r>
          </w:p>
        </w:tc>
        <w:tc>
          <w:tcPr>
            <w:tcW w:type="dxa" w:w="3322"/>
          </w:tcPr>
          <w:p>
            <w:pPr>
              <w:pStyle w:val="null3"/>
            </w:pPr>
            <w:r>
              <w:rPr/>
              <w:t>不存在法律、法规和招标文件规定的其他无效投标情形</w:t>
            </w:r>
          </w:p>
        </w:tc>
        <w:tc>
          <w:tcPr>
            <w:tcW w:type="dxa" w:w="1661"/>
          </w:tcPr>
          <w:p>
            <w:pPr>
              <w:pStyle w:val="null3"/>
            </w:pPr>
            <w:r>
              <w:rPr/>
              <w:t>响应文件封面 服务内容及服务邀请应答表 中小企业声明函 残疾人福利性单位声明函 商务应答表 标的清单 报价表 11-类似项目业绩表 响应函 监狱企业的证明文件 10-服务方案</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项目背景理解</w:t>
            </w:r>
          </w:p>
        </w:tc>
        <w:tc>
          <w:tcPr>
            <w:tcW w:type="dxa" w:w="2492"/>
          </w:tcPr>
          <w:p>
            <w:pPr>
              <w:pStyle w:val="null3"/>
            </w:pPr>
            <w:r>
              <w:rPr/>
              <w:t>1、对本项目背景和工作内容的理解深刻、分析全面、服务方案完整、合理、有针对性、工作思路清晰、方法先进、任务分解合理，计[10.1-15.0]分； 2、对本项目背景和工作内容的理解较深刻、分析较全面、服务方案较合理、较有针对性、工作思路较清晰、方法较先进、任务分解较合理，计[5.1-10.0]分； 3、对本项目背景和工作内容的理解和分析一般、服务方案一般，工作思路、方法、任务分解较简单，计[1.0-5.0]分； 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10-服务方案</w:t>
            </w:r>
          </w:p>
        </w:tc>
      </w:tr>
      <w:tr>
        <w:tc>
          <w:tcPr>
            <w:tcW w:type="dxa" w:w="831"/>
            <w:vMerge/>
          </w:tcPr>
          <w:p/>
        </w:tc>
        <w:tc>
          <w:tcPr>
            <w:tcW w:type="dxa" w:w="1661"/>
          </w:tcPr>
          <w:p>
            <w:pPr>
              <w:pStyle w:val="null3"/>
            </w:pPr>
            <w:r>
              <w:rPr/>
              <w:t>网络安全综合治理服务方案</w:t>
            </w:r>
          </w:p>
        </w:tc>
        <w:tc>
          <w:tcPr>
            <w:tcW w:type="dxa" w:w="2492"/>
          </w:tcPr>
          <w:p>
            <w:pPr>
              <w:pStyle w:val="null3"/>
            </w:pPr>
            <w:r>
              <w:rPr/>
              <w:t>投标人根据采购需求能详细提供网络安全综合治理服务内容、流程、交付物模板等资料，完整具体，具有可行性，计[10.1-15.0]分；2.相关资料一般，可行性一般，计[5.1-10.0]分；3.培训方案不完整，可行性较差，计[1.0-5.0]分； 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10-服务方案</w:t>
            </w:r>
          </w:p>
        </w:tc>
      </w:tr>
      <w:tr>
        <w:tc>
          <w:tcPr>
            <w:tcW w:type="dxa" w:w="831"/>
            <w:vMerge/>
          </w:tcPr>
          <w:p/>
        </w:tc>
        <w:tc>
          <w:tcPr>
            <w:tcW w:type="dxa" w:w="1661"/>
          </w:tcPr>
          <w:p>
            <w:pPr>
              <w:pStyle w:val="null3"/>
            </w:pPr>
            <w:r>
              <w:rPr/>
              <w:t>工作进度计划</w:t>
            </w:r>
          </w:p>
        </w:tc>
        <w:tc>
          <w:tcPr>
            <w:tcW w:type="dxa" w:w="2492"/>
          </w:tcPr>
          <w:p>
            <w:pPr>
              <w:pStyle w:val="null3"/>
            </w:pPr>
            <w:r>
              <w:rPr/>
              <w:t>工作进度计划全面详细、合理，符合实际对完成本项目有详细、合理的时间计划、进度安排和保障措施，针对性很 强，保证措施有力，能够很好地满足项目需求，违约措施及承诺具体可行，可操作性高得[10.1-15.0]分； 工作进度计划详细、合理，符合实际，有明确，较为合理的时间安排，工作计划针对性强，保证措施一般，能够满 足项目需求，违约措施及承诺较好，可操作性较好[5.1-10.0]分； 工作进度计划基本完整、有合理性，有一定的针对性，有 保证措施，基本能够满足项目要求，违约措施及承诺一般， 可操作性一般得[1.0-5.0]分。 工作进度计划不完整不合理，无针对性，保证措施差或无 进度计划及保证措施的不得分 0 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10-服务方案</w:t>
            </w:r>
          </w:p>
        </w:tc>
      </w:tr>
      <w:tr>
        <w:tc>
          <w:tcPr>
            <w:tcW w:type="dxa" w:w="831"/>
            <w:vMerge/>
          </w:tcPr>
          <w:p/>
        </w:tc>
        <w:tc>
          <w:tcPr>
            <w:tcW w:type="dxa" w:w="1661"/>
          </w:tcPr>
          <w:p>
            <w:pPr>
              <w:pStyle w:val="null3"/>
            </w:pPr>
            <w:r>
              <w:rPr/>
              <w:t>保障措施</w:t>
            </w:r>
          </w:p>
        </w:tc>
        <w:tc>
          <w:tcPr>
            <w:tcW w:type="dxa" w:w="2492"/>
          </w:tcPr>
          <w:p>
            <w:pPr>
              <w:pStyle w:val="null3"/>
            </w:pPr>
            <w:r>
              <w:rPr/>
              <w:t>针对本项目的服务保障措施，所涉及的所有服务人员均按照国家相关法律法规的要求进行管理。1、流程管理、质量管理、安全管理、档案管理、人员组织等，每一项工作内容分解详细，可操作性高，执行力度高效快捷，计[10.1-15.0]分； 2、流程管理、质量管理、安全管理、档案管理、人员组织等，每一项工作内容分解一般，可操作性一般，执行力度一般，计[5.1-10.0]分； 3、流程管理、质量管理、安全管理、档案管理、人员组织等，每一项工作内容分解差，可操作性差，执行力度差，方案堆叠，计[1.0-5.0]分； 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10-服务方案</w:t>
            </w:r>
          </w:p>
        </w:tc>
      </w:tr>
      <w:tr>
        <w:tc>
          <w:tcPr>
            <w:tcW w:type="dxa" w:w="831"/>
            <w:vMerge/>
          </w:tcPr>
          <w:p/>
        </w:tc>
        <w:tc>
          <w:tcPr>
            <w:tcW w:type="dxa" w:w="1661"/>
          </w:tcPr>
          <w:p>
            <w:pPr>
              <w:pStyle w:val="null3"/>
            </w:pPr>
            <w:r>
              <w:rPr/>
              <w:t>应急方案</w:t>
            </w:r>
          </w:p>
        </w:tc>
        <w:tc>
          <w:tcPr>
            <w:tcW w:type="dxa" w:w="2492"/>
          </w:tcPr>
          <w:p>
            <w:pPr>
              <w:pStyle w:val="null3"/>
            </w:pPr>
            <w:r>
              <w:rPr/>
              <w:t>针对本项目的应急方案。 1、具有完整、规范的应急方案，并有充足的应急资源储备及较强的应急调配响应能力，计[3.0-5.0]分； 2、具有较完整、规范的应急方案，有基本应急资源储备及应急调配响应能力，计[1-3）分； 3、应急方案差，与本项目实际服务内容偏差较大，计[0-1）分；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10-服务方案</w:t>
            </w:r>
          </w:p>
        </w:tc>
      </w:tr>
      <w:tr>
        <w:tc>
          <w:tcPr>
            <w:tcW w:type="dxa" w:w="831"/>
            <w:vMerge/>
          </w:tcPr>
          <w:p/>
        </w:tc>
        <w:tc>
          <w:tcPr>
            <w:tcW w:type="dxa" w:w="1661"/>
          </w:tcPr>
          <w:p>
            <w:pPr>
              <w:pStyle w:val="null3"/>
            </w:pPr>
            <w:r>
              <w:rPr/>
              <w:t>组织机构设置</w:t>
            </w:r>
          </w:p>
        </w:tc>
        <w:tc>
          <w:tcPr>
            <w:tcW w:type="dxa" w:w="2492"/>
          </w:tcPr>
          <w:p>
            <w:pPr>
              <w:pStyle w:val="null3"/>
            </w:pPr>
            <w:r>
              <w:rPr/>
              <w:t>项目组织机构设置、岗位职责进行评价，机构设置合理、职责划分明确，得[3-5]分；机构设置、职责划分较合理，得（1-3）分；机构设置一般，组织分工不合理，得（0-1）分。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10-服务方案</w:t>
            </w:r>
          </w:p>
        </w:tc>
      </w:tr>
      <w:tr>
        <w:tc>
          <w:tcPr>
            <w:tcW w:type="dxa" w:w="831"/>
            <w:vMerge/>
          </w:tcPr>
          <w:p/>
        </w:tc>
        <w:tc>
          <w:tcPr>
            <w:tcW w:type="dxa" w:w="1661"/>
          </w:tcPr>
          <w:p>
            <w:pPr>
              <w:pStyle w:val="null3"/>
            </w:pPr>
            <w:r>
              <w:rPr/>
              <w:t>服务质量保证措施</w:t>
            </w:r>
          </w:p>
        </w:tc>
        <w:tc>
          <w:tcPr>
            <w:tcW w:type="dxa" w:w="2492"/>
          </w:tcPr>
          <w:p>
            <w:pPr>
              <w:pStyle w:val="null3"/>
            </w:pPr>
            <w:r>
              <w:rPr/>
              <w:t>服务质量保证措施结合本项目实际情况，合理、可行完全保证本项目服务质量，计3.0-5.0分 服务质量保证措施全面性、合理可行性一般，计[1-3]分； 服务质量保证措施有所欠缺，与项目关联性小，计[0-1]分；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10-服务方案</w:t>
            </w:r>
          </w:p>
        </w:tc>
      </w:tr>
      <w:tr>
        <w:tc>
          <w:tcPr>
            <w:tcW w:type="dxa" w:w="831"/>
            <w:vMerge/>
          </w:tcPr>
          <w:p/>
        </w:tc>
        <w:tc>
          <w:tcPr>
            <w:tcW w:type="dxa" w:w="1661"/>
          </w:tcPr>
          <w:p>
            <w:pPr>
              <w:pStyle w:val="null3"/>
            </w:pPr>
            <w:r>
              <w:rPr/>
              <w:t>服务团队人员配置</w:t>
            </w:r>
          </w:p>
        </w:tc>
        <w:tc>
          <w:tcPr>
            <w:tcW w:type="dxa" w:w="2492"/>
          </w:tcPr>
          <w:p>
            <w:pPr>
              <w:pStyle w:val="null3"/>
            </w:pPr>
            <w:r>
              <w:rPr/>
              <w:t>服务团队人员不得少于4人，按其配备情况计1-5分，服务团队人员包括但不限于以下要求：PMP项目管理资格认证、注册信息安全专业人员(CISP)，否则得0分。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10-服务方案</w:t>
            </w:r>
          </w:p>
        </w:tc>
      </w:tr>
      <w:tr>
        <w:tc>
          <w:tcPr>
            <w:tcW w:type="dxa" w:w="831"/>
            <w:vMerge/>
          </w:tcPr>
          <w:p/>
        </w:tc>
        <w:tc>
          <w:tcPr>
            <w:tcW w:type="dxa" w:w="1661"/>
          </w:tcPr>
          <w:p>
            <w:pPr>
              <w:pStyle w:val="null3"/>
            </w:pPr>
            <w:r>
              <w:rPr/>
              <w:t>业绩</w:t>
            </w:r>
          </w:p>
        </w:tc>
        <w:tc>
          <w:tcPr>
            <w:tcW w:type="dxa" w:w="2492"/>
          </w:tcPr>
          <w:p>
            <w:pPr>
              <w:pStyle w:val="null3"/>
            </w:pPr>
            <w:r>
              <w:rPr/>
              <w:t>投标人须提供自近三年类似项目业绩，投标文件中附加盖投标人公章的合同复印件（以合同签订日期为准），每提供一份得2分，满分10分。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10-服务方案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项目背景理解</w:t>
            </w:r>
          </w:p>
        </w:tc>
        <w:tc>
          <w:tcPr>
            <w:tcW w:type="dxa" w:w="2492"/>
          </w:tcPr>
          <w:p>
            <w:pPr>
              <w:pStyle w:val="null3"/>
            </w:pPr>
            <w:r>
              <w:rPr/>
              <w:t>1、对本项目背景和工作内容的理解深刻、分析全面、服务方案完整、合理、有针对性、工作思路清晰、方法先进、任务分解合理，计[10.1-15.0]分； 2、对本项目背景和工作内容的理解较深刻、分析较全面、服务方案较合理、较有针对性、工作思路较清晰、方法较先进、任务分解较合理，计[5.1-10.0]分； 3、对本项目背景和工作内容的理解和分析一般、服务方案一般，工作思路、方法、任务分解较简单，计[1.0-5.0]分； 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10-服务方案</w:t>
            </w:r>
          </w:p>
        </w:tc>
      </w:tr>
      <w:tr>
        <w:tc>
          <w:tcPr>
            <w:tcW w:type="dxa" w:w="831"/>
            <w:vMerge/>
          </w:tcPr>
          <w:p/>
        </w:tc>
        <w:tc>
          <w:tcPr>
            <w:tcW w:type="dxa" w:w="1661"/>
          </w:tcPr>
          <w:p>
            <w:pPr>
              <w:pStyle w:val="null3"/>
            </w:pPr>
            <w:r>
              <w:rPr/>
              <w:t>工作进度计划</w:t>
            </w:r>
          </w:p>
        </w:tc>
        <w:tc>
          <w:tcPr>
            <w:tcW w:type="dxa" w:w="2492"/>
          </w:tcPr>
          <w:p>
            <w:pPr>
              <w:pStyle w:val="null3"/>
            </w:pPr>
            <w:r>
              <w:rPr/>
              <w:t>工作进度计划全面详细、合理，符合实际对完成本项目有详细、合理的时间计划、进度安排和保障措施，针对性很 强，保证措施有力，能够很好地满足项目需求，违约措施及承诺具体可行，可操作性高得[10.1-15.0]分； 工作进度计划详细、合理，符合实际，有明确，较为合理的时间安排，工作计划针对性强，保证措施一般，能够满 足项目需求，违约措施及承诺较好，可操作性较好[5.1-10.0]分； 工作进度计划基本完整、有合理性，有一定的针对性，有 保证措施，基本能够满足项目要求，违约措施及承诺一般， 可操作性一般得[1.0-5.0]分。 工作进度计划不完整不合理，无针对性，保证措施差或无 进度计划及保证措施的不得分 0 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10-服务方案</w:t>
            </w:r>
          </w:p>
        </w:tc>
      </w:tr>
      <w:tr>
        <w:tc>
          <w:tcPr>
            <w:tcW w:type="dxa" w:w="831"/>
            <w:vMerge/>
          </w:tcPr>
          <w:p/>
        </w:tc>
        <w:tc>
          <w:tcPr>
            <w:tcW w:type="dxa" w:w="1661"/>
          </w:tcPr>
          <w:p>
            <w:pPr>
              <w:pStyle w:val="null3"/>
            </w:pPr>
            <w:r>
              <w:rPr/>
              <w:t>保障措施</w:t>
            </w:r>
          </w:p>
        </w:tc>
        <w:tc>
          <w:tcPr>
            <w:tcW w:type="dxa" w:w="2492"/>
          </w:tcPr>
          <w:p>
            <w:pPr>
              <w:pStyle w:val="null3"/>
            </w:pPr>
            <w:r>
              <w:rPr/>
              <w:t>针对本项目的服务保障措施，所涉及的所有服务人员均按照国家相关法律法规的要求进行管理。1、流程管理、质量管理、安全管理、档案管理、人员组织等，每一项工作内容分解详细，可操作性高，执行力度高效快捷，计[10.1-15.0]分； 2、流程管理、质量管理、安全管理、档案管理、人员组织等，每一项工作内容分解一般，可操作性一般，执行力度一般，计[5.1-10.0]分； 3、流程管理、质量管理、安全管理、档案管理、人员组织等，每一项工作内容分解差，可操作性差，执行力度差，方案堆叠，计[1.0-5.0]分； 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10-服务方案</w:t>
            </w:r>
          </w:p>
        </w:tc>
      </w:tr>
      <w:tr>
        <w:tc>
          <w:tcPr>
            <w:tcW w:type="dxa" w:w="831"/>
            <w:vMerge/>
          </w:tcPr>
          <w:p/>
        </w:tc>
        <w:tc>
          <w:tcPr>
            <w:tcW w:type="dxa" w:w="1661"/>
          </w:tcPr>
          <w:p>
            <w:pPr>
              <w:pStyle w:val="null3"/>
            </w:pPr>
            <w:r>
              <w:rPr/>
              <w:t>应急方案</w:t>
            </w:r>
          </w:p>
        </w:tc>
        <w:tc>
          <w:tcPr>
            <w:tcW w:type="dxa" w:w="2492"/>
          </w:tcPr>
          <w:p>
            <w:pPr>
              <w:pStyle w:val="null3"/>
            </w:pPr>
            <w:r>
              <w:rPr/>
              <w:t>针对本项目的应急方案。 1、具有完整、规范的应急方案，并有充足的应急资源储备及较强的应急调配响应能力，计[7.1-10.0]分； 2、具有较完整、规范的应急方案，有基本应急资源储备及应急调配响应能力，计[4.1-7.0）分； 3、应急方案差，与本项目实际服务内容偏差较大，计[1.0-4.0）分；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10-服务方案</w:t>
            </w:r>
          </w:p>
        </w:tc>
      </w:tr>
      <w:tr>
        <w:tc>
          <w:tcPr>
            <w:tcW w:type="dxa" w:w="831"/>
            <w:vMerge/>
          </w:tcPr>
          <w:p/>
        </w:tc>
        <w:tc>
          <w:tcPr>
            <w:tcW w:type="dxa" w:w="1661"/>
          </w:tcPr>
          <w:p>
            <w:pPr>
              <w:pStyle w:val="null3"/>
            </w:pPr>
            <w:r>
              <w:rPr/>
              <w:t>组织机构设置</w:t>
            </w:r>
          </w:p>
        </w:tc>
        <w:tc>
          <w:tcPr>
            <w:tcW w:type="dxa" w:w="2492"/>
          </w:tcPr>
          <w:p>
            <w:pPr>
              <w:pStyle w:val="null3"/>
            </w:pPr>
            <w:r>
              <w:rPr/>
              <w:t>项目组织机构设置、岗位职责进行评价，机构设置合理、职责划分明确，得[3-5]分；机构设置、职责划分较合理，得[1-3]分；机构设置一般，组织分工不合理，得[0-1]分。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10-服务方案</w:t>
            </w:r>
          </w:p>
        </w:tc>
      </w:tr>
      <w:tr>
        <w:tc>
          <w:tcPr>
            <w:tcW w:type="dxa" w:w="831"/>
            <w:vMerge/>
          </w:tcPr>
          <w:p/>
        </w:tc>
        <w:tc>
          <w:tcPr>
            <w:tcW w:type="dxa" w:w="1661"/>
          </w:tcPr>
          <w:p>
            <w:pPr>
              <w:pStyle w:val="null3"/>
            </w:pPr>
            <w:r>
              <w:rPr/>
              <w:t>服务质量保证措施</w:t>
            </w:r>
          </w:p>
        </w:tc>
        <w:tc>
          <w:tcPr>
            <w:tcW w:type="dxa" w:w="2492"/>
          </w:tcPr>
          <w:p>
            <w:pPr>
              <w:pStyle w:val="null3"/>
            </w:pPr>
            <w:r>
              <w:rPr/>
              <w:t>服务质量保证措施结合本项目实际情况，合理、可行完全保证本项目服务质量，计[10.1-15.0]分 服务质量保证措施全面性、合理可行性一般，计[5.1-10.0]分； 服务质量保证措施有所欠缺，与项目关联性小，计[1.0-5.0]分； 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10-服务方案</w:t>
            </w:r>
          </w:p>
        </w:tc>
      </w:tr>
      <w:tr>
        <w:tc>
          <w:tcPr>
            <w:tcW w:type="dxa" w:w="831"/>
            <w:vMerge/>
          </w:tcPr>
          <w:p/>
        </w:tc>
        <w:tc>
          <w:tcPr>
            <w:tcW w:type="dxa" w:w="1661"/>
          </w:tcPr>
          <w:p>
            <w:pPr>
              <w:pStyle w:val="null3"/>
            </w:pPr>
            <w:r>
              <w:rPr/>
              <w:t>服务团队人员配置</w:t>
            </w:r>
          </w:p>
        </w:tc>
        <w:tc>
          <w:tcPr>
            <w:tcW w:type="dxa" w:w="2492"/>
          </w:tcPr>
          <w:p>
            <w:pPr>
              <w:pStyle w:val="null3"/>
            </w:pPr>
            <w:r>
              <w:rPr/>
              <w:t>服务团队人员不得少于4人，按其配备情况计1-5分，服务团队人员包括但不限于以下要求：PMP项目管理资格认证、注册信息安全专业人员(CISP)，否则得0分。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10-服务方案</w:t>
            </w:r>
          </w:p>
        </w:tc>
      </w:tr>
      <w:tr>
        <w:tc>
          <w:tcPr>
            <w:tcW w:type="dxa" w:w="831"/>
            <w:vMerge/>
          </w:tcPr>
          <w:p/>
        </w:tc>
        <w:tc>
          <w:tcPr>
            <w:tcW w:type="dxa" w:w="1661"/>
          </w:tcPr>
          <w:p>
            <w:pPr>
              <w:pStyle w:val="null3"/>
            </w:pPr>
            <w:r>
              <w:rPr/>
              <w:t>业绩</w:t>
            </w:r>
          </w:p>
        </w:tc>
        <w:tc>
          <w:tcPr>
            <w:tcW w:type="dxa" w:w="2492"/>
          </w:tcPr>
          <w:p>
            <w:pPr>
              <w:pStyle w:val="null3"/>
            </w:pPr>
            <w:r>
              <w:rPr/>
              <w:t>投标人须提供自近三年类似项目业绩，投标文件中附加盖投标人公章的合同复印件（以合同签订日期为准），每提供一份得2分，满分10分。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10-服务方案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详见附件：10-服务方案</w:t>
      </w:r>
    </w:p>
    <w:p>
      <w:pPr>
        <w:pStyle w:val="null3"/>
        <w:ind w:firstLine="960"/>
      </w:pPr>
      <w:r>
        <w:rPr/>
        <w:t>详见附件：11-类似项目业绩表</w:t>
      </w:r>
    </w:p>
    <w:p>
      <w:pPr>
        <w:pStyle w:val="null3"/>
        <w:ind w:firstLine="960"/>
      </w:pPr>
      <w:r>
        <w:rPr/>
        <w:t>详见附件：12-相关资格证明材料</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详见附件：10-服务方案</w:t>
      </w:r>
    </w:p>
    <w:p>
      <w:pPr>
        <w:pStyle w:val="null3"/>
        <w:ind w:firstLine="960"/>
      </w:pPr>
      <w:r>
        <w:rPr/>
        <w:t>详见附件：11-类似项目业绩表</w:t>
      </w:r>
    </w:p>
    <w:p>
      <w:pPr>
        <w:pStyle w:val="null3"/>
        <w:ind w:firstLine="960"/>
      </w:pPr>
      <w:r>
        <w:rPr/>
        <w:t>详见附件：12-相关资格证明材料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