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0"/>
          <w:szCs w:val="30"/>
        </w:rPr>
      </w:pPr>
      <w:bookmarkStart w:id="0" w:name="_Toc31962"/>
      <w:r>
        <w:rPr>
          <w:rFonts w:hint="eastAsia" w:ascii="仿宋" w:hAnsi="仿宋" w:eastAsia="仿宋" w:cs="仿宋"/>
          <w:b/>
          <w:bCs/>
          <w:color w:val="auto"/>
          <w:sz w:val="30"/>
          <w:szCs w:val="30"/>
          <w:lang w:val="en-US" w:eastAsia="zh-CN"/>
        </w:rPr>
        <w:t>采购需求</w:t>
      </w:r>
      <w:bookmarkEnd w:id="0"/>
    </w:p>
    <w:p>
      <w:pPr>
        <w:pStyle w:val="7"/>
        <w:keepNext w:val="0"/>
        <w:keepLines w:val="0"/>
        <w:widowControl w:val="0"/>
        <w:shd w:val="clear" w:color="auto" w:fill="auto"/>
        <w:tabs>
          <w:tab w:val="left" w:pos="1277"/>
        </w:tabs>
        <w:bidi w:val="0"/>
        <w:spacing w:before="0" w:after="0" w:line="360" w:lineRule="auto"/>
        <w:ind w:left="0" w:leftChars="0" w:right="0" w:firstLine="0" w:firstLineChars="0"/>
        <w:jc w:val="both"/>
        <w:rPr>
          <w:rFonts w:hint="eastAsia" w:ascii="仿宋" w:hAnsi="仿宋" w:eastAsia="仿宋" w:cs="仿宋"/>
          <w:b/>
          <w:bCs/>
          <w:color w:val="000000" w:themeColor="text1"/>
          <w:sz w:val="24"/>
          <w:szCs w:val="24"/>
          <w14:textFill>
            <w14:solidFill>
              <w14:schemeClr w14:val="tx1"/>
            </w14:solidFill>
          </w14:textFill>
        </w:rPr>
      </w:pPr>
      <w:bookmarkStart w:id="1" w:name="bookmark3"/>
      <w:r>
        <w:rPr>
          <w:rFonts w:hint="eastAsia" w:ascii="仿宋" w:hAnsi="仿宋" w:eastAsia="仿宋" w:cs="仿宋"/>
          <w:b/>
          <w:bCs/>
          <w:color w:val="000000" w:themeColor="text1"/>
          <w:spacing w:val="0"/>
          <w:w w:val="100"/>
          <w:position w:val="0"/>
          <w:sz w:val="24"/>
          <w:szCs w:val="24"/>
          <w14:textFill>
            <w14:solidFill>
              <w14:schemeClr w14:val="tx1"/>
            </w14:solidFill>
          </w14:textFill>
        </w:rPr>
        <w:t>一</w:t>
      </w:r>
      <w:bookmarkEnd w:id="1"/>
      <w:r>
        <w:rPr>
          <w:rFonts w:hint="eastAsia" w:ascii="仿宋" w:hAnsi="仿宋" w:eastAsia="仿宋" w:cs="仿宋"/>
          <w:b/>
          <w:bCs/>
          <w:color w:val="000000" w:themeColor="text1"/>
          <w:spacing w:val="0"/>
          <w:w w:val="100"/>
          <w:position w:val="0"/>
          <w:sz w:val="24"/>
          <w:szCs w:val="24"/>
          <w14:textFill>
            <w14:solidFill>
              <w14:schemeClr w14:val="tx1"/>
            </w14:solidFill>
          </w14:textFill>
        </w:rPr>
        <w:t>、项目概况</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2" w:name="bookmark4"/>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粪便处理站污水(粪便上清液)处理系统规模为380m³/d。新建调节池1座、电磁加热设备2套、一体化水处理设备1套及配套工程等，构筑物及设备呈南北向布置。其中，调节池位于预处理厂房和车辆维修间之间道路下，电磁加热设备置于车辆维修间，一体化水处理设备位于现状预处理厂房东侧。</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项目名称：</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粪便处理站污水（粪便上清液）处理项目</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3307500</w:t>
      </w:r>
      <w:r>
        <w:rPr>
          <w:rFonts w:hint="eastAsia" w:ascii="仿宋" w:hAnsi="仿宋" w:eastAsia="仿宋" w:cs="仿宋"/>
          <w:color w:val="000000" w:themeColor="text1"/>
          <w:sz w:val="24"/>
          <w:szCs w:val="24"/>
          <w:highlight w:val="none"/>
          <w14:textFill>
            <w14:solidFill>
              <w14:schemeClr w14:val="tx1"/>
            </w14:solidFill>
          </w14:textFill>
        </w:rPr>
        <w:t>元</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pacing w:val="0"/>
          <w:w w:val="100"/>
          <w:position w:val="0"/>
          <w:sz w:val="24"/>
          <w:szCs w:val="24"/>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4"/>
          <w14:textFill>
            <w14:solidFill>
              <w14:schemeClr w14:val="tx1"/>
            </w14:solidFill>
          </w14:textFill>
        </w:rPr>
        <w:t>建设地点：西安市城肥清运处理中心厂区内</w:t>
      </w:r>
    </w:p>
    <w:bookmarkEnd w:id="2"/>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(一)建设工艺</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u w:val="none"/>
          <w:shd w:val="clear" w:color="auto" w:fill="auto"/>
          <w:lang w:val="en-US" w:eastAsia="zh-CN" w:bidi="zh-TW"/>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污水处理工艺：调节池+电磁加热设备加热(冬季低温时使用)+一体化污水处理设备，预留臭氧高级催化氧化反应池及设</w:t>
      </w:r>
      <w:r>
        <w:rPr>
          <w:rFonts w:hint="eastAsia" w:ascii="仿宋" w:hAnsi="仿宋" w:eastAsia="仿宋" w:cs="仿宋"/>
          <w:b w:val="0"/>
          <w:bCs w:val="0"/>
          <w:color w:val="000000" w:themeColor="text1"/>
          <w:sz w:val="24"/>
          <w:szCs w:val="24"/>
          <w:highlight w:val="none"/>
          <w:u w:val="none"/>
          <w:shd w:val="clear" w:color="auto" w:fill="auto"/>
          <w:lang w:val="en-US" w:eastAsia="zh-CN" w:bidi="zh-TW"/>
          <w14:textFill>
            <w14:solidFill>
              <w14:schemeClr w14:val="tx1"/>
            </w14:solidFill>
          </w14:textFill>
        </w:rPr>
        <w:t>备安装位置和空间。尾水直接接入厂区污水管网，最终接入市政污水管网。</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1.调节池</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调节池设计规模为380m³/d,设置潜污泵2台，单泵参数：Q=16m³/h,H=25m,N=2.2KW。</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2.电磁加热设备</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在车辆维修间内设置2台功率50KW电磁加热设备。</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3.一体化污水处理设备</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体化污水处理设备包含生物反应池和斜管沉淀池。其中生物反应池采用改良五段式A/A/O/A/O工艺，与斜管沉淀池集成至一体化水处理设备内，设计规模为380m³/d,预留臭氧高级催化氧化反应池及设备安装位置和空间。</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4.其他配套系统</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他配套系统包含：碳源投加系统、药剂投加系统，设置在一体化水处理设备间内部。碳源投加系统主要设备有隔膜计量泵2台、氟塑料磁力泵(卸料泵)1台、储药罐2个。药剂投加系统主要设置有PAC加药装置1套、碳酸钠溶液加药装置1套。</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该项目建设工艺中的臭气处理、给水设施、消防设施及排水系统利用粪污处理站内现有设施。</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(二)结构专业</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该工程建筑结构安全等级为二级，结构设计使用年限为50年，防水等级二级，抗震设防烈度8度，工程建筑抗震设防分类为重点设防类(乙类)。</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建设场地是一级非自重湿陷性场地，按照丙类建筑物的地基处理方式进行。新建盛水构筑物均为整体式现浇钢筋混凝土底板。</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调节池为现浇钢筋混凝土水池结构，一体化水处理设备基础为现浇混凝土基础。</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(三)电气专业</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该工程为三级用电负荷，在现状配电室内新增一台配电柜AA-6,电源取自现状AA-4柜备用回路，利用现状变压器为全站提供动力。</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低压电气设备主回路短路保护组件采用低压断路器，过载保护采用热继电器，运行控制采用交流接触器。</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利用一体化水处理设备的钢制外壳作为接闪器，利用设备内纵向的钢制构件内钢筋作为防雷引下线，并与接地装置可靠连接。</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配电室内利用现状照明设施，室外照明利用厂区现状路灯。室外动力电缆以铠装电缆埋地敷设为主；一体化水处理设备内的动力电缆以电缆桥架及穿管等方式相结合敷设。</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为防止地震时电力系统失效、短路及起火造成人员伤亡及财产损失，对机电设备安装、管线敷设时应采取抗震措施。</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(四)仪表及自控专业</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主要为站内的仪表、自控、视频监控等。</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1.仪表系统</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调节池液位检测主要采用浮球液位开关，用于提升泵的联锁控制；加药装置成套配套的药筒内设液位开关，用于节点控制和报警。一体化水处理设备进水流量检测仪表为一体式电磁流量计采用管道式安装。</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2.自控系统</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粪便上清液处理站内新建一套工业控制系统和一套操作站，自动化控制系统采用PLC控制器及现场总线配置模式。</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3.视频监控系统</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粪便上清液处理站内新建一套视频监控设备，主要为现场视频监控摄像机、设备箱。</w:t>
      </w:r>
    </w:p>
    <w:p>
      <w:pPr>
        <w:pStyle w:val="7"/>
        <w:keepNext w:val="0"/>
        <w:keepLines w:val="0"/>
        <w:widowControl w:val="0"/>
        <w:shd w:val="clear" w:color="auto" w:fill="auto"/>
        <w:bidi w:val="0"/>
        <w:spacing w:before="0" w:after="240" w:line="360" w:lineRule="auto"/>
        <w:ind w:left="0" w:leftChars="0" w:right="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pacing w:val="0"/>
          <w:w w:val="100"/>
          <w:position w:val="0"/>
          <w:sz w:val="24"/>
          <w:szCs w:val="24"/>
          <w:lang w:val="en-US" w:eastAsia="zh-CN"/>
        </w:rPr>
        <w:t>二</w:t>
      </w:r>
      <w:r>
        <w:rPr>
          <w:rFonts w:hint="eastAsia" w:ascii="仿宋" w:hAnsi="仿宋" w:eastAsia="仿宋" w:cs="仿宋"/>
          <w:b/>
          <w:bCs/>
          <w:color w:val="auto"/>
          <w:spacing w:val="0"/>
          <w:w w:val="100"/>
          <w:position w:val="0"/>
          <w:sz w:val="24"/>
          <w:szCs w:val="24"/>
        </w:rPr>
        <w:t>、商务要求</w:t>
      </w:r>
    </w:p>
    <w:p>
      <w:pPr>
        <w:pStyle w:val="7"/>
        <w:keepNext w:val="0"/>
        <w:keepLines w:val="0"/>
        <w:widowControl w:val="0"/>
        <w:shd w:val="clear" w:color="auto" w:fill="auto"/>
        <w:bidi w:val="0"/>
        <w:spacing w:before="0" w:after="240" w:line="360" w:lineRule="auto"/>
        <w:ind w:left="0" w:leftChars="0" w:right="0" w:firstLine="480" w:firstLineChars="200"/>
        <w:jc w:val="left"/>
        <w:rPr>
          <w:rFonts w:hint="default" w:ascii="仿宋" w:hAnsi="仿宋" w:eastAsia="仿宋" w:cs="仿宋"/>
          <w:color w:val="auto"/>
          <w:sz w:val="24"/>
          <w:szCs w:val="24"/>
          <w:highlight w:val="none"/>
          <w:lang w:val="en-US"/>
        </w:rPr>
      </w:pPr>
      <w:r>
        <w:rPr>
          <w:rFonts w:hint="eastAsia" w:ascii="仿宋" w:hAnsi="仿宋" w:eastAsia="仿宋" w:cs="仿宋"/>
          <w:color w:val="auto"/>
          <w:spacing w:val="0"/>
          <w:w w:val="100"/>
          <w:position w:val="0"/>
          <w:sz w:val="24"/>
          <w:szCs w:val="24"/>
          <w:lang w:val="en-US" w:eastAsia="en-US" w:bidi="en-US"/>
        </w:rPr>
        <w:t>（</w:t>
      </w:r>
      <w:r>
        <w:rPr>
          <w:rFonts w:hint="eastAsia" w:ascii="仿宋" w:hAnsi="仿宋" w:eastAsia="仿宋" w:cs="仿宋"/>
          <w:color w:val="auto"/>
          <w:spacing w:val="0"/>
          <w:w w:val="100"/>
          <w:position w:val="0"/>
          <w:sz w:val="24"/>
          <w:szCs w:val="24"/>
          <w:lang w:val="en-US" w:eastAsia="zh-CN" w:bidi="en-US"/>
        </w:rPr>
        <w:t>一</w:t>
      </w:r>
      <w:r>
        <w:rPr>
          <w:rFonts w:hint="eastAsia" w:ascii="仿宋" w:hAnsi="仿宋" w:eastAsia="仿宋" w:cs="仿宋"/>
          <w:color w:val="auto"/>
          <w:spacing w:val="0"/>
          <w:w w:val="100"/>
          <w:position w:val="0"/>
          <w:sz w:val="24"/>
          <w:szCs w:val="24"/>
          <w:lang w:val="en-US" w:eastAsia="en-US" w:bidi="en-US"/>
        </w:rPr>
        <w:t>）</w:t>
      </w:r>
      <w:r>
        <w:rPr>
          <w:rFonts w:hint="eastAsia" w:ascii="仿宋" w:hAnsi="仿宋" w:eastAsia="仿宋" w:cs="仿宋"/>
          <w:color w:val="auto"/>
          <w:spacing w:val="0"/>
          <w:w w:val="100"/>
          <w:position w:val="0"/>
          <w:sz w:val="24"/>
          <w:szCs w:val="24"/>
          <w:lang w:val="en-US" w:eastAsia="zh-CN"/>
        </w:rPr>
        <w:t>工期：</w:t>
      </w:r>
      <w:r>
        <w:rPr>
          <w:rFonts w:hint="eastAsia" w:ascii="仿宋" w:hAnsi="仿宋" w:eastAsia="仿宋" w:cs="仿宋"/>
          <w:color w:val="auto"/>
          <w:spacing w:val="0"/>
          <w:w w:val="100"/>
          <w:position w:val="0"/>
          <w:sz w:val="24"/>
          <w:szCs w:val="24"/>
          <w:highlight w:val="none"/>
          <w:lang w:val="en-US" w:eastAsia="zh-CN"/>
        </w:rPr>
        <w:t>8个月</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bookmarkStart w:id="3" w:name="bookmark23"/>
      <w:r>
        <w:rPr>
          <w:rFonts w:hint="eastAsia" w:ascii="仿宋" w:hAnsi="仿宋" w:eastAsia="仿宋" w:cs="仿宋"/>
          <w:b w:val="0"/>
          <w:bCs w:val="0"/>
          <w:color w:val="auto"/>
          <w:spacing w:val="0"/>
          <w:w w:val="100"/>
          <w:position w:val="0"/>
          <w:sz w:val="24"/>
          <w:szCs w:val="24"/>
          <w:lang w:val="en-US" w:eastAsia="zh-CN"/>
        </w:rPr>
        <w:t>（</w:t>
      </w:r>
      <w:bookmarkEnd w:id="3"/>
      <w:r>
        <w:rPr>
          <w:rFonts w:hint="eastAsia" w:ascii="仿宋" w:hAnsi="仿宋" w:eastAsia="仿宋" w:cs="仿宋"/>
          <w:b w:val="0"/>
          <w:bCs w:val="0"/>
          <w:color w:val="auto"/>
          <w:spacing w:val="0"/>
          <w:w w:val="100"/>
          <w:position w:val="0"/>
          <w:sz w:val="24"/>
          <w:szCs w:val="24"/>
          <w:lang w:val="en-US" w:eastAsia="zh-CN"/>
        </w:rPr>
        <w:t>二）款项结算方式：</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1.合同签订供应商进场3日后，达到付款条件起7日内，支付合同总金额的30.00%。</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2.完成设备进场后，达到付款条件起7日内，支付合同总金额的25.00%。</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3.完成设备组装后，达到付款条件起7日内，支付合同总金额的15.00%。</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4.工程竣工,并经甲方组织有关部门验收合格后，达到付款条件起30日内，支付合同总金额的27.00%。</w:t>
      </w:r>
    </w:p>
    <w:p>
      <w:pPr>
        <w:pStyle w:val="7"/>
        <w:keepNext w:val="0"/>
        <w:keepLines w:val="0"/>
        <w:pageBreakBefore w:val="0"/>
        <w:widowControl w:val="0"/>
        <w:shd w:val="clear" w:color="auto" w:fill="auto"/>
        <w:tabs>
          <w:tab w:val="left" w:pos="1277"/>
        </w:tabs>
        <w:kinsoku w:val="0"/>
        <w:wordWrap/>
        <w:overflowPunct/>
        <w:topLinePunct w:val="0"/>
        <w:autoSpaceDE w:val="0"/>
        <w:autoSpaceDN w:val="0"/>
        <w:bidi w:val="0"/>
        <w:adjustRightInd w:val="0"/>
        <w:snapToGrid w:val="0"/>
        <w:spacing w:before="0" w:after="0" w:line="360" w:lineRule="auto"/>
        <w:ind w:left="0" w:leftChars="0" w:right="0" w:firstLine="480" w:firstLineChars="200"/>
        <w:jc w:val="both"/>
        <w:textAlignment w:val="baseline"/>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5.作为本工程的保修金,待2025年底前，达到付款条件起7日内，支付合同总金额的3.00%</w:t>
      </w:r>
      <w:bookmarkStart w:id="4" w:name="_GoBack"/>
      <w:bookmarkEnd w:id="4"/>
      <w:r>
        <w:rPr>
          <w:rFonts w:hint="eastAsia" w:ascii="仿宋" w:hAnsi="仿宋" w:eastAsia="仿宋" w:cs="仿宋"/>
          <w:b w:val="0"/>
          <w:bCs w:val="0"/>
          <w:color w:val="auto"/>
          <w:spacing w:val="0"/>
          <w:w w:val="100"/>
          <w:position w:val="0"/>
          <w:sz w:val="24"/>
          <w:szCs w:val="24"/>
          <w:lang w:val="en-US" w:eastAsia="zh-CN"/>
        </w:rPr>
        <w:t>。</w:t>
      </w:r>
    </w:p>
    <w:p>
      <w:pPr>
        <w:pStyle w:val="7"/>
        <w:keepNext w:val="0"/>
        <w:keepLines w:val="0"/>
        <w:widowControl w:val="0"/>
        <w:shd w:val="clear" w:color="auto" w:fill="auto"/>
        <w:bidi w:val="0"/>
        <w:spacing w:before="0" w:after="0" w:line="360" w:lineRule="auto"/>
        <w:ind w:left="0" w:leftChars="0" w:right="0" w:firstLine="0" w:firstLineChars="0"/>
        <w:jc w:val="both"/>
      </w:pPr>
    </w:p>
    <w:p>
      <w:pPr>
        <w:pStyle w:val="7"/>
        <w:keepNext w:val="0"/>
        <w:keepLines w:val="0"/>
        <w:widowControl w:val="0"/>
        <w:shd w:val="clear" w:color="auto" w:fill="auto"/>
        <w:bidi w:val="0"/>
        <w:spacing w:before="0" w:after="0" w:line="360" w:lineRule="auto"/>
        <w:ind w:left="0" w:leftChars="0" w:right="0" w:firstLine="4560" w:firstLineChars="1900"/>
        <w:jc w:val="both"/>
        <w:rPr>
          <w:rFonts w:hint="eastAsia" w:ascii="仿宋" w:hAnsi="仿宋" w:eastAsia="仿宋" w:cs="仿宋"/>
          <w:b w:val="0"/>
          <w:bCs w:val="0"/>
          <w:color w:val="000000" w:themeColor="text1"/>
          <w:spacing w:val="0"/>
          <w:w w:val="100"/>
          <w:position w:val="0"/>
          <w:sz w:val="24"/>
          <w:szCs w:val="24"/>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4"/>
          <w14:textFill>
            <w14:solidFill>
              <w14:schemeClr w14:val="tx1"/>
            </w14:solidFill>
          </w14:textFill>
        </w:rPr>
        <w:t>西安市城肥清运处理中心</w:t>
      </w:r>
    </w:p>
    <w:p>
      <w:pPr>
        <w:pStyle w:val="7"/>
        <w:keepNext w:val="0"/>
        <w:keepLines w:val="0"/>
        <w:widowControl w:val="0"/>
        <w:shd w:val="clear" w:color="auto" w:fill="auto"/>
        <w:bidi w:val="0"/>
        <w:spacing w:before="0" w:after="0" w:line="360" w:lineRule="auto"/>
        <w:ind w:left="0" w:leftChars="0" w:right="0" w:firstLine="4560" w:firstLineChars="1900"/>
        <w:jc w:val="both"/>
        <w:rPr>
          <w:rFonts w:hint="default" w:ascii="仿宋" w:hAnsi="仿宋" w:eastAsia="仿宋" w:cs="仿宋"/>
          <w:b w:val="0"/>
          <w:bCs w:val="0"/>
          <w:color w:val="000000" w:themeColor="text1"/>
          <w:spacing w:val="0"/>
          <w:w w:val="100"/>
          <w:positio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4"/>
          <w:lang w:val="en-US" w:eastAsia="zh-CN"/>
          <w14:textFill>
            <w14:solidFill>
              <w14:schemeClr w14:val="tx1"/>
            </w14:solidFill>
          </w14:textFill>
        </w:rPr>
        <w:t>二〇二四年五月二十七日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OTA1ZGVlZTY3NmZkNjQ1ZjI5NTZjNGY5NTU4ZjYifQ=="/>
  </w:docVars>
  <w:rsids>
    <w:rsidRoot w:val="552A5990"/>
    <w:rsid w:val="0ADA3C83"/>
    <w:rsid w:val="1A143EF5"/>
    <w:rsid w:val="2E473992"/>
    <w:rsid w:val="33E3229E"/>
    <w:rsid w:val="3B0C1930"/>
    <w:rsid w:val="4598345A"/>
    <w:rsid w:val="552A5990"/>
    <w:rsid w:val="61E8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szCs w:val="20"/>
    </w:rPr>
  </w:style>
  <w:style w:type="paragraph" w:styleId="3">
    <w:name w:val="footer"/>
    <w:basedOn w:val="1"/>
    <w:autoRedefine/>
    <w:qFormat/>
    <w:uiPriority w:val="99"/>
    <w:pPr>
      <w:tabs>
        <w:tab w:val="center" w:pos="4153"/>
        <w:tab w:val="right" w:pos="8306"/>
      </w:tabs>
    </w:pPr>
    <w:rPr>
      <w:sz w:val="18"/>
    </w:rPr>
  </w:style>
  <w:style w:type="paragraph" w:styleId="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Body text|1"/>
    <w:basedOn w:val="1"/>
    <w:autoRedefine/>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1474</Words>
  <Characters>1567</Characters>
  <Lines>0</Lines>
  <Paragraphs>0</Paragraphs>
  <TotalTime>0</TotalTime>
  <ScaleCrop>false</ScaleCrop>
  <LinksUpToDate>false</LinksUpToDate>
  <CharactersWithSpaces>1572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2024-05-24T07:15:00Z</dcterms:created>
  <dc:creator>审核-刘</dc:creator>
  <cp:lastModifiedBy>审核-刘</cp:lastModifiedBy>
  <dcterms:modified xsi:type="dcterms:W3CDTF">2024-05-28T23:47:21Z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C0185E8D19144A6E8DA97A1ACDA23895_13</vt:lpwstr>
  </property>
</Properties>
</file>