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center"/>
        <w:rPr>
          <w:rFonts w:hint="eastAsia" w:ascii="仿宋" w:hAnsi="仿宋" w:eastAsia="仿宋" w:cs="仿宋"/>
          <w:b/>
          <w:bCs/>
          <w:i w:val="0"/>
          <w:iCs w:val="0"/>
          <w:caps w:val="0"/>
          <w:color w:val="auto"/>
          <w:spacing w:val="0"/>
          <w:sz w:val="39"/>
          <w:szCs w:val="39"/>
          <w:highlight w:val="none"/>
        </w:rPr>
      </w:pPr>
      <w:r>
        <w:rPr>
          <w:rFonts w:hint="eastAsia" w:ascii="仿宋" w:hAnsi="仿宋" w:eastAsia="仿宋" w:cs="仿宋"/>
          <w:b/>
          <w:bCs/>
          <w:i w:val="0"/>
          <w:iCs w:val="0"/>
          <w:caps w:val="0"/>
          <w:color w:val="auto"/>
          <w:spacing w:val="0"/>
          <w:sz w:val="39"/>
          <w:szCs w:val="39"/>
          <w:highlight w:val="none"/>
          <w:shd w:val="clear" w:fill="FFFFFF"/>
        </w:rPr>
        <w:t>第八章 拟签订采购</w:t>
      </w:r>
      <w:bookmarkStart w:id="1" w:name="_GoBack"/>
      <w:r>
        <w:rPr>
          <w:rFonts w:hint="eastAsia" w:ascii="仿宋" w:hAnsi="仿宋" w:eastAsia="仿宋" w:cs="仿宋"/>
          <w:b/>
          <w:bCs/>
          <w:i w:val="0"/>
          <w:iCs w:val="0"/>
          <w:caps w:val="0"/>
          <w:color w:val="auto"/>
          <w:spacing w:val="0"/>
          <w:sz w:val="39"/>
          <w:szCs w:val="39"/>
          <w:highlight w:val="none"/>
          <w:shd w:val="clear" w:fill="FFFFFF"/>
        </w:rPr>
        <w:t>合同文本</w:t>
      </w:r>
      <w:bookmarkEnd w:id="1"/>
    </w:p>
    <w:p>
      <w:pPr>
        <w:pStyle w:val="2"/>
        <w:numPr>
          <w:ilvl w:val="0"/>
          <w:numId w:val="0"/>
        </w:numPr>
        <w:jc w:val="center"/>
        <w:outlineLvl w:val="0"/>
        <w:rPr>
          <w:rFonts w:hint="eastAsia" w:ascii="仿宋" w:hAnsi="仿宋" w:eastAsia="仿宋" w:cs="仿宋"/>
          <w:bCs/>
          <w:color w:val="auto"/>
          <w:sz w:val="36"/>
          <w:szCs w:val="36"/>
          <w:highlight w:val="none"/>
        </w:rPr>
      </w:pPr>
      <w:bookmarkStart w:id="0" w:name="_Toc1085"/>
      <w:r>
        <w:rPr>
          <w:rFonts w:hint="eastAsia" w:ascii="仿宋" w:hAnsi="仿宋" w:eastAsia="仿宋" w:cs="仿宋"/>
          <w:bCs/>
          <w:color w:val="auto"/>
          <w:sz w:val="36"/>
          <w:szCs w:val="36"/>
          <w:highlight w:val="none"/>
        </w:rPr>
        <w:t>合同条款及格式</w:t>
      </w:r>
      <w:bookmarkEnd w:id="0"/>
    </w:p>
    <w:p>
      <w:pPr>
        <w:keepNext w:val="0"/>
        <w:keepLines w:val="0"/>
        <w:pageBreakBefore w:val="0"/>
        <w:tabs>
          <w:tab w:val="left" w:pos="735"/>
        </w:tabs>
        <w:kinsoku/>
        <w:wordWrap/>
        <w:overflowPunct/>
        <w:topLinePunct w:val="0"/>
        <w:autoSpaceDE w:val="0"/>
        <w:autoSpaceDN w:val="0"/>
        <w:bidi w:val="0"/>
        <w:adjustRightInd w:val="0"/>
        <w:snapToGrid w:val="0"/>
        <w:spacing w:line="440" w:lineRule="exact"/>
        <w:ind w:firstLine="631"/>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zh-CN"/>
        </w:rPr>
        <w:t>采购人（以下简称甲方）：</w:t>
      </w:r>
      <w:r>
        <w:rPr>
          <w:rFonts w:hint="eastAsia" w:ascii="仿宋" w:hAnsi="仿宋" w:eastAsia="仿宋" w:cs="仿宋"/>
          <w:b/>
          <w:bCs/>
          <w:color w:val="auto"/>
          <w:sz w:val="24"/>
          <w:szCs w:val="24"/>
          <w:highlight w:val="none"/>
          <w:u w:val="single"/>
          <w:lang w:val="en-US" w:eastAsia="zh-CN"/>
        </w:rPr>
        <w:t xml:space="preserve">                         </w:t>
      </w:r>
    </w:p>
    <w:p>
      <w:pPr>
        <w:keepNext w:val="0"/>
        <w:keepLines w:val="0"/>
        <w:pageBreakBefore w:val="0"/>
        <w:tabs>
          <w:tab w:val="left" w:pos="735"/>
        </w:tabs>
        <w:kinsoku/>
        <w:wordWrap/>
        <w:overflowPunct/>
        <w:topLinePunct w:val="0"/>
        <w:autoSpaceDE w:val="0"/>
        <w:autoSpaceDN w:val="0"/>
        <w:bidi w:val="0"/>
        <w:adjustRightInd w:val="0"/>
        <w:snapToGrid w:val="0"/>
        <w:spacing w:line="440" w:lineRule="exact"/>
        <w:ind w:firstLine="631"/>
        <w:rPr>
          <w:rFonts w:hint="eastAsia" w:ascii="仿宋" w:hAnsi="仿宋" w:eastAsia="仿宋" w:cs="仿宋"/>
          <w:bCs/>
          <w:color w:val="auto"/>
          <w:sz w:val="24"/>
          <w:szCs w:val="24"/>
          <w:highlight w:val="none"/>
          <w:lang w:val="zh-CN"/>
        </w:rPr>
      </w:pPr>
      <w:r>
        <w:rPr>
          <w:rFonts w:hint="eastAsia" w:ascii="仿宋" w:hAnsi="仿宋" w:eastAsia="仿宋" w:cs="仿宋"/>
          <w:b/>
          <w:bCs/>
          <w:color w:val="auto"/>
          <w:sz w:val="24"/>
          <w:szCs w:val="24"/>
          <w:highlight w:val="none"/>
          <w:lang w:val="zh-CN"/>
        </w:rPr>
        <w:t>供应商（以下简称乙方）：</w:t>
      </w:r>
      <w:r>
        <w:rPr>
          <w:rFonts w:hint="eastAsia" w:ascii="仿宋" w:hAnsi="仿宋" w:eastAsia="仿宋" w:cs="仿宋"/>
          <w:b/>
          <w:bCs/>
          <w:color w:val="auto"/>
          <w:sz w:val="24"/>
          <w:szCs w:val="24"/>
          <w:highlight w:val="none"/>
          <w:u w:val="single"/>
          <w:lang w:val="zh-CN"/>
        </w:rPr>
        <w:t xml:space="preserve">                         </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根据《中</w:t>
      </w:r>
      <w:r>
        <w:rPr>
          <w:rFonts w:hint="eastAsia" w:ascii="仿宋" w:hAnsi="仿宋" w:eastAsia="仿宋" w:cs="仿宋"/>
          <w:color w:val="auto"/>
          <w:sz w:val="24"/>
          <w:szCs w:val="24"/>
          <w:highlight w:val="none"/>
          <w:lang w:eastAsia="zh-CN"/>
        </w:rPr>
        <w:t>华</w:t>
      </w:r>
      <w:r>
        <w:rPr>
          <w:rFonts w:hint="eastAsia" w:ascii="仿宋" w:hAnsi="仿宋" w:eastAsia="仿宋" w:cs="仿宋"/>
          <w:color w:val="auto"/>
          <w:sz w:val="24"/>
          <w:szCs w:val="24"/>
          <w:highlight w:val="none"/>
        </w:rPr>
        <w:t>人民共和国</w:t>
      </w:r>
      <w:r>
        <w:rPr>
          <w:rFonts w:hint="eastAsia" w:ascii="仿宋" w:hAnsi="仿宋" w:eastAsia="仿宋" w:cs="仿宋"/>
          <w:color w:val="auto"/>
          <w:sz w:val="24"/>
          <w:szCs w:val="24"/>
          <w:highlight w:val="none"/>
          <w:lang w:eastAsia="zh-CN"/>
        </w:rPr>
        <w:t>政府采购</w:t>
      </w:r>
      <w:r>
        <w:rPr>
          <w:rFonts w:hint="eastAsia" w:ascii="仿宋" w:hAnsi="仿宋" w:eastAsia="仿宋" w:cs="仿宋"/>
          <w:color w:val="auto"/>
          <w:sz w:val="24"/>
          <w:szCs w:val="24"/>
          <w:highlight w:val="none"/>
        </w:rPr>
        <w:t>法》《中</w:t>
      </w:r>
      <w:r>
        <w:rPr>
          <w:rFonts w:hint="eastAsia" w:ascii="仿宋" w:hAnsi="仿宋" w:eastAsia="仿宋" w:cs="仿宋"/>
          <w:color w:val="auto"/>
          <w:sz w:val="24"/>
          <w:szCs w:val="24"/>
          <w:highlight w:val="none"/>
          <w:lang w:eastAsia="zh-CN"/>
        </w:rPr>
        <w:t>华</w:t>
      </w:r>
      <w:r>
        <w:rPr>
          <w:rFonts w:hint="eastAsia" w:ascii="仿宋" w:hAnsi="仿宋" w:eastAsia="仿宋" w:cs="仿宋"/>
          <w:color w:val="auto"/>
          <w:sz w:val="24"/>
          <w:szCs w:val="24"/>
          <w:highlight w:val="none"/>
        </w:rPr>
        <w:t>人民共和国</w:t>
      </w:r>
      <w:r>
        <w:rPr>
          <w:rFonts w:hint="eastAsia" w:ascii="仿宋" w:hAnsi="仿宋" w:eastAsia="仿宋" w:cs="仿宋"/>
          <w:color w:val="auto"/>
          <w:sz w:val="24"/>
          <w:szCs w:val="24"/>
          <w:highlight w:val="none"/>
          <w:lang w:eastAsia="zh-CN"/>
        </w:rPr>
        <w:t>民法典</w:t>
      </w:r>
      <w:r>
        <w:rPr>
          <w:rFonts w:hint="eastAsia" w:ascii="仿宋" w:hAnsi="仿宋" w:eastAsia="仿宋" w:cs="仿宋"/>
          <w:color w:val="auto"/>
          <w:sz w:val="24"/>
          <w:szCs w:val="24"/>
          <w:highlight w:val="none"/>
        </w:rPr>
        <w:t>》及相关法律法规，甲、乙双方就</w:t>
      </w:r>
      <w:r>
        <w:rPr>
          <w:rFonts w:hint="eastAsia" w:ascii="仿宋" w:hAnsi="仿宋" w:eastAsia="仿宋" w:cs="仿宋"/>
          <w:color w:val="auto"/>
          <w:sz w:val="24"/>
          <w:szCs w:val="24"/>
          <w:highlight w:val="none"/>
          <w:lang w:val="en-US" w:eastAsia="zh-CN"/>
        </w:rPr>
        <w:t>中共西安市委网络安全和信息化委员会办公室2024年-2025年“网观西安（网信西安）”新媒体矩阵运维服务项目</w:t>
      </w:r>
      <w:r>
        <w:rPr>
          <w:rFonts w:hint="eastAsia" w:ascii="仿宋" w:hAnsi="仿宋" w:eastAsia="仿宋" w:cs="仿宋"/>
          <w:color w:val="auto"/>
          <w:sz w:val="24"/>
          <w:szCs w:val="24"/>
          <w:highlight w:val="none"/>
        </w:rPr>
        <w:t>事宜，经协商一致，达成如下协议：</w:t>
      </w:r>
    </w:p>
    <w:p>
      <w:pPr>
        <w:pStyle w:val="10"/>
        <w:numPr>
          <w:ilvl w:val="0"/>
          <w:numId w:val="1"/>
        </w:numPr>
        <w:spacing w:line="360" w:lineRule="auto"/>
        <w:ind w:firstLine="0"/>
        <w:jc w:val="left"/>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合同内容</w:t>
      </w:r>
    </w:p>
    <w:p>
      <w:pPr>
        <w:pStyle w:val="10"/>
        <w:spacing w:line="360" w:lineRule="auto"/>
        <w:ind w:firstLine="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中共西安市委网络安全和信息化委员会办公室2024年-2025年“网观西安（网信西安）”新媒体矩阵运维服务等，具体内容详见竞争性磋商文件。</w:t>
      </w:r>
    </w:p>
    <w:p>
      <w:pPr>
        <w:pStyle w:val="10"/>
        <w:spacing w:line="360" w:lineRule="auto"/>
        <w:ind w:firstLine="0"/>
        <w:jc w:val="left"/>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eastAsia="zh-CN"/>
        </w:rPr>
        <w:t>二、</w:t>
      </w:r>
      <w:r>
        <w:rPr>
          <w:rFonts w:hint="eastAsia" w:ascii="仿宋" w:hAnsi="仿宋" w:eastAsia="仿宋" w:cs="仿宋"/>
          <w:b/>
          <w:color w:val="auto"/>
          <w:sz w:val="24"/>
          <w:szCs w:val="24"/>
          <w:highlight w:val="none"/>
          <w:lang w:val="en-US" w:eastAsia="zh-CN"/>
        </w:rPr>
        <w:t>合同组成</w:t>
      </w:r>
    </w:p>
    <w:p>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1.下述文件是构成本合同不可分割的部分:</w:t>
      </w:r>
    </w:p>
    <w:p>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（1）本合同条款及其所有附件。</w:t>
      </w:r>
    </w:p>
    <w:p>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（2）甲方的</w:t>
      </w:r>
      <w:r>
        <w:rPr>
          <w:rFonts w:hint="eastAsia" w:ascii="仿宋" w:hAnsi="仿宋" w:eastAsia="仿宋" w:cs="仿宋"/>
          <w:color w:val="auto"/>
          <w:sz w:val="24"/>
          <w:szCs w:val="24"/>
          <w:highlight w:val="none"/>
          <w:lang w:val="en-US" w:eastAsia="zh-CN"/>
        </w:rPr>
        <w:t>竞争性磋商文件</w:t>
      </w:r>
      <w:r>
        <w:rPr>
          <w:rFonts w:hint="eastAsia" w:ascii="仿宋" w:hAnsi="仿宋" w:eastAsia="仿宋" w:cs="仿宋"/>
          <w:color w:val="auto"/>
          <w:sz w:val="24"/>
          <w:szCs w:val="24"/>
          <w:highlight w:val="none"/>
        </w:rPr>
        <w:t>及澄清文件。</w:t>
      </w:r>
    </w:p>
    <w:p>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（3）乙方的</w:t>
      </w:r>
      <w:r>
        <w:rPr>
          <w:rFonts w:hint="eastAsia" w:ascii="仿宋" w:hAnsi="仿宋" w:eastAsia="仿宋" w:cs="仿宋"/>
          <w:color w:val="auto"/>
          <w:sz w:val="24"/>
          <w:szCs w:val="24"/>
          <w:highlight w:val="none"/>
          <w:lang w:val="en-US" w:eastAsia="zh-CN"/>
        </w:rPr>
        <w:t>磋商响应文件</w:t>
      </w:r>
      <w:r>
        <w:rPr>
          <w:rFonts w:hint="eastAsia" w:ascii="仿宋" w:hAnsi="仿宋" w:eastAsia="仿宋" w:cs="仿宋"/>
          <w:color w:val="auto"/>
          <w:sz w:val="24"/>
          <w:szCs w:val="24"/>
          <w:highlight w:val="none"/>
        </w:rPr>
        <w:t>及质疑解答文件。</w:t>
      </w:r>
    </w:p>
    <w:p>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eastAsia="zh-CN"/>
        </w:rPr>
        <w:t>成交</w:t>
      </w:r>
      <w:r>
        <w:rPr>
          <w:rFonts w:hint="eastAsia" w:ascii="仿宋" w:hAnsi="仿宋" w:eastAsia="仿宋" w:cs="仿宋"/>
          <w:color w:val="auto"/>
          <w:sz w:val="24"/>
          <w:szCs w:val="24"/>
          <w:highlight w:val="none"/>
        </w:rPr>
        <w:t>通知书。</w:t>
      </w:r>
    </w:p>
    <w:p>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（5）双方与合同有关的往来信函、传真经双方法定代表人或其授权代表签字并加盖单位公章确认后视为本合同的组成部分。</w:t>
      </w:r>
    </w:p>
    <w:p>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）经双方法定代表人或其授权代表签字并加盖单位公章确认的补充协议。</w:t>
      </w:r>
    </w:p>
    <w:p>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2.如果乙方的</w:t>
      </w:r>
      <w:r>
        <w:rPr>
          <w:rFonts w:hint="eastAsia" w:ascii="仿宋" w:hAnsi="仿宋" w:eastAsia="仿宋" w:cs="仿宋"/>
          <w:color w:val="auto"/>
          <w:sz w:val="24"/>
          <w:szCs w:val="24"/>
          <w:highlight w:val="none"/>
          <w:lang w:eastAsia="zh-CN"/>
        </w:rPr>
        <w:t>磋商响应文件</w:t>
      </w:r>
      <w:r>
        <w:rPr>
          <w:rFonts w:hint="eastAsia" w:ascii="仿宋" w:hAnsi="仿宋" w:eastAsia="仿宋" w:cs="仿宋"/>
          <w:color w:val="auto"/>
          <w:sz w:val="24"/>
          <w:szCs w:val="24"/>
          <w:highlight w:val="none"/>
        </w:rPr>
        <w:t>及质疑解答文件内容违背或低于甲方</w:t>
      </w:r>
      <w:r>
        <w:rPr>
          <w:rFonts w:hint="eastAsia" w:ascii="仿宋" w:hAnsi="仿宋" w:eastAsia="仿宋" w:cs="仿宋"/>
          <w:color w:val="auto"/>
          <w:sz w:val="24"/>
          <w:szCs w:val="24"/>
          <w:highlight w:val="none"/>
          <w:lang w:eastAsia="zh-CN"/>
        </w:rPr>
        <w:t>竞争性磋商文件</w:t>
      </w:r>
      <w:r>
        <w:rPr>
          <w:rFonts w:hint="eastAsia" w:ascii="仿宋" w:hAnsi="仿宋" w:eastAsia="仿宋" w:cs="仿宋"/>
          <w:color w:val="auto"/>
          <w:sz w:val="24"/>
          <w:szCs w:val="24"/>
          <w:highlight w:val="none"/>
        </w:rPr>
        <w:t>要求或任何可能导致影响当次采购目的的情形，均应当被视为乙方自动放弃</w:t>
      </w:r>
      <w:r>
        <w:rPr>
          <w:rFonts w:hint="eastAsia" w:ascii="仿宋" w:hAnsi="仿宋" w:eastAsia="仿宋" w:cs="仿宋"/>
          <w:color w:val="auto"/>
          <w:sz w:val="24"/>
          <w:szCs w:val="24"/>
          <w:highlight w:val="none"/>
          <w:lang w:eastAsia="zh-CN"/>
        </w:rPr>
        <w:t>磋商响应文件</w:t>
      </w:r>
      <w:r>
        <w:rPr>
          <w:rFonts w:hint="eastAsia" w:ascii="仿宋" w:hAnsi="仿宋" w:eastAsia="仿宋" w:cs="仿宋"/>
          <w:color w:val="auto"/>
          <w:sz w:val="24"/>
          <w:szCs w:val="24"/>
          <w:highlight w:val="none"/>
        </w:rPr>
        <w:t>及质疑解答文件中相应部分而同意以</w:t>
      </w:r>
      <w:r>
        <w:rPr>
          <w:rFonts w:hint="eastAsia" w:ascii="仿宋" w:hAnsi="仿宋" w:eastAsia="仿宋" w:cs="仿宋"/>
          <w:color w:val="auto"/>
          <w:sz w:val="24"/>
          <w:szCs w:val="24"/>
          <w:highlight w:val="none"/>
          <w:lang w:eastAsia="zh-CN"/>
        </w:rPr>
        <w:t>竞争性磋商文件</w:t>
      </w:r>
      <w:r>
        <w:rPr>
          <w:rFonts w:hint="eastAsia" w:ascii="仿宋" w:hAnsi="仿宋" w:eastAsia="仿宋" w:cs="仿宋"/>
          <w:color w:val="auto"/>
          <w:sz w:val="24"/>
          <w:szCs w:val="24"/>
          <w:highlight w:val="none"/>
        </w:rPr>
        <w:t>相应内容为准。如果乙方的</w:t>
      </w:r>
      <w:r>
        <w:rPr>
          <w:rFonts w:hint="eastAsia" w:ascii="仿宋" w:hAnsi="仿宋" w:eastAsia="仿宋" w:cs="仿宋"/>
          <w:color w:val="auto"/>
          <w:sz w:val="24"/>
          <w:szCs w:val="24"/>
          <w:highlight w:val="none"/>
          <w:lang w:eastAsia="zh-CN"/>
        </w:rPr>
        <w:t>磋商响应文件</w:t>
      </w:r>
      <w:r>
        <w:rPr>
          <w:rFonts w:hint="eastAsia" w:ascii="仿宋" w:hAnsi="仿宋" w:eastAsia="仿宋" w:cs="仿宋"/>
          <w:color w:val="auto"/>
          <w:sz w:val="24"/>
          <w:szCs w:val="24"/>
          <w:highlight w:val="none"/>
        </w:rPr>
        <w:t>及质疑解答文件内容高于甲方</w:t>
      </w:r>
      <w:r>
        <w:rPr>
          <w:rFonts w:hint="eastAsia" w:ascii="仿宋" w:hAnsi="仿宋" w:eastAsia="仿宋" w:cs="仿宋"/>
          <w:color w:val="auto"/>
          <w:sz w:val="24"/>
          <w:szCs w:val="24"/>
          <w:highlight w:val="none"/>
          <w:lang w:eastAsia="zh-CN"/>
        </w:rPr>
        <w:t>竞争性磋商文件</w:t>
      </w:r>
      <w:r>
        <w:rPr>
          <w:rFonts w:hint="eastAsia" w:ascii="仿宋" w:hAnsi="仿宋" w:eastAsia="仿宋" w:cs="仿宋"/>
          <w:color w:val="auto"/>
          <w:sz w:val="24"/>
          <w:szCs w:val="24"/>
          <w:highlight w:val="none"/>
        </w:rPr>
        <w:t>要求，则以乙方的</w:t>
      </w:r>
      <w:r>
        <w:rPr>
          <w:rFonts w:hint="eastAsia" w:ascii="仿宋" w:hAnsi="仿宋" w:eastAsia="仿宋" w:cs="仿宋"/>
          <w:color w:val="auto"/>
          <w:sz w:val="24"/>
          <w:szCs w:val="24"/>
          <w:highlight w:val="none"/>
          <w:lang w:eastAsia="zh-CN"/>
        </w:rPr>
        <w:t>磋商响应文件</w:t>
      </w:r>
      <w:r>
        <w:rPr>
          <w:rFonts w:hint="eastAsia" w:ascii="仿宋" w:hAnsi="仿宋" w:eastAsia="仿宋" w:cs="仿宋"/>
          <w:color w:val="auto"/>
          <w:sz w:val="24"/>
          <w:szCs w:val="24"/>
          <w:highlight w:val="none"/>
        </w:rPr>
        <w:t>及质疑解答文件内容为准。如果合同条款与合同附件有矛盾之处，以合同条款内容为准。如果合同附件之间有矛盾之处，以有利于甲方的附件内容为准。</w:t>
      </w:r>
    </w:p>
    <w:p>
      <w:pPr>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3.上述合同文件应能够相互解释、相互说明。如合同文件之间出现不一致，除本合同另有约定外，第（1）款至（</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）款的排列顺序就是合同文件的优先解释顺序。对于第（</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）款中双方达成的补充协议与原合同（包括（1）-（</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）款中所列的所有文件）存在不一致，以签订日期在后的补充协议为准。</w:t>
      </w:r>
    </w:p>
    <w:p>
      <w:pPr>
        <w:snapToGrid w:val="0"/>
        <w:spacing w:line="360" w:lineRule="auto"/>
        <w:textAlignment w:val="baseline"/>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lang w:eastAsia="zh-CN"/>
        </w:rPr>
        <w:t>三</w:t>
      </w:r>
      <w:r>
        <w:rPr>
          <w:rFonts w:hint="eastAsia" w:ascii="仿宋" w:hAnsi="仿宋" w:eastAsia="仿宋" w:cs="仿宋"/>
          <w:b/>
          <w:bCs/>
          <w:color w:val="auto"/>
          <w:kern w:val="0"/>
          <w:sz w:val="24"/>
          <w:szCs w:val="24"/>
          <w:highlight w:val="none"/>
        </w:rPr>
        <w:t>、合同价款</w:t>
      </w:r>
    </w:p>
    <w:p>
      <w:pPr>
        <w:snapToGrid w:val="0"/>
        <w:spacing w:line="360" w:lineRule="auto"/>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（一）合同总价款为人民币（大写）</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w:t>
      </w:r>
    </w:p>
    <w:p>
      <w:pPr>
        <w:snapToGrid w:val="0"/>
        <w:spacing w:line="360" w:lineRule="auto"/>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（二）合同总价包括项目过程中的所有费用。</w:t>
      </w:r>
    </w:p>
    <w:p>
      <w:pPr>
        <w:snapToGrid w:val="0"/>
        <w:spacing w:line="360" w:lineRule="auto"/>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（三）合同总价一次性包死，不受市场价格变化因素的影响。</w:t>
      </w:r>
    </w:p>
    <w:p>
      <w:pPr>
        <w:snapToGrid w:val="0"/>
        <w:spacing w:line="360" w:lineRule="auto"/>
        <w:textAlignment w:val="baseline"/>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lang w:eastAsia="zh-CN"/>
        </w:rPr>
        <w:t>四</w:t>
      </w:r>
      <w:r>
        <w:rPr>
          <w:rFonts w:hint="eastAsia" w:ascii="仿宋" w:hAnsi="仿宋" w:eastAsia="仿宋" w:cs="仿宋"/>
          <w:b/>
          <w:bCs/>
          <w:color w:val="auto"/>
          <w:kern w:val="0"/>
          <w:sz w:val="24"/>
          <w:szCs w:val="24"/>
          <w:highlight w:val="none"/>
        </w:rPr>
        <w:t>、</w:t>
      </w:r>
      <w:r>
        <w:rPr>
          <w:rFonts w:hint="eastAsia" w:ascii="仿宋" w:hAnsi="仿宋" w:eastAsia="仿宋" w:cs="仿宋"/>
          <w:b/>
          <w:bCs/>
          <w:color w:val="auto"/>
          <w:kern w:val="0"/>
          <w:sz w:val="24"/>
          <w:szCs w:val="24"/>
          <w:highlight w:val="none"/>
          <w:lang w:eastAsia="zh-CN"/>
        </w:rPr>
        <w:t>合同</w:t>
      </w:r>
      <w:r>
        <w:rPr>
          <w:rFonts w:hint="eastAsia" w:ascii="仿宋" w:hAnsi="仿宋" w:eastAsia="仿宋" w:cs="仿宋"/>
          <w:b/>
          <w:bCs/>
          <w:color w:val="auto"/>
          <w:kern w:val="0"/>
          <w:sz w:val="24"/>
          <w:szCs w:val="24"/>
          <w:highlight w:val="none"/>
        </w:rPr>
        <w:t>结算</w:t>
      </w:r>
    </w:p>
    <w:p>
      <w:pPr>
        <w:snapToGrid w:val="0"/>
        <w:spacing w:line="360" w:lineRule="auto"/>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（一）合同款的支付：以甲乙双方最终签订的合同为准。</w:t>
      </w:r>
    </w:p>
    <w:p>
      <w:pPr>
        <w:snapToGrid w:val="0"/>
        <w:spacing w:line="360" w:lineRule="auto"/>
        <w:textAlignment w:val="baseline"/>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（二）支付方式：银行转账</w:t>
      </w: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lang w:val="zh-CN" w:eastAsia="zh-CN"/>
        </w:rPr>
        <w:t>乙方在接受每次付款前，开具等额发票给甲方。</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（三）</w:t>
      </w:r>
      <w:r>
        <w:rPr>
          <w:rFonts w:hint="eastAsia" w:ascii="仿宋" w:hAnsi="仿宋" w:eastAsia="仿宋" w:cs="仿宋"/>
          <w:color w:val="auto"/>
          <w:sz w:val="24"/>
          <w:szCs w:val="24"/>
          <w:highlight w:val="none"/>
        </w:rPr>
        <w:t>付款方</w:t>
      </w:r>
      <w:r>
        <w:rPr>
          <w:rFonts w:hint="eastAsia" w:ascii="仿宋" w:hAnsi="仿宋" w:eastAsia="仿宋" w:cs="仿宋"/>
          <w:color w:val="auto"/>
          <w:kern w:val="0"/>
          <w:sz w:val="24"/>
          <w:szCs w:val="24"/>
          <w:highlight w:val="none"/>
        </w:rPr>
        <w:t>式：</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1、服务费用分三次支付，合同签订且供应商开具增值税正式发票后的10个工作日内，以银行转账形式向其支付本合同总费用的60%；</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2、2024年11月供应商提供阶段性结案报告，经市委网信办验收合格出具验收报告后，开具增值税正式发票后的10个工作日内，以银行转账形式向其支付本合同总费用的20%；</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3、合作结束后供应商提供结案报告，经市委网信办验收合格出具验收报告和绩效目标后30个工作日内，向供应商支付剩余20%尾款。</w:t>
      </w:r>
    </w:p>
    <w:p>
      <w:pPr>
        <w:snapToGrid w:val="0"/>
        <w:spacing w:line="360" w:lineRule="auto"/>
        <w:textAlignment w:val="baseline"/>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lang w:eastAsia="zh-CN"/>
        </w:rPr>
        <w:t>五</w:t>
      </w:r>
      <w:r>
        <w:rPr>
          <w:rFonts w:hint="eastAsia" w:ascii="仿宋" w:hAnsi="仿宋" w:eastAsia="仿宋" w:cs="仿宋"/>
          <w:b/>
          <w:bCs/>
          <w:color w:val="auto"/>
          <w:kern w:val="0"/>
          <w:sz w:val="24"/>
          <w:szCs w:val="24"/>
          <w:highlight w:val="none"/>
        </w:rPr>
        <w:t>、服务地点及服务期</w:t>
      </w:r>
    </w:p>
    <w:p>
      <w:pPr>
        <w:snapToGrid w:val="0"/>
        <w:spacing w:line="360" w:lineRule="auto"/>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（一）服务地点：采购人指定地点。</w:t>
      </w:r>
    </w:p>
    <w:p>
      <w:pPr>
        <w:snapToGrid w:val="0"/>
        <w:spacing w:line="360" w:lineRule="auto"/>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（二）服务期：合同签订之日起至2025年3月</w:t>
      </w:r>
    </w:p>
    <w:p>
      <w:pPr>
        <w:snapToGrid w:val="0"/>
        <w:spacing w:line="360" w:lineRule="auto"/>
        <w:textAlignment w:val="baseline"/>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lang w:eastAsia="zh-CN"/>
        </w:rPr>
        <w:t>六</w:t>
      </w:r>
      <w:r>
        <w:rPr>
          <w:rFonts w:hint="eastAsia" w:ascii="仿宋" w:hAnsi="仿宋" w:eastAsia="仿宋" w:cs="仿宋"/>
          <w:b/>
          <w:bCs/>
          <w:color w:val="auto"/>
          <w:kern w:val="0"/>
          <w:sz w:val="24"/>
          <w:szCs w:val="24"/>
          <w:highlight w:val="none"/>
        </w:rPr>
        <w:t>、双方的权利和义务</w:t>
      </w:r>
    </w:p>
    <w:p>
      <w:pPr>
        <w:snapToGrid w:val="0"/>
        <w:spacing w:line="360" w:lineRule="auto"/>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（一）甲方的权利和义务：</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1.甲方负责监督和协调其下属单位严格执行本协议条款，并在项目实施过程中积极主动的紧密配合乙方工作，确保合作内容顺利实施。</w:t>
      </w:r>
    </w:p>
    <w:p>
      <w:pPr>
        <w:pStyle w:val="11"/>
        <w:spacing w:line="520" w:lineRule="exact"/>
        <w:ind w:left="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eastAsia="zh-CN"/>
        </w:rPr>
        <w:t>.当发生故障时，甲方应为乙方工作人员出入机房提供方便，积极支持并配合乙方人员对设备进行例行巡检及紧急检修。</w:t>
      </w:r>
    </w:p>
    <w:p>
      <w:pPr>
        <w:spacing w:line="52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（二）乙方的权利和义务：</w:t>
      </w:r>
    </w:p>
    <w:p>
      <w:pPr>
        <w:pStyle w:val="11"/>
        <w:spacing w:line="520" w:lineRule="exact"/>
        <w:ind w:left="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1.乙方负责提供履行本协议涉及的服务所需的基础网络支持，并确保本协议内各项服务的正常进行。</w:t>
      </w:r>
    </w:p>
    <w:p>
      <w:pPr>
        <w:pStyle w:val="11"/>
        <w:spacing w:line="520" w:lineRule="exact"/>
        <w:ind w:left="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2.乙方负责提供通信网络以及相应的网络接口和通信技术支持，确保通信传输的通畅，确保传输数据的准确性。</w:t>
      </w:r>
    </w:p>
    <w:p>
      <w:pPr>
        <w:pStyle w:val="11"/>
        <w:spacing w:line="520" w:lineRule="exact"/>
        <w:ind w:left="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3.对于列入本协议中的各项服务，乙方有义务向甲方提供优质的网络服务和客户服务。</w:t>
      </w:r>
    </w:p>
    <w:p>
      <w:pPr>
        <w:snapToGri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七</w:t>
      </w:r>
      <w:r>
        <w:rPr>
          <w:rFonts w:hint="eastAsia" w:ascii="仿宋" w:hAnsi="仿宋" w:eastAsia="仿宋" w:cs="仿宋"/>
          <w:b/>
          <w:bCs/>
          <w:color w:val="auto"/>
          <w:sz w:val="24"/>
          <w:szCs w:val="24"/>
          <w:highlight w:val="none"/>
        </w:rPr>
        <w:t>、其它事项</w:t>
      </w:r>
    </w:p>
    <w:p>
      <w:pPr>
        <w:numPr>
          <w:ilvl w:val="0"/>
          <w:numId w:val="0"/>
        </w:numPr>
        <w:snapToGrid w:val="0"/>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一</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kern w:val="0"/>
          <w:sz w:val="24"/>
          <w:szCs w:val="24"/>
          <w:highlight w:val="none"/>
          <w:lang w:val="en-US" w:eastAsia="zh-CN" w:bidi="ar-SA"/>
        </w:rPr>
        <w:t>服务期内，7*24小时响应，发生质量问题，投标供应商自接到采购方通知后，1小时内响应，应于 2小时内派出专业的维修人员到现场进行检测维修，4小时内完成修复，发生的全部费用由供应商承担。</w:t>
      </w:r>
    </w:p>
    <w:p>
      <w:pPr>
        <w:numPr>
          <w:ilvl w:val="0"/>
          <w:numId w:val="0"/>
        </w:numPr>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二</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乙方不得转让、分包给其它单位或个人。</w:t>
      </w:r>
    </w:p>
    <w:p>
      <w:pPr>
        <w:numPr>
          <w:ilvl w:val="0"/>
          <w:numId w:val="0"/>
        </w:numPr>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三</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乙方的响应文件和承诺等内容将列入合同。</w:t>
      </w:r>
    </w:p>
    <w:p>
      <w:pPr>
        <w:snapToGri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八</w:t>
      </w:r>
      <w:r>
        <w:rPr>
          <w:rFonts w:hint="eastAsia" w:ascii="仿宋" w:hAnsi="仿宋" w:eastAsia="仿宋" w:cs="仿宋"/>
          <w:b/>
          <w:bCs/>
          <w:color w:val="auto"/>
          <w:sz w:val="24"/>
          <w:szCs w:val="24"/>
          <w:highlight w:val="none"/>
        </w:rPr>
        <w:t>、合同的解除</w:t>
      </w:r>
    </w:p>
    <w:p>
      <w:pPr>
        <w:snapToGri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t>如出现以下情形之一的，甲方有权单方解除合同，并要求乙方承担违约责任：</w:t>
      </w:r>
    </w:p>
    <w:p>
      <w:pPr>
        <w:numPr>
          <w:ilvl w:val="0"/>
          <w:numId w:val="2"/>
        </w:numPr>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乙方或</w:t>
      </w:r>
      <w:r>
        <w:rPr>
          <w:rFonts w:hint="eastAsia" w:ascii="仿宋" w:hAnsi="仿宋" w:eastAsia="仿宋" w:cs="仿宋"/>
          <w:color w:val="auto"/>
          <w:sz w:val="24"/>
          <w:szCs w:val="24"/>
          <w:highlight w:val="none"/>
          <w:lang w:val="en-GB"/>
        </w:rPr>
        <w:t>安保</w:t>
      </w:r>
      <w:r>
        <w:rPr>
          <w:rFonts w:hint="eastAsia" w:ascii="仿宋" w:hAnsi="仿宋" w:eastAsia="仿宋" w:cs="仿宋"/>
          <w:color w:val="auto"/>
          <w:sz w:val="24"/>
          <w:szCs w:val="24"/>
          <w:highlight w:val="none"/>
        </w:rPr>
        <w:t>人员造成甲方人员或第三人人身伤害或其他安全事故的；</w:t>
      </w:r>
    </w:p>
    <w:p>
      <w:pPr>
        <w:numPr>
          <w:ilvl w:val="0"/>
          <w:numId w:val="2"/>
        </w:numPr>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乙方违反约定，或不能完成甲方指定的工作任务，经甲方指出后五个工作日内仍未改正的。</w:t>
      </w:r>
    </w:p>
    <w:p>
      <w:pPr>
        <w:numPr>
          <w:ilvl w:val="0"/>
          <w:numId w:val="2"/>
        </w:numPr>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本合同约定属于乙方的义务，但乙方未按合同履行的其他情形。</w:t>
      </w:r>
    </w:p>
    <w:p>
      <w:pPr>
        <w:snapToGri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九</w:t>
      </w:r>
      <w:r>
        <w:rPr>
          <w:rFonts w:hint="eastAsia" w:ascii="仿宋" w:hAnsi="仿宋" w:eastAsia="仿宋" w:cs="仿宋"/>
          <w:b/>
          <w:bCs/>
          <w:color w:val="auto"/>
          <w:sz w:val="24"/>
          <w:szCs w:val="24"/>
          <w:highlight w:val="none"/>
        </w:rPr>
        <w:t>、违约责任</w:t>
      </w:r>
    </w:p>
    <w:p>
      <w:pPr>
        <w:snapToGri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t>（一）按《</w:t>
      </w:r>
      <w:r>
        <w:rPr>
          <w:rFonts w:hint="eastAsia" w:ascii="仿宋" w:hAnsi="仿宋" w:eastAsia="仿宋" w:cs="仿宋"/>
          <w:color w:val="auto"/>
          <w:sz w:val="24"/>
          <w:szCs w:val="24"/>
          <w:highlight w:val="none"/>
          <w:lang w:val="en-US" w:eastAsia="zh-CN"/>
        </w:rPr>
        <w:t>中华人民共和国民法典</w:t>
      </w:r>
      <w:r>
        <w:rPr>
          <w:rFonts w:hint="eastAsia" w:ascii="仿宋" w:hAnsi="仿宋" w:eastAsia="仿宋" w:cs="仿宋"/>
          <w:color w:val="auto"/>
          <w:sz w:val="24"/>
          <w:szCs w:val="24"/>
          <w:highlight w:val="none"/>
        </w:rPr>
        <w:t>》中的相关条款执行。</w:t>
      </w:r>
    </w:p>
    <w:p>
      <w:pPr>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（二）未按合同要求提供服务或服务质量不能满足本次</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rPr>
        <w:t>要求，甲方有权终止合同，并要求乙方承担违约责任。</w:t>
      </w:r>
    </w:p>
    <w:p>
      <w:pPr>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（三）供应商的响应文件为签订正式书面合同书不可分割的部分，供应商应履行相应的责任。</w:t>
      </w:r>
    </w:p>
    <w:p>
      <w:pPr>
        <w:snapToGri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十</w:t>
      </w:r>
      <w:r>
        <w:rPr>
          <w:rFonts w:hint="eastAsia" w:ascii="仿宋" w:hAnsi="仿宋" w:eastAsia="仿宋" w:cs="仿宋"/>
          <w:b/>
          <w:bCs/>
          <w:color w:val="auto"/>
          <w:sz w:val="24"/>
          <w:szCs w:val="24"/>
          <w:highlight w:val="none"/>
        </w:rPr>
        <w:t>、保密</w:t>
      </w:r>
    </w:p>
    <w:p>
      <w:pPr>
        <w:snapToGrid w:val="0"/>
        <w:spacing w:line="360" w:lineRule="auto"/>
        <w:ind w:firstLine="480" w:firstLineChars="200"/>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t>乙方对于履行本合同所获悉的属于甲方的且无法自公开渠道获得的文件及资料予以保密。未经甲方同意的，乙方不得向任何第三方泄露该资料或文件的全部或部分内容。乙方的保密义务不受本合同的终止或解除的影响。</w:t>
      </w:r>
    </w:p>
    <w:p>
      <w:pPr>
        <w:snapToGri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十一</w:t>
      </w:r>
      <w:r>
        <w:rPr>
          <w:rFonts w:hint="eastAsia" w:ascii="仿宋" w:hAnsi="仿宋" w:eastAsia="仿宋" w:cs="仿宋"/>
          <w:b/>
          <w:bCs/>
          <w:color w:val="auto"/>
          <w:sz w:val="24"/>
          <w:szCs w:val="24"/>
          <w:highlight w:val="none"/>
        </w:rPr>
        <w:t>、合同争议解决的方式</w:t>
      </w:r>
    </w:p>
    <w:p>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本合同在履行过程中发生的争议，由甲、乙双方当事人协商解决，协商不成，依法向甲方所在地人民法院提起诉讼。</w:t>
      </w:r>
    </w:p>
    <w:p>
      <w:pPr>
        <w:autoSpaceDE w:val="0"/>
        <w:autoSpaceDN w:val="0"/>
        <w:adjustRightIn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十</w:t>
      </w:r>
      <w:r>
        <w:rPr>
          <w:rFonts w:hint="eastAsia" w:ascii="仿宋" w:hAnsi="仿宋" w:eastAsia="仿宋" w:cs="仿宋"/>
          <w:b/>
          <w:bCs/>
          <w:color w:val="auto"/>
          <w:sz w:val="24"/>
          <w:szCs w:val="24"/>
          <w:highlight w:val="none"/>
          <w:lang w:eastAsia="zh-CN"/>
        </w:rPr>
        <w:t>二</w:t>
      </w:r>
      <w:r>
        <w:rPr>
          <w:rFonts w:hint="eastAsia" w:ascii="仿宋" w:hAnsi="仿宋" w:eastAsia="仿宋" w:cs="仿宋"/>
          <w:b/>
          <w:bCs/>
          <w:color w:val="auto"/>
          <w:sz w:val="24"/>
          <w:szCs w:val="24"/>
          <w:highlight w:val="none"/>
        </w:rPr>
        <w:t>、合同生效</w:t>
      </w:r>
    </w:p>
    <w:p>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（一）本合同须经甲、乙双方的法定代表人（委托代理人）在合同书上签字并加盖本单位公章后正式生效。</w:t>
      </w:r>
    </w:p>
    <w:p>
      <w:pPr>
        <w:autoSpaceDE w:val="0"/>
        <w:autoSpaceDN w:val="0"/>
        <w:adjustRightIn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（二）合同生效后，甲、乙双方须严格执行本合同条款的规定，全面履行合同，违者按《中华人民共和国</w:t>
      </w:r>
      <w:r>
        <w:rPr>
          <w:rFonts w:hint="eastAsia" w:ascii="仿宋" w:hAnsi="仿宋" w:eastAsia="仿宋" w:cs="仿宋"/>
          <w:color w:val="auto"/>
          <w:sz w:val="24"/>
          <w:szCs w:val="24"/>
          <w:highlight w:val="none"/>
          <w:lang w:eastAsia="zh-CN"/>
        </w:rPr>
        <w:t>民法典</w:t>
      </w:r>
      <w:r>
        <w:rPr>
          <w:rFonts w:hint="eastAsia" w:ascii="仿宋" w:hAnsi="仿宋" w:eastAsia="仿宋" w:cs="仿宋"/>
          <w:color w:val="auto"/>
          <w:sz w:val="24"/>
          <w:szCs w:val="24"/>
          <w:highlight w:val="none"/>
        </w:rPr>
        <w:t>》的有关规定承担相应责任。</w:t>
      </w:r>
    </w:p>
    <w:p>
      <w:pPr>
        <w:autoSpaceDE w:val="0"/>
        <w:autoSpaceDN w:val="0"/>
        <w:adjustRightIn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（三）本合同一式</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份，甲乙双方各执</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w:t>
      </w:r>
    </w:p>
    <w:p>
      <w:pPr>
        <w:autoSpaceDE w:val="0"/>
        <w:autoSpaceDN w:val="0"/>
        <w:adjustRightIn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（四）本合同如有未尽事宜，甲、乙双方协商解决。</w:t>
      </w:r>
    </w:p>
    <w:p>
      <w:pPr>
        <w:pStyle w:val="4"/>
        <w:rPr>
          <w:rFonts w:hint="eastAsia" w:ascii="仿宋" w:hAnsi="仿宋" w:eastAsia="仿宋" w:cs="仿宋"/>
          <w:color w:val="auto"/>
          <w:sz w:val="24"/>
          <w:szCs w:val="24"/>
          <w:highlight w:val="none"/>
        </w:rPr>
      </w:pPr>
    </w:p>
    <w:p>
      <w:pPr>
        <w:pStyle w:val="4"/>
        <w:rPr>
          <w:rFonts w:hint="eastAsia" w:ascii="仿宋" w:hAnsi="仿宋" w:eastAsia="仿宋" w:cs="仿宋"/>
          <w:color w:val="auto"/>
          <w:sz w:val="24"/>
          <w:szCs w:val="24"/>
          <w:highlight w:val="none"/>
        </w:rPr>
      </w:pPr>
    </w:p>
    <w:tbl>
      <w:tblPr>
        <w:tblStyle w:val="8"/>
        <w:tblpPr w:leftFromText="180" w:rightFromText="180" w:vertAnchor="text" w:horzAnchor="page" w:tblpX="1937" w:tblpY="99"/>
        <w:tblOverlap w:val="never"/>
        <w:tblW w:w="8403" w:type="dxa"/>
        <w:tblInd w:w="0" w:type="dxa"/>
        <w:tblLayout w:type="fixed"/>
        <w:tblCellMar>
          <w:top w:w="0" w:type="dxa"/>
          <w:left w:w="108" w:type="dxa"/>
          <w:bottom w:w="0" w:type="dxa"/>
          <w:right w:w="108" w:type="dxa"/>
        </w:tblCellMar>
      </w:tblPr>
      <w:tblGrid>
        <w:gridCol w:w="4201"/>
        <w:gridCol w:w="4202"/>
      </w:tblGrid>
      <w:tr>
        <w:tblPrEx>
          <w:tblCellMar>
            <w:top w:w="0" w:type="dxa"/>
            <w:left w:w="108" w:type="dxa"/>
            <w:bottom w:w="0" w:type="dxa"/>
            <w:right w:w="108" w:type="dxa"/>
          </w:tblCellMar>
        </w:tblPrEx>
        <w:trPr>
          <w:trHeight w:val="484" w:hRule="exact"/>
        </w:trPr>
        <w:tc>
          <w:tcPr>
            <w:tcW w:w="4201" w:type="dxa"/>
            <w:noWrap w:val="0"/>
            <w:vAlign w:val="center"/>
          </w:tcPr>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  方</w:t>
            </w:r>
          </w:p>
        </w:tc>
        <w:tc>
          <w:tcPr>
            <w:tcW w:w="4202" w:type="dxa"/>
            <w:noWrap w:val="0"/>
            <w:vAlign w:val="center"/>
          </w:tcPr>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  方</w:t>
            </w:r>
          </w:p>
        </w:tc>
      </w:tr>
      <w:tr>
        <w:tblPrEx>
          <w:tblCellMar>
            <w:top w:w="0" w:type="dxa"/>
            <w:left w:w="108" w:type="dxa"/>
            <w:bottom w:w="0" w:type="dxa"/>
            <w:right w:w="108" w:type="dxa"/>
          </w:tblCellMar>
        </w:tblPrEx>
        <w:trPr>
          <w:trHeight w:val="467" w:hRule="exact"/>
        </w:trPr>
        <w:tc>
          <w:tcPr>
            <w:tcW w:w="4201" w:type="dxa"/>
            <w:noWrap w:val="0"/>
            <w:vAlign w:val="center"/>
          </w:tcPr>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tc>
        <w:tc>
          <w:tcPr>
            <w:tcW w:w="4202" w:type="dxa"/>
            <w:noWrap w:val="0"/>
            <w:vAlign w:val="center"/>
          </w:tcPr>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tc>
      </w:tr>
      <w:tr>
        <w:tblPrEx>
          <w:tblCellMar>
            <w:top w:w="0" w:type="dxa"/>
            <w:left w:w="108" w:type="dxa"/>
            <w:bottom w:w="0" w:type="dxa"/>
            <w:right w:w="108" w:type="dxa"/>
          </w:tblCellMar>
        </w:tblPrEx>
        <w:trPr>
          <w:trHeight w:val="501" w:hRule="exact"/>
        </w:trPr>
        <w:tc>
          <w:tcPr>
            <w:tcW w:w="4201" w:type="dxa"/>
            <w:noWrap w:val="0"/>
            <w:vAlign w:val="center"/>
          </w:tcPr>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地址： </w:t>
            </w:r>
          </w:p>
        </w:tc>
        <w:tc>
          <w:tcPr>
            <w:tcW w:w="4202" w:type="dxa"/>
            <w:noWrap w:val="0"/>
            <w:vAlign w:val="center"/>
          </w:tcPr>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p>
        </w:tc>
      </w:tr>
      <w:tr>
        <w:tblPrEx>
          <w:tblCellMar>
            <w:top w:w="0" w:type="dxa"/>
            <w:left w:w="108" w:type="dxa"/>
            <w:bottom w:w="0" w:type="dxa"/>
            <w:right w:w="108" w:type="dxa"/>
          </w:tblCellMar>
        </w:tblPrEx>
        <w:trPr>
          <w:trHeight w:val="450" w:hRule="exact"/>
        </w:trPr>
        <w:tc>
          <w:tcPr>
            <w:tcW w:w="4201" w:type="dxa"/>
            <w:noWrap w:val="0"/>
            <w:vAlign w:val="center"/>
          </w:tcPr>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tc>
        <w:tc>
          <w:tcPr>
            <w:tcW w:w="4202" w:type="dxa"/>
            <w:noWrap w:val="0"/>
            <w:vAlign w:val="center"/>
          </w:tcPr>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tc>
      </w:tr>
      <w:tr>
        <w:tblPrEx>
          <w:tblCellMar>
            <w:top w:w="0" w:type="dxa"/>
            <w:left w:w="108" w:type="dxa"/>
            <w:bottom w:w="0" w:type="dxa"/>
            <w:right w:w="108" w:type="dxa"/>
          </w:tblCellMar>
        </w:tblPrEx>
        <w:trPr>
          <w:trHeight w:val="533" w:hRule="exact"/>
        </w:trPr>
        <w:tc>
          <w:tcPr>
            <w:tcW w:w="4201" w:type="dxa"/>
            <w:noWrap w:val="0"/>
            <w:vAlign w:val="center"/>
          </w:tcPr>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 </w:t>
            </w:r>
          </w:p>
        </w:tc>
        <w:tc>
          <w:tcPr>
            <w:tcW w:w="4202" w:type="dxa"/>
            <w:noWrap w:val="0"/>
            <w:vAlign w:val="center"/>
          </w:tcPr>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r>
      <w:tr>
        <w:tblPrEx>
          <w:tblCellMar>
            <w:top w:w="0" w:type="dxa"/>
            <w:left w:w="108" w:type="dxa"/>
            <w:bottom w:w="0" w:type="dxa"/>
            <w:right w:w="108" w:type="dxa"/>
          </w:tblCellMar>
        </w:tblPrEx>
        <w:trPr>
          <w:trHeight w:val="533" w:hRule="exact"/>
        </w:trPr>
        <w:tc>
          <w:tcPr>
            <w:tcW w:w="4201" w:type="dxa"/>
            <w:noWrap w:val="0"/>
            <w:vAlign w:val="center"/>
          </w:tcPr>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p>
        </w:tc>
        <w:tc>
          <w:tcPr>
            <w:tcW w:w="4202" w:type="dxa"/>
            <w:noWrap w:val="0"/>
            <w:vAlign w:val="center"/>
          </w:tcPr>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p>
        </w:tc>
      </w:tr>
      <w:tr>
        <w:tblPrEx>
          <w:tblCellMar>
            <w:top w:w="0" w:type="dxa"/>
            <w:left w:w="108" w:type="dxa"/>
            <w:bottom w:w="0" w:type="dxa"/>
            <w:right w:w="108" w:type="dxa"/>
          </w:tblCellMar>
        </w:tblPrEx>
        <w:trPr>
          <w:trHeight w:val="500" w:hRule="exact"/>
        </w:trPr>
        <w:tc>
          <w:tcPr>
            <w:tcW w:w="4201" w:type="dxa"/>
            <w:noWrap w:val="0"/>
            <w:vAlign w:val="center"/>
          </w:tcPr>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c>
          <w:tcPr>
            <w:tcW w:w="4202" w:type="dxa"/>
            <w:noWrap w:val="0"/>
            <w:vAlign w:val="center"/>
          </w:tcPr>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r>
      <w:tr>
        <w:tblPrEx>
          <w:tblCellMar>
            <w:top w:w="0" w:type="dxa"/>
            <w:left w:w="108" w:type="dxa"/>
            <w:bottom w:w="0" w:type="dxa"/>
            <w:right w:w="108" w:type="dxa"/>
          </w:tblCellMar>
        </w:tblPrEx>
        <w:trPr>
          <w:trHeight w:val="467" w:hRule="exact"/>
        </w:trPr>
        <w:tc>
          <w:tcPr>
            <w:tcW w:w="4201" w:type="dxa"/>
            <w:noWrap w:val="0"/>
            <w:vAlign w:val="center"/>
          </w:tcPr>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p>
        </w:tc>
        <w:tc>
          <w:tcPr>
            <w:tcW w:w="4202" w:type="dxa"/>
            <w:noWrap w:val="0"/>
            <w:vAlign w:val="center"/>
          </w:tcPr>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p>
        </w:tc>
      </w:tr>
      <w:tr>
        <w:tblPrEx>
          <w:tblCellMar>
            <w:top w:w="0" w:type="dxa"/>
            <w:left w:w="108" w:type="dxa"/>
            <w:bottom w:w="0" w:type="dxa"/>
            <w:right w:w="108" w:type="dxa"/>
          </w:tblCellMar>
        </w:tblPrEx>
        <w:trPr>
          <w:trHeight w:val="567" w:hRule="exact"/>
        </w:trPr>
        <w:tc>
          <w:tcPr>
            <w:tcW w:w="4201" w:type="dxa"/>
            <w:noWrap w:val="0"/>
            <w:vAlign w:val="center"/>
          </w:tcPr>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tc>
        <w:tc>
          <w:tcPr>
            <w:tcW w:w="4202" w:type="dxa"/>
            <w:noWrap w:val="0"/>
            <w:vAlign w:val="center"/>
          </w:tcPr>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tc>
      </w:tr>
      <w:tr>
        <w:tblPrEx>
          <w:tblCellMar>
            <w:top w:w="0" w:type="dxa"/>
            <w:left w:w="108" w:type="dxa"/>
            <w:bottom w:w="0" w:type="dxa"/>
            <w:right w:w="108" w:type="dxa"/>
          </w:tblCellMar>
        </w:tblPrEx>
        <w:trPr>
          <w:trHeight w:val="567" w:hRule="exact"/>
        </w:trPr>
        <w:tc>
          <w:tcPr>
            <w:tcW w:w="4201" w:type="dxa"/>
            <w:noWrap w:val="0"/>
            <w:vAlign w:val="center"/>
          </w:tcPr>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p>
        </w:tc>
        <w:tc>
          <w:tcPr>
            <w:tcW w:w="4202" w:type="dxa"/>
            <w:noWrap w:val="0"/>
            <w:vAlign w:val="center"/>
          </w:tcPr>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p>
        </w:tc>
      </w:tr>
    </w:tbl>
    <w:p>
      <w:pPr>
        <w:keepNext/>
        <w:keepLines w:val="0"/>
        <w:pageBreakBefore w:val="0"/>
        <w:widowControl w:val="0"/>
        <w:numPr>
          <w:ilvl w:val="0"/>
          <w:numId w:val="0"/>
        </w:numPr>
        <w:kinsoku/>
        <w:wordWrap/>
        <w:overflowPunct/>
        <w:topLinePunct w:val="0"/>
        <w:autoSpaceDE/>
        <w:autoSpaceDN/>
        <w:bidi w:val="0"/>
        <w:adjustRightInd/>
        <w:snapToGrid/>
        <w:jc w:val="both"/>
        <w:textAlignment w:val="auto"/>
        <w:outlineLvl w:val="9"/>
        <w:rPr>
          <w:rFonts w:hint="eastAsia" w:ascii="仿宋" w:hAnsi="仿宋" w:eastAsia="仿宋" w:cs="仿宋"/>
          <w:bCs/>
          <w:color w:val="auto"/>
          <w:sz w:val="36"/>
          <w:szCs w:val="36"/>
          <w:highlight w:val="none"/>
        </w:rPr>
      </w:pPr>
    </w:p>
    <w:p>
      <w:pPr>
        <w:rPr>
          <w:rFonts w:hint="eastAsia" w:ascii="仿宋" w:hAnsi="仿宋" w:eastAsia="仿宋" w:cs="仿宋"/>
          <w:color w:val="auto"/>
          <w:highlight w:val="none"/>
        </w:rPr>
      </w:pPr>
    </w:p>
    <w:p/>
    <w:sectPr>
      <w:footerReference r:id="rId3" w:type="default"/>
      <w:pgSz w:w="11906" w:h="16838"/>
      <w:pgMar w:top="1417" w:right="1417" w:bottom="1417" w:left="141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7FEC3C"/>
    <w:multiLevelType w:val="singleLevel"/>
    <w:tmpl w:val="9C7FEC3C"/>
    <w:lvl w:ilvl="0" w:tentative="0">
      <w:start w:val="1"/>
      <w:numFmt w:val="chineseCounting"/>
      <w:suff w:val="nothing"/>
      <w:lvlText w:val="%1、"/>
      <w:lvlJc w:val="left"/>
      <w:rPr>
        <w:rFonts w:hint="eastAsia"/>
      </w:rPr>
    </w:lvl>
  </w:abstractNum>
  <w:abstractNum w:abstractNumId="1">
    <w:nsid w:val="526D9AA0"/>
    <w:multiLevelType w:val="singleLevel"/>
    <w:tmpl w:val="526D9AA0"/>
    <w:lvl w:ilvl="0" w:tentative="0">
      <w:start w:val="1"/>
      <w:numFmt w:val="chineseCounting"/>
      <w:suff w:val="space"/>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yM2M2YjllNjViZDEzZjM3MzcxMGY5NWM3ODdhNjkifQ=="/>
  </w:docVars>
  <w:rsids>
    <w:rsidRoot w:val="00000000"/>
    <w:rsid w:val="7DCF5E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4"/>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spacing w:line="300" w:lineRule="auto"/>
      <w:ind w:firstLine="420" w:firstLineChars="200"/>
    </w:pPr>
    <w:rPr>
      <w:rFonts w:ascii="Times New Roman"/>
      <w:kern w:val="2"/>
      <w:sz w:val="21"/>
      <w:szCs w:val="24"/>
    </w:rPr>
  </w:style>
  <w:style w:type="paragraph" w:styleId="5">
    <w:name w:val="toc 4"/>
    <w:basedOn w:val="1"/>
    <w:next w:val="1"/>
    <w:unhideWhenUsed/>
    <w:qFormat/>
    <w:uiPriority w:val="39"/>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0">
    <w:name w:val="列出段落1"/>
    <w:basedOn w:val="1"/>
    <w:autoRedefine/>
    <w:qFormat/>
    <w:uiPriority w:val="0"/>
    <w:pPr>
      <w:ind w:firstLine="420" w:firstLineChars="200"/>
    </w:pPr>
  </w:style>
  <w:style w:type="paragraph" w:styleId="11">
    <w:name w:val="List Paragraph"/>
    <w:basedOn w:val="1"/>
    <w:autoRedefine/>
    <w:qFormat/>
    <w:uiPriority w:val="34"/>
    <w:pPr>
      <w:ind w:firstLine="420" w:firstLineChars="200"/>
    </w:pPr>
    <w:rPr>
      <w:rFonts w:ascii="Calibri" w:hAnsi="Calibri"/>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aaa</dc:creator>
  <cp:lastModifiedBy>aaa</cp:lastModifiedBy>
  <dcterms:modified xsi:type="dcterms:W3CDTF">2024-05-31T08:20:32Z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4F7B3BD6C8FD48A5BFF2E0CD52BADB08_12</vt:lpwstr>
  </property>
</Properties>
</file>