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2024年-2025年“网观西安（网信西安）”新媒体矩阵运维服务</w:t>
      </w:r>
    </w:p>
    <w:p>
      <w:pPr>
        <w:pStyle w:val="null3"/>
        <w:jc w:val="center"/>
        <w:outlineLvl w:val="2"/>
      </w:pPr>
      <w:r>
        <w:rPr>
          <w:sz w:val="28"/>
          <w:b/>
        </w:rPr>
        <w:t>采购项目编号：</w:t>
      </w:r>
      <w:r>
        <w:rPr>
          <w:sz w:val="28"/>
          <w:b/>
        </w:rPr>
        <w:t>HXGJXM2024-ZC-CS1032</w:t>
      </w:r>
      <w:r>
        <w:br/>
      </w:r>
      <w:r>
        <w:br/>
      </w:r>
      <w:r>
        <w:br/>
      </w:r>
    </w:p>
    <w:p>
      <w:pPr>
        <w:pStyle w:val="null3"/>
        <w:jc w:val="center"/>
        <w:outlineLvl w:val="2"/>
      </w:pPr>
      <w:r>
        <w:rPr>
          <w:sz w:val="28"/>
          <w:b/>
        </w:rPr>
        <w:t>中共西安市委网络安全和信息化委员会办公室</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华夏国际项目管理有限公司</w:t>
      </w:r>
      <w:r>
        <w:rPr/>
        <w:t>（以下简称“代理机构”）受</w:t>
      </w:r>
      <w:r>
        <w:rPr/>
        <w:t>中共西安市委网络安全和信息化委员会办公室</w:t>
      </w:r>
      <w:r>
        <w:rPr/>
        <w:t>委托，拟对</w:t>
      </w:r>
      <w:r>
        <w:rPr/>
        <w:t>2024年-2025年“网观西安（网信西安）”新媒体矩阵运维服务</w:t>
      </w:r>
      <w:r>
        <w:rPr/>
        <w:t>采用竞争性磋商采购方式进行采购，兹邀请供应商参加本项目的竞争性磋商。</w:t>
      </w:r>
    </w:p>
    <w:p>
      <w:pPr>
        <w:pStyle w:val="null3"/>
        <w:outlineLvl w:val="2"/>
      </w:pPr>
      <w:r>
        <w:rPr>
          <w:sz w:val="28"/>
          <w:b/>
        </w:rPr>
        <w:t>一、项目编号：</w:t>
      </w:r>
      <w:r>
        <w:rPr>
          <w:sz w:val="28"/>
          <w:b/>
        </w:rPr>
        <w:t>HXGJXM2024-ZC-CS1032</w:t>
      </w:r>
    </w:p>
    <w:p>
      <w:pPr>
        <w:pStyle w:val="null3"/>
        <w:outlineLvl w:val="2"/>
      </w:pPr>
      <w:r>
        <w:rPr>
          <w:sz w:val="28"/>
          <w:b/>
        </w:rPr>
        <w:t>二、项目名称：</w:t>
      </w:r>
      <w:r>
        <w:rPr>
          <w:sz w:val="28"/>
          <w:b/>
        </w:rPr>
        <w:t>2024年-2025年“网观西安（网信西安）”新媒体矩阵运维服务</w:t>
      </w:r>
    </w:p>
    <w:p>
      <w:pPr>
        <w:pStyle w:val="null3"/>
        <w:outlineLvl w:val="2"/>
      </w:pPr>
      <w:r>
        <w:rPr>
          <w:sz w:val="28"/>
          <w:b/>
        </w:rPr>
        <w:t>三、磋商项目简介</w:t>
      </w:r>
    </w:p>
    <w:p>
      <w:pPr>
        <w:pStyle w:val="null3"/>
        <w:ind w:firstLine="480"/>
      </w:pPr>
      <w:r>
        <w:rPr/>
        <w:t>2024年-2025年“网观西安（网信西安）”新媒体矩阵运维服务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采购包1（2024年-2025年“网观西安（网信西安）”新媒体矩阵运维服务）：属于专门面向中小企业采购。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1、法定代表人授权书：法定代表人授权书（附法定代表人、被授权人身份证复印件；法定代表人直接参加磋商，须提供法定代表人身份证明）</w:t>
      </w:r>
    </w:p>
    <w:p>
      <w:pPr>
        <w:pStyle w:val="null3"/>
      </w:pPr>
      <w:r>
        <w:rPr/>
        <w:t>2、信用记录：供应商未被“信用中国”网站列入失信被执行人和重大税收违法失信主体，未被中国政府采购 网列入政府采购严重违法失信行为记录名单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中共西安市委网络安全和信息化委员会办公室</w:t>
      </w:r>
    </w:p>
    <w:p>
      <w:pPr>
        <w:pStyle w:val="null3"/>
      </w:pPr>
      <w:r>
        <w:rPr/>
        <w:t xml:space="preserve"> 地址： </w:t>
      </w:r>
      <w:r>
        <w:rPr/>
        <w:t>西安市未央区凤城八路99号中共西安市委</w:t>
      </w:r>
    </w:p>
    <w:p>
      <w:pPr>
        <w:pStyle w:val="null3"/>
      </w:pPr>
      <w:r>
        <w:rPr/>
        <w:t xml:space="preserve"> 邮编： </w:t>
      </w:r>
      <w:r>
        <w:rPr/>
        <w:t>710021</w:t>
      </w:r>
    </w:p>
    <w:p>
      <w:pPr>
        <w:pStyle w:val="null3"/>
      </w:pPr>
      <w:r>
        <w:rPr/>
        <w:t xml:space="preserve"> 联系人： </w:t>
      </w:r>
      <w:r>
        <w:rPr/>
        <w:t>常老师</w:t>
      </w:r>
    </w:p>
    <w:p>
      <w:pPr>
        <w:pStyle w:val="null3"/>
      </w:pPr>
      <w:r>
        <w:rPr/>
        <w:t xml:space="preserve"> 联系电话： </w:t>
      </w:r>
      <w:r>
        <w:rPr/>
        <w:t>029-86782958</w:t>
      </w:r>
    </w:p>
    <w:p>
      <w:pPr>
        <w:pStyle w:val="null3"/>
        <w:outlineLvl w:val="3"/>
      </w:pPr>
      <w:r>
        <w:rPr>
          <w:sz w:val="24"/>
          <w:b/>
        </w:rPr>
        <w:t>代理机构：</w:t>
      </w:r>
      <w:r>
        <w:rPr>
          <w:sz w:val="24"/>
          <w:b/>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710000</w:t>
      </w:r>
    </w:p>
    <w:p>
      <w:pPr>
        <w:pStyle w:val="null3"/>
      </w:pPr>
      <w:r>
        <w:rPr/>
        <w:t xml:space="preserve"> 联系人： </w:t>
      </w:r>
      <w:r>
        <w:rPr/>
        <w:t>王攀宏、康敏茹、张艳萍</w:t>
      </w:r>
    </w:p>
    <w:p>
      <w:pPr>
        <w:pStyle w:val="null3"/>
      </w:pPr>
      <w:r>
        <w:rPr/>
        <w:t xml:space="preserve"> 联系电话： </w:t>
      </w:r>
      <w:r>
        <w:rPr/>
        <w:t>029-88899970/72/73/75-815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成交单位在领取成交通知书前，须向采购代理机构一次性支付招标代理服务费。 招标代理服务费账户： 户名：华夏国际项目管理有限公司 开户行：工行西安城南科技支行 账号：3700024819200130193 请成交供应商按照要求将招 标代理服务费转入以上指定账户，如因自身原因发生错误，产生的不利后果均由供应商自行承担。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中共西安市委网络安全和信息化委员会办公室</w:t>
      </w:r>
      <w:r>
        <w:rPr/>
        <w:t>和</w:t>
      </w:r>
      <w:r>
        <w:rPr/>
        <w:t>华夏国际项目管理有限公司</w:t>
      </w:r>
      <w:r>
        <w:rPr/>
        <w:t>享有。对磋商文件中供应商参加本次政府采购活动应当具备的条件，磋商项目技术、服务、商务及其他要求，评审细则及标准由</w:t>
      </w:r>
      <w:r>
        <w:rPr/>
        <w:t>中共西安市委网络安全和信息化委员会办公室</w:t>
      </w:r>
      <w:r>
        <w:rPr/>
        <w:t>负责解释。除上述磋商文件内容，其他内容由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中共西安市委网络安全和信息化委员会办公室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网观西安”微信号全年采写刊发不少于200篇聚焦解读西安市重点工作和舆论热点的深度文章，视频号全年推送不少于900部精品短视频，全年征集全网优质稿件并刊发不少于40篇。全年制作并刊发不少于50部原创短视频（面相社会征集不少于20部）、200条音频、40张原创海报、10部原创H5或长图等其他原创新媒体产品。积累粉丝保10（万）冲12（万），文章平均阅读不低于5000人次；“网信西安”微信公众账号全年推送不少于1000篇稿件，视频号全年推送不少于900部短视频。不少于30部原创短视频、30张原创海报、5部原创H5或长图等其他原创新媒体产品。各平台粉丝总数提升20%以上，微信号稿件阅读量平均阅读提升至1500人次以上。</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联系人：王攀宏、康敏茹、张艳萍</w:t>
      </w:r>
    </w:p>
    <w:p>
      <w:pPr>
        <w:pStyle w:val="null3"/>
      </w:pPr>
      <w:r>
        <w:rPr/>
        <w:t>联系电话：029-88899970/72/73/75-815</w:t>
      </w:r>
    </w:p>
    <w:p>
      <w:pPr>
        <w:pStyle w:val="null3"/>
      </w:pPr>
      <w:r>
        <w:rPr/>
        <w:t>地址：西安市高新区科技五路8号数字大厦4楼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网观西安学习对标“浙江宣传”等全国优秀新媒体平台，围绕全市中心工作和网上舆论热点，坚持“专注西安、聚焦西安、服务西安”，坚持“紧扣热点、语态灵活、市民网友爱看”，坚持“市场化运维”，通过“站位高、切入准、接地气”的解读思考性文章和热评解析，充分占领舆论主阵地，有效引导舆论走向，努力打造反映全市经济、科技、文化、民生等各领域、各行业工作亮点的重要宣传平台，引领全市意识形态和网上舆论的重要传播平台，全市共享共有的网络内容建设平台。 网信西安学习对标网信中国、网信北京、网信上海、网信南京等全国优秀网信系统政务新媒体平台，以“讲述西安网事、解读网信政策”为基本目标，以“信息流采编”为主要方式，用好“一键增推”、保持实时更新，做好全市重要新闻信息发布、网信领域重要政策发布、全市网信系统重大信息发布，与“网观西安”形成“解读+信息”的差异化传播矩阵。</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2024年-2025年“网观西安（网信西安）”新媒体矩阵运维服务</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标的名称：2024年-2025年“网观西安（网信西安）”新媒体矩阵运维服务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outlineLvl w:val="2"/>
            </w:pPr>
            <w:r>
              <w:rPr>
                <w:rFonts w:ascii="仿宋" w:hAnsi="仿宋" w:cs="仿宋" w:eastAsia="仿宋"/>
                <w:sz w:val="24"/>
                <w:b/>
                <w:color w:val="000000"/>
                <w:shd w:fill="FFFFFF" w:val="clear"/>
              </w:rPr>
              <w:t>项目目标：</w:t>
            </w:r>
          </w:p>
          <w:p>
            <w:pPr>
              <w:pStyle w:val="null3"/>
              <w:jc w:val="left"/>
              <w:outlineLvl w:val="2"/>
            </w:pPr>
            <w:r>
              <w:rPr>
                <w:rFonts w:ascii="仿宋" w:hAnsi="仿宋" w:cs="仿宋" w:eastAsia="仿宋"/>
                <w:sz w:val="24"/>
                <w:b/>
                <w:color w:val="000000"/>
                <w:shd w:fill="FFFFFF" w:val="clear"/>
              </w:rPr>
              <w:t>①网观西安：学习对标“浙江宣传”等全国优秀新媒体平台，围绕全市中心工作和网上舆论热点，坚持“专注西安、聚焦西安、服务西安”，坚持“紧扣热点、语态灵活、市民网友爱看”，坚持“市场化运维”，通过“站位高、切入准、接地气”的解读思考性文章和热评解析，充分占领舆论主阵地，有效引导舆论走向，努力打造反映全市经济、科技、文化、民生等各领域、各行业工作亮点的重要宣传平台，引领全市意识形态和网上舆论的重要传播平台，全市共享共有的网络内容建设平台。</w:t>
            </w:r>
          </w:p>
          <w:p>
            <w:pPr>
              <w:pStyle w:val="null3"/>
              <w:jc w:val="both"/>
            </w:pPr>
            <w:r>
              <w:rPr>
                <w:rFonts w:ascii="仿宋" w:hAnsi="仿宋" w:cs="仿宋" w:eastAsia="仿宋"/>
                <w:sz w:val="24"/>
                <w:color w:val="000000"/>
              </w:rPr>
              <w:t>②网信西安：学习对标网信中国、网信北京、网信上海、网信南京等全国优秀网信系统政务新媒体平台，以“讲述西安网事、解读网信政策”为基本目标，以“信息流采编”为主要方式，用好“一键增推”、保持实时更新，做好全市重要新闻信息发布、网信领域重要政策发布、全市网信系统重大信息发布，与“网观西安”形成“解读+信息”的差异化传播矩阵。</w:t>
            </w:r>
          </w:p>
        </w:tc>
      </w:tr>
      <w:tr>
        <w:tc>
          <w:tcPr>
            <w:tcW w:type="dxa" w:w="2769"/>
          </w:tcPr>
          <w:p/>
        </w:tc>
        <w:tc>
          <w:tcPr>
            <w:tcW w:type="dxa" w:w="2769"/>
          </w:tcPr>
          <w:p>
            <w:pPr>
              <w:pStyle w:val="null3"/>
            </w:pPr>
            <w:r>
              <w:rPr/>
              <w:t>2</w:t>
            </w:r>
          </w:p>
        </w:tc>
        <w:tc>
          <w:tcPr>
            <w:tcW w:type="dxa" w:w="2769"/>
          </w:tcPr>
          <w:p>
            <w:pPr>
              <w:pStyle w:val="null3"/>
              <w:jc w:val="left"/>
              <w:outlineLvl w:val="2"/>
            </w:pPr>
            <w:r>
              <w:rPr>
                <w:rFonts w:ascii="仿宋" w:hAnsi="仿宋" w:cs="仿宋" w:eastAsia="仿宋"/>
                <w:sz w:val="24"/>
                <w:b/>
                <w:shd w:fill="FFFFFF" w:val="clear"/>
              </w:rPr>
              <w:t>项目要求：</w:t>
            </w:r>
          </w:p>
          <w:p>
            <w:pPr>
              <w:pStyle w:val="null3"/>
              <w:jc w:val="left"/>
              <w:outlineLvl w:val="2"/>
            </w:pPr>
            <w:r>
              <w:rPr>
                <w:rFonts w:ascii="仿宋" w:hAnsi="仿宋" w:cs="仿宋" w:eastAsia="仿宋"/>
                <w:sz w:val="24"/>
                <w:b/>
                <w:shd w:fill="FFFFFF" w:val="clear"/>
              </w:rPr>
              <w:t>①组建2024年-2025年“网观西安（网信西安）”新媒体矩阵融媒体中心，“网观西安”设1名融媒体中心主任向市委网信办传播处总编辑负责，不少于3名熟练掌握新语态表达的专职主笔采写原创稿件，不少于4名专业融媒采编人员，负责后台校对、美工、技术等人员不少于3名，常备专业摄影师、摄像师供重要会议、重大活动图片视频采集，确保1名前端市委网信办派驻人员负责信息指令传达和相关协调工作；“网信西安”设1名统筹向市委网信办传播处总编辑负责，1名专职编辑负责日常排版，不少于3名工作人员配合做好视频、校对、视觉等工作。具备符合版权规定的图库、视频库、字体库、音乐库及其他涉及版权内容的合作或授权。</w:t>
            </w:r>
          </w:p>
          <w:p>
            <w:pPr>
              <w:pStyle w:val="null3"/>
              <w:jc w:val="left"/>
              <w:outlineLvl w:val="2"/>
            </w:pPr>
            <w:r>
              <w:rPr>
                <w:rFonts w:ascii="仿宋" w:hAnsi="仿宋" w:cs="仿宋" w:eastAsia="仿宋"/>
                <w:sz w:val="24"/>
                <w:b/>
                <w:shd w:fill="FFFFFF" w:val="clear"/>
              </w:rPr>
              <w:t>②“网观西安”微信号全年采写刊发不少于200篇聚焦解读西安市重点工作和舆论热点的深度文章，视频号全年推送不少于900部精品短视频，全年征集全网优质稿件并刊发不少于40篇。全年制作并刊发不少于50部原创短视频（面向社会征集不少于20部）、200条音频、40张原创海报、10部原创H5或长图等其他原创新媒体产品。积累粉丝保10（万）冲12（万），文章平均阅读不低于5000人次；“网信西安”微信公众账号全年推送不少于1000篇稿件，视频号全年推送不少于900部短视频。不少于30部原创短视频、30张原创海报、5部原创H5或长图等其他原创新媒体产品。各平台粉丝总数提升20%以上，微信号稿件阅读量平均阅读提升至1500人次以上。</w:t>
            </w:r>
          </w:p>
          <w:p>
            <w:pPr>
              <w:pStyle w:val="null3"/>
              <w:jc w:val="left"/>
              <w:outlineLvl w:val="2"/>
            </w:pPr>
            <w:r>
              <w:rPr>
                <w:rFonts w:ascii="仿宋" w:hAnsi="仿宋" w:cs="仿宋" w:eastAsia="仿宋"/>
                <w:sz w:val="24"/>
                <w:b/>
                <w:shd w:fill="FFFFFF" w:val="clear"/>
              </w:rPr>
              <w:t>③开设今日头条号同步转发微信号原创文章，探索“文字视频化展示”和其他新媒体平台搭建。</w:t>
            </w:r>
          </w:p>
          <w:p>
            <w:pPr>
              <w:pStyle w:val="null3"/>
              <w:jc w:val="left"/>
              <w:outlineLvl w:val="2"/>
            </w:pPr>
            <w:r>
              <w:rPr>
                <w:rFonts w:ascii="仿宋" w:hAnsi="仿宋" w:cs="仿宋" w:eastAsia="仿宋"/>
                <w:sz w:val="24"/>
                <w:b/>
                <w:shd w:fill="FFFFFF" w:val="clear"/>
              </w:rPr>
              <w:t>④稿件采编三审三校责任到人，落实专职校对人员，监督全程、确保稿件和新媒体产品准确、安全。留言区域、粉丝群专人负责，确保无误及时互动。</w:t>
            </w:r>
          </w:p>
        </w:tc>
      </w:tr>
    </w:tbl>
    <w:p>
      <w:pPr>
        <w:pStyle w:val="null3"/>
        <w:outlineLvl w:val="2"/>
      </w:pPr>
      <w:r>
        <w:rPr>
          <w:sz w:val="28"/>
          <w:b/>
        </w:rPr>
        <w:t>3.2.3人员配置要求</w:t>
      </w:r>
    </w:p>
    <w:p>
      <w:pPr>
        <w:pStyle w:val="null3"/>
      </w:pPr>
      <w:r>
        <w:rPr/>
        <w:t>采购包1：</w:t>
      </w:r>
    </w:p>
    <w:p>
      <w:pPr>
        <w:pStyle w:val="null3"/>
      </w:pPr>
      <w:r>
        <w:rPr/>
        <w:t>项目团队 1)团队总人数包括项目经理在内不少于9人，且所有项目成员新媒体行业相关工作经验不低于2年。 2)“网观西安”设1名融媒体中心主任向市委网信办传播处总编辑负责，不少于3名熟练掌握新语态表达的专职主笔采写原创稿件，不少于4名专业融媒采编人员，负责后台校对、美工、技术等人员不少于3名，常备专业摄影师、摄像师供重要会议、重大活动图片视频采集，确保1名前端市委网信办派驻人员负责信息指令传达和相关协调工作；“网信西安”设1名统筹向市委网信办传播处总编辑负责，1名专职编辑负责日常排版，不少于3名工作人员配合做好视频、校对、视觉等工作。具备符合版权规定的图库、视频库、字体库、音乐库及其他涉及版权内容的合作或授权。 3)项目团队必须专业从事微信营销推广工作，有一定微营销运营功底，拥有优势的线上营销工具。需对腾讯公司的微信产品、微信广告业务、微信公众号运营开发、微信卡包开发应用、及微信小程序开发应用方面非常精通，能够精准的把控腾讯公司对微信流量入口的未来几年及后期的能力开放方向，需要帮助采购人解决各类运营类和咨询类问题。 4）项目服务期间，需保持项目团队成员不变，如需变更，需经采购人同意。</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合同签订之日起至2025年3月31日</w:t>
      </w:r>
    </w:p>
    <w:p>
      <w:pPr>
        <w:pStyle w:val="null3"/>
        <w:outlineLvl w:val="3"/>
      </w:pPr>
      <w:r>
        <w:rPr>
          <w:sz w:val="24"/>
          <w:b/>
        </w:rPr>
        <w:t>3.3.2服务地点</w:t>
      </w:r>
    </w:p>
    <w:p>
      <w:pPr>
        <w:pStyle w:val="null3"/>
      </w:pPr>
      <w:r>
        <w:rPr/>
        <w:t>采购包1：</w:t>
      </w:r>
    </w:p>
    <w:p>
      <w:pPr>
        <w:pStyle w:val="null3"/>
      </w:pPr>
      <w:r>
        <w:rPr/>
        <w:t>西安(采购人指定地点)</w:t>
      </w:r>
    </w:p>
    <w:p>
      <w:pPr>
        <w:pStyle w:val="null3"/>
        <w:outlineLvl w:val="3"/>
      </w:pPr>
      <w:r>
        <w:rPr>
          <w:sz w:val="24"/>
          <w:b/>
        </w:rPr>
        <w:t>3.3.3考核（验收）标准和方法</w:t>
      </w:r>
    </w:p>
    <w:p>
      <w:pPr>
        <w:pStyle w:val="null3"/>
      </w:pPr>
      <w:r>
        <w:rPr/>
        <w:t>采购包1：</w:t>
      </w:r>
    </w:p>
    <w:p>
      <w:pPr>
        <w:pStyle w:val="null3"/>
      </w:pPr>
      <w:r>
        <w:rPr/>
        <w:t>“网观西安”微信号全年采写刊发不少于200篇聚焦解读西安市重点工作和舆论热点的深度文章，视频号全年推送不少于900部精品短视频，全年征集全网优质稿件并刊发不少于40篇。全年制作并刊发不少于50部原创短视频（面相社会征集不少于20部）、200条音频、40张原创海报、10部原创H5或长图等其他原创新媒体产品。积累粉丝保10（万）冲12（万），文章平均阅读不低于5000人次；“网信西安”微信公众账号全年推送不少于1000篇稿件，视频号全年推送不少于900部短视频。不少于30部原创短视频、30张原创海报、5部原创H5或长图等其他原创新媒体产品。各平台粉丝总数提升20%以上，微信号稿件阅读量平均阅读提升至1500人次以上。 验收时间：项目完成后 验收条件：完成合同约定的稿件数量、视频数量和粉丝数量，达到平台预设目标。 质量标准：符合国家及行业有关现行规范、标准的要求 验收合格条件：符合国家标准和技术规格书及合同要求，符合竞争性磋商文件、成交供应商的磋商响应文件、澄清文件和成交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合同签订且供应商开具增值税正式发票后的10个工作日内，以银行转账形式向其支付本合同总费用的60%；</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2024年11月供应商提供阶段性结案报告，经市委网信办验收合格出具验收报告后，开具增值税正式发票后的10个工作日内，以银行转账形式向其支付本合同总费用的20%；</w:t>
      </w:r>
      <w:r>
        <w:rPr/>
        <w:t xml:space="preserve"> ，达到付款条件起 </w:t>
      </w:r>
      <w:r>
        <w:rPr/>
        <w:t>10</w:t>
      </w:r>
      <w:r>
        <w:rPr/>
        <w:t xml:space="preserve"> 日内，支付合同总金额的 </w:t>
      </w:r>
      <w:r>
        <w:rPr/>
        <w:t>20.00</w:t>
      </w:r>
      <w:r>
        <w:rPr/>
        <w:t>%。</w:t>
      </w:r>
    </w:p>
    <w:p>
      <w:pPr>
        <w:pStyle w:val="null3"/>
      </w:pPr>
      <w:r>
        <w:rPr/>
        <w:t>采购包1：</w:t>
      </w:r>
      <w:r>
        <w:rPr/>
        <w:t xml:space="preserve"> 付款条件说明： </w:t>
      </w:r>
      <w:r>
        <w:rPr/>
        <w:t>合作结束后供应商提供结案报告，经市委网信办验收合格出具验收报告和绩效目标后10个工作日内，向供应商支付剩余20%尾款。</w:t>
      </w:r>
      <w:r>
        <w:rPr/>
        <w:t xml:space="preserve"> ，达到付款条件起 </w:t>
      </w:r>
      <w:r>
        <w:rPr/>
        <w:t>10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1.按照《2024年网观西安（网信西安）新媒体矩阵考核办法》予以扣款或责令处理. 2.①违约责任：（一）按《民法典》中的相关条款执行。（二）未按合同要求提供服务或服务质量不能满足本次磋商要求，甲方会同监督机构、采购代理机构有权终止合同和对乙方违约行为进行追究，同时按政府采购法的有关规定进行相应的处罚。 ②解决争议的方法：本合同在履行过程中发生的争议，由甲、乙双方当事人协商解决，协商不成的按下列第（二）种方式解决：（一）提交当地仲裁委员会仲裁；（二）依法向甲方所在地法院起诉。</w:t>
      </w:r>
    </w:p>
    <w:p>
      <w:pPr>
        <w:pStyle w:val="null3"/>
        <w:outlineLvl w:val="2"/>
      </w:pPr>
      <w:r>
        <w:rPr>
          <w:sz w:val="28"/>
          <w:b/>
        </w:rPr>
        <w:t>3.4其他要求</w:t>
      </w:r>
    </w:p>
    <w:p>
      <w:pPr>
        <w:pStyle w:val="null3"/>
      </w:pPr>
      <w:r>
        <w:rPr/>
        <w:t>服务期内，7*24小时响应，发生质量问题，投标供应商自接到采购方通知后，1小时内响应，应于 2小时内派出专业的维修人员到现场进行检测维修，4小时内完成修复，发生的全部费用由供应商承担。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a提供合格有效的法人或者其他组织的营业执照等证明文件，自然人的身份证明； 供应商是法人或其他组织的应提供营业执照等证明文件，供应商是自然人的应提供有效的自然人身份证明。b提供2022年度或2023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c提供磋商截止日前一年内已缴纳的至少一个月的纳税证明或完税证明，依法免税的单位应提供相关证明材料；d提供磋商截止日前一年内已缴存的至少一个月的社会保障资金缴存单据或社保机构开具的社会保险参保缴费情况证明，依法不需要缴纳社会保障资金的单位应提供相关证明材料；e提供具有履行合同所必需的设备和专业技术能力的承诺；f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供应商未被“信用中国”网站列入失信被执行人和重大税收违法失信主体，未被中国政府采购 网列入政府采购严重违法失信行为记录名单</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磋商小组可以根据磋商文件和磋商情况实质性变动第三章“磋商项目技术、服务、商务及其他要求”、第八章“拟签订采购合同文本”，但不得变动磋商文件中的其他内容。实质性变动的内容，须经采购人代表确认。 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1.在磋商过程中，磋商小组认为供应商报价明显低于其他有效供应商的报价，有可能影响产品质量或者不能诚信履约的，磋商小组应当要求 其在评审现场合理的时间内提供成本构成书面说明，并提交相关证明材料。书面说明应当按照国家财务会计制度的规定要求，逐项就供应 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 系统进行提交，否则提交的相关证明材料无效 。供应商不能证明其报价合理性的，磋商小组应当将其响应文件作为无效处理。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中小企业声明函 报价表 磋商报价表 商务条款偏离表 磋商方案说明书 响应文件封面 资格证明文件 其它资料 残疾人福利性单位声明函 标的清单 供应商承诺书 响应函 监狱企业的证明文件</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中小企业声明函 报价表 磋商报价表 商务条款偏离表 磋商方案说明书 响应文件封面 资格证明文件 其它资料 残疾人福利性单位声明函 标的清单 供应商承诺书 响应函 监狱企业的证明文件</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商务条款偏离表 磋商方案说明书</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报价表 磋商报价表 商务条款偏离表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中小企业声明函 报价表 磋商报价表 商务条款偏离表 磋商方案说明书 响应文件封面 资格证明文件 其它资料 残疾人福利性单位声明函 标的清单 供应商承诺书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总体服务方案根据本项目实际需求，从项目需求理解、实施计划、营销活动策划、项目预估成果，四个方面进行制定。 方案各项内容全面详细、阐述条理清晰详尽、符合本项目采购需求，能有效保障本项目实施，得20分；每有一项缺项扣5分；每有一项内容存在缺陷，扣0-5分，扣完为止。 备注：缺陷是指内容不合理、虽有内容但不完善、内容表述前后不一致、套用其他项目方案或与项目需求不匹配及其他不利于项目实施的等任意一种情形。 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重点、难点分析与解决方案</w:t>
            </w:r>
          </w:p>
        </w:tc>
        <w:tc>
          <w:tcPr>
            <w:tcW w:type="dxa" w:w="2492"/>
          </w:tcPr>
          <w:p>
            <w:pPr>
              <w:pStyle w:val="null3"/>
            </w:pPr>
            <w:r>
              <w:rPr/>
              <w:t>重点及难点把握准确，分析到位，解决措施科学完善、切实可行，能保障项目顺利实施，得3分； 重点及难点把握基本准确，分析简单，解决措施合理可行，能基本保障项目实施，得2分； 重点及难点把握有偏差，分析欠缺，无针对性，措施内容空泛，得1分。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项目进度计划方案</w:t>
            </w:r>
          </w:p>
        </w:tc>
        <w:tc>
          <w:tcPr>
            <w:tcW w:type="dxa" w:w="2492"/>
          </w:tcPr>
          <w:p>
            <w:pPr>
              <w:pStyle w:val="null3"/>
            </w:pPr>
            <w:r>
              <w:rPr/>
              <w:t>提供详细的项目进度计划方案，根据其响应程度赋分； 计划方案详细、工作节点清晰、合理可行、实施进度安排完全满足项目需求，得5分； 计划方案笼统，缺少详细的工作节点，实施进度安排不明确，需进一步协调，得3分。 计划方案简单，缺少详细的工作节点，实施进度安排不明确，得1分。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质量安全管理保障措施</w:t>
            </w:r>
          </w:p>
        </w:tc>
        <w:tc>
          <w:tcPr>
            <w:tcW w:type="dxa" w:w="2492"/>
          </w:tcPr>
          <w:p>
            <w:pPr>
              <w:pStyle w:val="null3"/>
            </w:pPr>
            <w:r>
              <w:rPr/>
              <w:t>提供质量安全管理保障措施，根据其响应程度赋分； 措施详细完善、合理可行，计2分； 措施不够详细、简单、有待调整，得1分。 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应急处理预案</w:t>
            </w:r>
          </w:p>
        </w:tc>
        <w:tc>
          <w:tcPr>
            <w:tcW w:type="dxa" w:w="2492"/>
          </w:tcPr>
          <w:p>
            <w:pPr>
              <w:pStyle w:val="null3"/>
            </w:pPr>
            <w:r>
              <w:rPr/>
              <w:t>提供应急保障措施，对于各类突发事件具有应急响应方案，根据其响应方案是否得当以及预估损失程度等进行赋分。 应急响应方案详细、合理可行，供应商所预估的紧急情况贴合本项目服务内容，得12分； 应急响应方案基本完善、可行性一般，供应商所预估的紧急情况基本合理，得9分； 应急响应方案内容简略，供应商所预估的紧急情况较合理，得6分； 应急响应方案内容简略，供应商所预估的紧急情况合理性不强，得3分； 应急响应方案简单笼统，供应商所预估的紧急情况处理预案简单粗略，得1分。 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软件应用安全</w:t>
            </w:r>
          </w:p>
        </w:tc>
        <w:tc>
          <w:tcPr>
            <w:tcW w:type="dxa" w:w="2492"/>
          </w:tcPr>
          <w:p>
            <w:pPr>
              <w:pStyle w:val="null3"/>
            </w:pPr>
            <w:r>
              <w:rPr/>
              <w:t>供应商的后期运行维护工作必须在现有安全体制下提出确保系统安全可靠的策略、措施和步骤。提供安全方案及安全保障体系（包括但不限于系统安全、信息安全、管理安全、数据安全等）。 方案内容详尽，合理可行，安全保障体系健全，针对性强，得5分； 方案内容完善，安全保障体系基本健全，有一定针对性，得3分； 方案内容及安全保障体系简单笼统，无针对性，得1分；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 配备</w:t>
            </w:r>
          </w:p>
        </w:tc>
        <w:tc>
          <w:tcPr>
            <w:tcW w:type="dxa" w:w="2492"/>
          </w:tcPr>
          <w:p>
            <w:pPr>
              <w:pStyle w:val="null3"/>
            </w:pPr>
            <w:r>
              <w:rPr/>
              <w:t>有针对本项目的专业服务团队、应急保障配套设备，组织结构合理，人员分工明确，满足基本要求的得5分，不满足基本要求的得0分;比基本要求每增加投入1名符合要求的人员，加1分，最高加5分，本项满分10分。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项目运维服务方案</w:t>
            </w:r>
          </w:p>
        </w:tc>
        <w:tc>
          <w:tcPr>
            <w:tcW w:type="dxa" w:w="2492"/>
          </w:tcPr>
          <w:p>
            <w:pPr>
              <w:pStyle w:val="null3"/>
            </w:pPr>
            <w:r>
              <w:rPr/>
              <w:t>方案内容详尽，合理可行，针对性及可行性强，得5分； 方案内容完善，有一定的针对性、可行性，得3分； 方案内容简单笼统，缺乏针对性，得1分；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内容发布、审核流程</w:t>
            </w:r>
          </w:p>
        </w:tc>
        <w:tc>
          <w:tcPr>
            <w:tcW w:type="dxa" w:w="2492"/>
          </w:tcPr>
          <w:p>
            <w:pPr>
              <w:pStyle w:val="null3"/>
            </w:pPr>
            <w:r>
              <w:rPr/>
              <w:t>制定严格的内容发布、审核流程。 内容发布、审核流程具体、合理得10分； 内容发布、审核流程基本具体、合理得7分； 内容发布、审核流程较具体、较合理得4分； 内容发布、审核流程简单、不具体得1分；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服务保障承诺</w:t>
            </w:r>
          </w:p>
        </w:tc>
        <w:tc>
          <w:tcPr>
            <w:tcW w:type="dxa" w:w="2492"/>
          </w:tcPr>
          <w:p>
            <w:pPr>
              <w:pStyle w:val="null3"/>
            </w:pPr>
            <w:r>
              <w:rPr/>
              <w:t>针对本项目及采购人实际需求提供详细具体可行的服务保障承诺，包括组织保障、人员保障、设备保障、合同履行承诺等，并阐明可提供的咨询或后期服务内容。 服务保障承诺内容全面、形式多样、保障措施描述详细、涵盖范围广得8分； 服务保障承诺内容基本全面、有相对应的保障措施但描述不够详细，得6分； 服务保障承诺内容较全面、有相对应的保障措施但描述不够详细，得4分； 服务保障承诺内容笼统、形式单一、保障措施概括简单，得2分。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供应商提供近2020年5月1日至今（以合同签订日期为准）类似项目业绩,每项业绩得2分，最高得10分。 注：业绩须提供合同复印件(加盖供应商公章)， 原件备查；弄虚作假者取消其磋商、成交资格。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详见附件：供应商承诺书</w:t>
      </w:r>
    </w:p>
    <w:p>
      <w:pPr>
        <w:pStyle w:val="null3"/>
        <w:ind w:firstLine="960"/>
      </w:pPr>
      <w:r>
        <w:rPr/>
        <w:t>详见附件：商务条款偏离表</w:t>
      </w:r>
    </w:p>
    <w:p>
      <w:pPr>
        <w:pStyle w:val="null3"/>
        <w:ind w:firstLine="960"/>
      </w:pPr>
      <w:r>
        <w:rPr/>
        <w:t>详见附件：磋商方案说明书</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