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自贸试验区创新成果评估及优化提升项目</w:t>
      </w:r>
    </w:p>
    <w:p>
      <w:pPr>
        <w:pStyle w:val="null3"/>
        <w:jc w:val="center"/>
        <w:outlineLvl w:val="2"/>
      </w:pPr>
      <w:r>
        <w:rPr>
          <w:b/>
          <w:sz w:val="28"/>
        </w:rPr>
        <w:t>采购项目编号：</w:t>
      </w:r>
      <w:r>
        <w:rPr>
          <w:b/>
          <w:sz w:val="28"/>
        </w:rPr>
        <w:t>SXGS2024-ZC-003</w:t>
      </w:r>
      <w:r>
        <w:br/>
      </w:r>
      <w:r>
        <w:br/>
      </w:r>
      <w:r>
        <w:br/>
      </w:r>
    </w:p>
    <w:p>
      <w:pPr>
        <w:pStyle w:val="null3"/>
        <w:jc w:val="center"/>
        <w:outlineLvl w:val="2"/>
      </w:pPr>
      <w:r>
        <w:rPr>
          <w:b/>
          <w:sz w:val="28"/>
        </w:rPr>
        <w:t>西安市商务局（本级）</w:t>
      </w:r>
    </w:p>
    <w:p>
      <w:pPr>
        <w:pStyle w:val="null3"/>
        <w:jc w:val="center"/>
        <w:outlineLvl w:val="2"/>
      </w:pPr>
      <w:r>
        <w:rPr>
          <w:b/>
          <w:sz w:val="28"/>
        </w:rPr>
        <w:t>陕西亘上项目管理咨询有限公司</w:t>
      </w:r>
      <w:r>
        <w:rPr>
          <w:b/>
          <w:sz w:val="28"/>
        </w:rPr>
        <w:t>共同编制</w:t>
      </w:r>
    </w:p>
    <w:p>
      <w:pPr>
        <w:pStyle w:val="null3"/>
        <w:jc w:val="center"/>
        <w:outlineLvl w:val="2"/>
      </w:pPr>
      <w:r>
        <w:rPr>
          <w:b/>
          <w:sz w:val="28"/>
        </w:rPr>
        <w:t>2024年05月07日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陕西亘上项目管理咨询有限公司</w:t>
      </w:r>
      <w:r>
        <w:rPr/>
        <w:t>（以下简称“代理机构”）受</w:t>
      </w:r>
      <w:r>
        <w:rPr/>
        <w:t>西安市商务局（本级）</w:t>
      </w:r>
      <w:r>
        <w:rPr/>
        <w:t>委托，拟对</w:t>
      </w:r>
      <w:r>
        <w:rPr/>
        <w:t>自贸试验区创新成果评估及优化提升项目</w:t>
      </w:r>
      <w:r>
        <w:rPr/>
        <w:t>采用竞争性磋商采购方式进行采购，兹邀请供应商参加本项目的竞争性磋商。</w:t>
      </w:r>
    </w:p>
    <w:p>
      <w:pPr>
        <w:pStyle w:val="null3"/>
        <w:outlineLvl w:val="2"/>
      </w:pPr>
      <w:r>
        <w:rPr>
          <w:b/>
          <w:sz w:val="28"/>
        </w:rPr>
        <w:t>一、项目编号：</w:t>
      </w:r>
      <w:r>
        <w:rPr>
          <w:b/>
          <w:sz w:val="28"/>
        </w:rPr>
        <w:t>SXGS2024-ZC-003</w:t>
      </w:r>
    </w:p>
    <w:p>
      <w:pPr>
        <w:pStyle w:val="null3"/>
        <w:outlineLvl w:val="2"/>
      </w:pPr>
      <w:r>
        <w:rPr>
          <w:b/>
          <w:sz w:val="28"/>
        </w:rPr>
        <w:t>二、项目名称：</w:t>
      </w:r>
      <w:r>
        <w:rPr>
          <w:b/>
          <w:sz w:val="28"/>
        </w:rPr>
        <w:t>自贸试验区创新成果评估及优化提升项目</w:t>
      </w:r>
    </w:p>
    <w:p>
      <w:pPr>
        <w:pStyle w:val="null3"/>
        <w:outlineLvl w:val="2"/>
      </w:pPr>
      <w:r>
        <w:rPr>
          <w:b/>
          <w:sz w:val="28"/>
        </w:rPr>
        <w:t>三、磋商项目简介</w:t>
      </w:r>
    </w:p>
    <w:p>
      <w:pPr>
        <w:pStyle w:val="null3"/>
        <w:ind w:firstLine="480"/>
      </w:pPr>
      <w:r>
        <w:rPr/>
        <w:t>为深入贯彻落实“实施自由贸易试验区提升战略”决策部署和省市领导对自贸试验区建设成效考核评估工作的批示要求，全面展现自贸试验区建设成效，破解自贸区制度创新系统性集成性不高的问题，现计划开展自贸试验区创新成果评估及优化提升项目，深度破解自贸试验区制度创新系统集成性不高的问题，积极探寻提升制度创新系统集成性的有效路径，助力自贸试验区高水平开放高质量发展迈上新台阶。</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采购包1（自贸试验区创新成果评估及优化提升项目）：属于专门面向中小企业采购。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1、具有独立承担民事责任能力的法人、其他组织或自然人，并出具合法有效的相关证明材料。：供应商需在项目电子化交易系统中按要求上传相应证明文件并进行电子签章。</w:t>
      </w:r>
    </w:p>
    <w:p>
      <w:pPr>
        <w:pStyle w:val="null3"/>
      </w:pPr>
      <w:r>
        <w:rPr/>
        <w:t>2、提供2022或2023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t>3、提供2023年10月至今已缴纳的任意1个月的纳税证明或完税证明，依法免税的单位应提供相关证明材料。：供应商需在项目电子化交易系统中按要求上传相应证明文件并进行电子签章。</w:t>
      </w:r>
    </w:p>
    <w:p>
      <w:pPr>
        <w:pStyle w:val="null3"/>
      </w:pPr>
      <w:r>
        <w:rPr/>
        <w:t>4、提供2023年10月至今已缴纳的任意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t>5、提供具有履行合同所必需的设备和专业技术能力的承诺。：供应商需在项目电子化交易系统中按要求上传相应证明文件并进行电子签章。</w:t>
      </w:r>
    </w:p>
    <w:p>
      <w:pPr>
        <w:pStyle w:val="null3"/>
      </w:pPr>
      <w:r>
        <w:rPr/>
        <w:t>6、法定代表人授权书及被授权人身份证（法定代表人直接参加磋商的须提供其法定代表人身份证），非法人单位参照执行。：供应商需在项目电子化交易系统中按要求上传相应证明文件并进行电子签章。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t>7、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t>8、供应商不得为“信用中国(www.creditchina.gov.cn)”中列入失信被执行人和重大税收违法案件当事人名单的供应商，不得为“中国政府采购网(www.ccgp.gov.cn)”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供应商需在项目电子化交易系统中按要求上传相应证明文件并进行电子签章。</w:t>
      </w:r>
    </w:p>
    <w:p>
      <w:pPr>
        <w:pStyle w:val="null3"/>
      </w:pPr>
      <w:r>
        <w:rPr/>
        <w:t>9、本项目不接受联合体投标。：供应商需在项目电子化交易系统中按要求上传相应证明文件并进行电子签章。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西安市商务局（本级）</w:t>
      </w:r>
    </w:p>
    <w:p>
      <w:pPr>
        <w:pStyle w:val="null3"/>
      </w:pPr>
      <w:r>
        <w:rPr/>
        <w:t xml:space="preserve"> 地址： </w:t>
      </w:r>
      <w:r>
        <w:rPr/>
        <w:t>西安市未央区凤城八路109号</w:t>
      </w:r>
    </w:p>
    <w:p>
      <w:pPr>
        <w:pStyle w:val="null3"/>
      </w:pPr>
      <w:r>
        <w:rPr/>
        <w:t xml:space="preserve"> 邮编： </w:t>
      </w:r>
      <w:r>
        <w:rPr/>
        <w:t>710000</w:t>
      </w:r>
    </w:p>
    <w:p>
      <w:pPr>
        <w:pStyle w:val="null3"/>
      </w:pPr>
      <w:r>
        <w:rPr/>
        <w:t xml:space="preserve"> 联系人： </w:t>
      </w:r>
      <w:r>
        <w:rPr/>
        <w:t>南江</w:t>
      </w:r>
    </w:p>
    <w:p>
      <w:pPr>
        <w:pStyle w:val="null3"/>
      </w:pPr>
      <w:r>
        <w:rPr/>
        <w:t xml:space="preserve"> 联系电话： </w:t>
      </w:r>
      <w:r>
        <w:rPr/>
        <w:t>029-86786569</w:t>
      </w:r>
    </w:p>
    <w:p>
      <w:pPr>
        <w:pStyle w:val="null3"/>
        <w:outlineLvl w:val="3"/>
      </w:pPr>
      <w:r>
        <w:rPr>
          <w:b/>
          <w:sz w:val="24"/>
        </w:rPr>
        <w:t>代理机构：</w:t>
      </w:r>
      <w:r>
        <w:rPr>
          <w:b/>
          <w:sz w:val="24"/>
        </w:rPr>
        <w:t>陕西亘上项目管理咨询有限公司</w:t>
      </w:r>
    </w:p>
    <w:p>
      <w:pPr>
        <w:pStyle w:val="null3"/>
      </w:pPr>
      <w:r>
        <w:rPr/>
        <w:t xml:space="preserve"> 地址： </w:t>
      </w:r>
      <w:r>
        <w:rPr/>
        <w:t>陕西省西安市未央区未央路荣豪大厦12层1222室</w:t>
      </w:r>
    </w:p>
    <w:p>
      <w:pPr>
        <w:pStyle w:val="null3"/>
      </w:pPr>
      <w:r>
        <w:rPr/>
        <w:t xml:space="preserve"> 邮编： </w:t>
      </w:r>
      <w:r>
        <w:rPr/>
        <w:t>710016</w:t>
      </w:r>
    </w:p>
    <w:p>
      <w:pPr>
        <w:pStyle w:val="null3"/>
      </w:pPr>
      <w:r>
        <w:rPr/>
        <w:t xml:space="preserve"> 联系人： </w:t>
      </w:r>
      <w:r>
        <w:rPr/>
        <w:t>张工</w:t>
      </w:r>
    </w:p>
    <w:p>
      <w:pPr>
        <w:pStyle w:val="null3"/>
      </w:pPr>
      <w:r>
        <w:rPr/>
        <w:t xml:space="preserve"> 联系电话： </w:t>
      </w:r>
      <w:r>
        <w:rPr/>
        <w:t>029-87363598</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理服务费收费标准：代理服务费：以中标金额为基数，依据国家计委颁发的《招标代理服务收费管理暂行办法》（计价格[2002]1980号）和国家发展改革委员会办公厅颁发的《关于招标代理服务收费有关问题的通知》（发改办价格[2003]857号）的有关规定执行，代理服务费不足2000元按2000元收取。 中标单位在领取成交通知书前，须向采购代理机构一次性支付招标代理服务费。 开户名称：陕西亘上项目管理咨询有限公司； 开户银行：中国建设银行银行股份有限公司西安广安路支行 账号：61050173960009555555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西安市商务局（本级）</w:t>
      </w:r>
      <w:r>
        <w:rPr/>
        <w:t>和</w:t>
      </w:r>
      <w:r>
        <w:rPr/>
        <w:t>陕西亘上项目管理咨询有限公司</w:t>
      </w:r>
      <w:r>
        <w:rPr/>
        <w:t>享有。对磋商文件中供应商参加本次政府采购活动应当具备的条件，磋商项目技术、服务、商务及其他要求，评审细则及标准由</w:t>
      </w:r>
      <w:r>
        <w:rPr/>
        <w:t>西安市商务局（本级）</w:t>
      </w:r>
      <w:r>
        <w:rPr/>
        <w:t>负责解释。除上述磋商文件内容，其他内容由</w:t>
      </w:r>
      <w:r>
        <w:rPr/>
        <w:t>陕西亘上项目管理咨询有限公司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西安市商务局（本级）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陕西亘上项目管理咨询有限公司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按磋商文件、磋商响应文件等服务指标进行逐项验收，各项指标均应符合验收标准及要求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陕西亘上项目管理咨询有限公司</w:t>
      </w:r>
      <w:r>
        <w:rPr/>
        <w:t xml:space="preserve"> 负责答复；供应商对除采购需求外的采购文件的询问、质疑由</w:t>
      </w:r>
      <w:r>
        <w:rPr/>
        <w:t>陕西亘上项目管理咨询有限公司</w:t>
      </w:r>
      <w:r>
        <w:rPr/>
        <w:t xml:space="preserve"> 负责答复；供应商对采购过程、采购结果的询问、质疑由 </w:t>
      </w:r>
      <w:r>
        <w:rPr/>
        <w:t>陕西亘上项目管理咨询有限公司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w:t>
      </w:r>
    </w:p>
    <w:p>
      <w:pPr>
        <w:pStyle w:val="null3"/>
      </w:pPr>
      <w:r>
        <w:rPr/>
        <w:t>联系电话：029-87363598</w:t>
      </w:r>
    </w:p>
    <w:p>
      <w:pPr>
        <w:pStyle w:val="null3"/>
      </w:pPr>
      <w:r>
        <w:rPr/>
        <w:t>地址：陕西省西安市未央区未央路荣豪大厦12层1222室</w:t>
      </w:r>
    </w:p>
    <w:p>
      <w:pPr>
        <w:pStyle w:val="null3"/>
      </w:pPr>
      <w:r>
        <w:rPr/>
        <w:t>邮编：710016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深入贯彻落实“实施自由贸易试验区提升战略”决策部署和省市领导对自贸试验区建设成效考核评估工作的批示要求，全面展现自贸试验区建设成效，破解自贸区制度创新系统性集成性不高的问题，现计划开展自贸试验区创新成果评估及优化提升项目，深度破解自贸试验区制度创新系统集成性不高的问题，积极探寻提升制度创新系统集成性的有效路径，助力自贸试验区高水平开放高质量发展迈上新台阶。</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自贸试验区创新成果评估及优化提升服务</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标的名称：自贸试验区创新成果评估及优化提升服务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全面系统评估。围绕深化改革创新、扩大对外开放、优化营商环境等方面对自贸试验区西安区域中心片区、国际港务区片区自揭牌以来的建设成效进行总体评估。</w:t>
            </w:r>
          </w:p>
        </w:tc>
      </w:tr>
      <w:tr>
        <w:tc>
          <w:tcPr>
            <w:tcW w:type="dxa" w:w="2769"/>
          </w:tcPr>
          <w:p/>
        </w:tc>
        <w:tc>
          <w:tcPr>
            <w:tcW w:type="dxa" w:w="2769"/>
          </w:tcPr>
          <w:p>
            <w:pPr>
              <w:pStyle w:val="null3"/>
            </w:pPr>
            <w:r>
              <w:rPr/>
              <w:t>2</w:t>
            </w:r>
          </w:p>
        </w:tc>
        <w:tc>
          <w:tcPr>
            <w:tcW w:type="dxa" w:w="2769"/>
          </w:tcPr>
          <w:p>
            <w:pPr>
              <w:pStyle w:val="null3"/>
              <w:jc w:val="both"/>
            </w:pPr>
            <w:r>
              <w:rPr>
                <w:rFonts w:ascii="calibri" w:hAnsi="calibri" w:cs="calibri" w:eastAsia="calibri"/>
                <w:sz w:val="21"/>
              </w:rPr>
              <w:t>1.1</w:t>
            </w:r>
            <w:r>
              <w:rPr>
                <w:rFonts w:ascii="宋体" w:hAnsi="宋体" w:cs="宋体" w:eastAsia="宋体"/>
                <w:sz w:val="21"/>
              </w:rPr>
              <w:t>根据《考核评估方案》分解细化评估指标，收集相关佐证支撑材料，汇总形成系统性评估报告。</w:t>
            </w:r>
          </w:p>
        </w:tc>
      </w:tr>
      <w:tr>
        <w:tc>
          <w:tcPr>
            <w:tcW w:type="dxa" w:w="2769"/>
          </w:tcPr>
          <w:p/>
        </w:tc>
        <w:tc>
          <w:tcPr>
            <w:tcW w:type="dxa" w:w="2769"/>
          </w:tcPr>
          <w:p>
            <w:pPr>
              <w:pStyle w:val="null3"/>
            </w:pPr>
            <w:r>
              <w:rPr/>
              <w:t>3</w:t>
            </w:r>
          </w:p>
        </w:tc>
        <w:tc>
          <w:tcPr>
            <w:tcW w:type="dxa" w:w="2769"/>
          </w:tcPr>
          <w:p>
            <w:pPr>
              <w:pStyle w:val="null3"/>
              <w:jc w:val="both"/>
            </w:pPr>
            <w:r>
              <w:rPr>
                <w:rFonts w:ascii="calibri" w:hAnsi="calibri" w:cs="calibri" w:eastAsia="calibri"/>
                <w:sz w:val="21"/>
              </w:rPr>
              <w:t xml:space="preserve">1.2  </w:t>
            </w:r>
            <w:r>
              <w:rPr>
                <w:rFonts w:ascii="宋体" w:hAnsi="宋体" w:cs="宋体" w:eastAsia="宋体"/>
                <w:sz w:val="21"/>
              </w:rPr>
              <w:t>邀请商务部等自贸相关领域专家，对功能区、自贸工作领导小组成员单位进行自贸考核评估及制度创新相关培训，年内不少于两次，每次不少于</w:t>
            </w:r>
            <w:r>
              <w:rPr>
                <w:rFonts w:ascii="calibri" w:hAnsi="calibri" w:cs="calibri" w:eastAsia="calibri"/>
                <w:sz w:val="21"/>
              </w:rPr>
              <w:t>30</w:t>
            </w:r>
            <w:r>
              <w:rPr>
                <w:rFonts w:ascii="宋体" w:hAnsi="宋体" w:cs="宋体" w:eastAsia="宋体"/>
                <w:sz w:val="21"/>
              </w:rPr>
              <w:t>人，解读评估方法和要点，提供考核评估辅导。</w:t>
            </w:r>
          </w:p>
        </w:tc>
      </w:tr>
      <w:tr>
        <w:tc>
          <w:tcPr>
            <w:tcW w:type="dxa" w:w="2769"/>
          </w:tcPr>
          <w:p/>
        </w:tc>
        <w:tc>
          <w:tcPr>
            <w:tcW w:type="dxa" w:w="2769"/>
          </w:tcPr>
          <w:p>
            <w:pPr>
              <w:pStyle w:val="null3"/>
            </w:pPr>
            <w:r>
              <w:rPr/>
              <w:t>4</w:t>
            </w:r>
          </w:p>
        </w:tc>
        <w:tc>
          <w:tcPr>
            <w:tcW w:type="dxa" w:w="2769"/>
          </w:tcPr>
          <w:p>
            <w:pPr>
              <w:pStyle w:val="null3"/>
              <w:jc w:val="both"/>
            </w:pPr>
            <w:r>
              <w:rPr>
                <w:rFonts w:ascii="calibri" w:hAnsi="calibri" w:cs="calibri" w:eastAsia="calibri"/>
                <w:sz w:val="21"/>
              </w:rPr>
              <w:t xml:space="preserve">1.3  </w:t>
            </w:r>
            <w:r>
              <w:rPr>
                <w:rFonts w:ascii="宋体" w:hAnsi="宋体" w:cs="宋体" w:eastAsia="宋体"/>
                <w:sz w:val="21"/>
              </w:rPr>
              <w:t>根据项目实施情况提出调研方向和沟通需求，组织功能区及相关部门赴先进自贸区考察调研，与中西部及东北地区自贸试验区做好横向比对，提出改进措施。</w:t>
            </w:r>
          </w:p>
        </w:tc>
      </w:tr>
      <w:tr>
        <w:tc>
          <w:tcPr>
            <w:tcW w:type="dxa" w:w="2769"/>
          </w:tcPr>
          <w:p/>
        </w:tc>
        <w:tc>
          <w:tcPr>
            <w:tcW w:type="dxa" w:w="2769"/>
          </w:tcPr>
          <w:p>
            <w:pPr>
              <w:pStyle w:val="null3"/>
            </w:pPr>
            <w:r>
              <w:rPr/>
              <w:t>5</w:t>
            </w:r>
          </w:p>
        </w:tc>
        <w:tc>
          <w:tcPr>
            <w:tcW w:type="dxa" w:w="2769"/>
          </w:tcPr>
          <w:p>
            <w:pPr>
              <w:pStyle w:val="null3"/>
              <w:jc w:val="both"/>
            </w:pPr>
            <w:r>
              <w:rPr>
                <w:rFonts w:ascii="calibri" w:hAnsi="calibri" w:cs="calibri" w:eastAsia="calibri"/>
                <w:sz w:val="21"/>
              </w:rPr>
              <w:t>2.</w:t>
            </w:r>
            <w:r>
              <w:rPr>
                <w:rFonts w:ascii="宋体" w:hAnsi="宋体" w:cs="宋体" w:eastAsia="宋体"/>
                <w:sz w:val="21"/>
              </w:rPr>
              <w:t>优化创新成果。通过梳理已有成果、定期总结点评、深度挖掘线索、聚焦重点产业等举措，助力自贸试验区制度创新质量和系统集成性全面提升。</w:t>
            </w:r>
          </w:p>
        </w:tc>
      </w:tr>
      <w:tr>
        <w:tc>
          <w:tcPr>
            <w:tcW w:type="dxa" w:w="2769"/>
          </w:tcPr>
          <w:p/>
        </w:tc>
        <w:tc>
          <w:tcPr>
            <w:tcW w:type="dxa" w:w="2769"/>
          </w:tcPr>
          <w:p>
            <w:pPr>
              <w:pStyle w:val="null3"/>
            </w:pPr>
            <w:r>
              <w:rPr/>
              <w:t>6</w:t>
            </w:r>
          </w:p>
        </w:tc>
        <w:tc>
          <w:tcPr>
            <w:tcW w:type="dxa" w:w="2769"/>
          </w:tcPr>
          <w:p>
            <w:pPr>
              <w:pStyle w:val="null3"/>
              <w:jc w:val="both"/>
            </w:pPr>
            <w:r>
              <w:rPr>
                <w:rFonts w:ascii="calibri" w:hAnsi="calibri" w:cs="calibri" w:eastAsia="calibri"/>
                <w:sz w:val="21"/>
              </w:rPr>
              <w:t xml:space="preserve">2.1  </w:t>
            </w:r>
            <w:r>
              <w:rPr>
                <w:rFonts w:ascii="宋体" w:hAnsi="宋体" w:cs="宋体" w:eastAsia="宋体"/>
                <w:sz w:val="21"/>
              </w:rPr>
              <w:t>优化提升案例，建立自贸试验区西安区域创新案例储备资源库，并对储备案例进行定期评估、研究分析并整体优化，提升创新案例系统集成性；</w:t>
            </w:r>
          </w:p>
        </w:tc>
      </w:tr>
      <w:tr>
        <w:tc>
          <w:tcPr>
            <w:tcW w:type="dxa" w:w="2769"/>
          </w:tcPr>
          <w:p/>
        </w:tc>
        <w:tc>
          <w:tcPr>
            <w:tcW w:type="dxa" w:w="2769"/>
          </w:tcPr>
          <w:p>
            <w:pPr>
              <w:pStyle w:val="null3"/>
            </w:pPr>
            <w:r>
              <w:rPr/>
              <w:t>7</w:t>
            </w:r>
          </w:p>
        </w:tc>
        <w:tc>
          <w:tcPr>
            <w:tcW w:type="dxa" w:w="2769"/>
          </w:tcPr>
          <w:p>
            <w:pPr>
              <w:pStyle w:val="null3"/>
              <w:jc w:val="both"/>
            </w:pPr>
            <w:r>
              <w:rPr>
                <w:rFonts w:ascii="calibri" w:hAnsi="calibri" w:cs="calibri" w:eastAsia="calibri"/>
                <w:sz w:val="21"/>
              </w:rPr>
              <w:t xml:space="preserve">2.2  </w:t>
            </w:r>
            <w:r>
              <w:rPr>
                <w:rFonts w:ascii="宋体" w:hAnsi="宋体" w:cs="宋体" w:eastAsia="宋体"/>
                <w:sz w:val="21"/>
              </w:rPr>
              <w:t>挖掘创新线索，每季度挖掘跟进有价值的创新线索不少于</w:t>
            </w:r>
            <w:r>
              <w:rPr>
                <w:rFonts w:ascii="calibri" w:hAnsi="calibri" w:cs="calibri" w:eastAsia="calibri"/>
                <w:sz w:val="21"/>
              </w:rPr>
              <w:t>10</w:t>
            </w:r>
            <w:r>
              <w:rPr>
                <w:rFonts w:ascii="宋体" w:hAnsi="宋体" w:cs="宋体" w:eastAsia="宋体"/>
                <w:sz w:val="21"/>
              </w:rPr>
              <w:t>条，全年形成创新成果不少于</w:t>
            </w:r>
            <w:r>
              <w:rPr>
                <w:rFonts w:ascii="calibri" w:hAnsi="calibri" w:cs="calibri" w:eastAsia="calibri"/>
                <w:sz w:val="21"/>
              </w:rPr>
              <w:t>40</w:t>
            </w:r>
            <w:r>
              <w:rPr>
                <w:rFonts w:ascii="宋体" w:hAnsi="宋体" w:cs="宋体" w:eastAsia="宋体"/>
                <w:sz w:val="21"/>
              </w:rPr>
              <w:t>项；</w:t>
            </w:r>
          </w:p>
        </w:tc>
      </w:tr>
      <w:tr>
        <w:tc>
          <w:tcPr>
            <w:tcW w:type="dxa" w:w="2769"/>
          </w:tcPr>
          <w:p/>
        </w:tc>
        <w:tc>
          <w:tcPr>
            <w:tcW w:type="dxa" w:w="2769"/>
          </w:tcPr>
          <w:p>
            <w:pPr>
              <w:pStyle w:val="null3"/>
            </w:pPr>
            <w:r>
              <w:rPr/>
              <w:t>8</w:t>
            </w:r>
          </w:p>
        </w:tc>
        <w:tc>
          <w:tcPr>
            <w:tcW w:type="dxa" w:w="2769"/>
          </w:tcPr>
          <w:p>
            <w:pPr>
              <w:pStyle w:val="null3"/>
              <w:jc w:val="both"/>
            </w:pPr>
            <w:r>
              <w:rPr>
                <w:rFonts w:ascii="calibri" w:hAnsi="calibri" w:cs="calibri" w:eastAsia="calibri"/>
                <w:sz w:val="21"/>
              </w:rPr>
              <w:t xml:space="preserve">2.3  </w:t>
            </w:r>
            <w:r>
              <w:rPr>
                <w:rFonts w:ascii="宋体" w:hAnsi="宋体" w:cs="宋体" w:eastAsia="宋体"/>
                <w:sz w:val="21"/>
              </w:rPr>
              <w:t>结合自贸区重点产业发展需求，培育优势鲜明、系统性强、集成度高的自贸试验区创新成果，争取形成</w:t>
            </w:r>
            <w:r>
              <w:rPr>
                <w:rFonts w:ascii="calibri" w:hAnsi="calibri" w:cs="calibri" w:eastAsia="calibri"/>
                <w:sz w:val="21"/>
              </w:rPr>
              <w:t>15</w:t>
            </w:r>
            <w:r>
              <w:rPr>
                <w:rFonts w:ascii="宋体" w:hAnsi="宋体" w:cs="宋体" w:eastAsia="宋体"/>
                <w:sz w:val="21"/>
              </w:rPr>
              <w:t>项以上省级或国家级创新成果。</w:t>
            </w:r>
          </w:p>
        </w:tc>
      </w:tr>
    </w:tbl>
    <w:p>
      <w:pPr>
        <w:pStyle w:val="null3"/>
        <w:outlineLvl w:val="2"/>
      </w:pPr>
      <w:r>
        <w:rPr>
          <w:b/>
          <w:sz w:val="28"/>
        </w:rPr>
        <w:t>3.2.3人员配置要求</w:t>
      </w:r>
    </w:p>
    <w:p>
      <w:pPr>
        <w:pStyle w:val="null3"/>
      </w:pPr>
      <w:r>
        <w:rPr/>
        <w:t>采购包1：</w:t>
      </w:r>
    </w:p>
    <w:p>
      <w:pPr>
        <w:pStyle w:val="null3"/>
      </w:pPr>
      <w:r>
        <w:rPr/>
        <w:t>供应商根据采购需求配备相关人员</w:t>
      </w:r>
    </w:p>
    <w:p>
      <w:pPr>
        <w:pStyle w:val="null3"/>
        <w:outlineLvl w:val="2"/>
      </w:pPr>
      <w:r>
        <w:rPr>
          <w:b/>
          <w:sz w:val="28"/>
        </w:rPr>
        <w:t>3.2.4设施设备要求</w:t>
      </w:r>
    </w:p>
    <w:p>
      <w:pPr>
        <w:pStyle w:val="null3"/>
      </w:pPr>
      <w:r>
        <w:rPr/>
        <w:t>采购包1：</w:t>
      </w:r>
    </w:p>
    <w:p>
      <w:pPr>
        <w:pStyle w:val="null3"/>
      </w:pPr>
      <w:r>
        <w:rPr/>
        <w:t>供应商根据采购需求配备相关设施设备。</w:t>
      </w:r>
    </w:p>
    <w:p>
      <w:pPr>
        <w:pStyle w:val="null3"/>
        <w:outlineLvl w:val="2"/>
      </w:pPr>
      <w:r>
        <w:rPr>
          <w:b/>
          <w:sz w:val="28"/>
        </w:rPr>
        <w:t>3.2.5其他要求</w:t>
      </w:r>
    </w:p>
    <w:p>
      <w:pPr>
        <w:pStyle w:val="null3"/>
      </w:pPr>
      <w:r>
        <w:rPr/>
        <w:t>采购包1：</w:t>
      </w:r>
    </w:p>
    <w:p>
      <w:pPr>
        <w:pStyle w:val="null3"/>
      </w:pPr>
      <w:r>
        <w:rPr/>
        <w:t>1、供应商如认为需要查看服务场地，可自行前往本项目服务地点。 2、为顺利推进政府采购电子化交易平台应用工作供应商需要在线提交所有通过电子化交易平台实施的政府采购项目的磋商响应文件，同时，线下提交磋商响应文件正本壹套副本贰套、电子版壹套(密封在一起)。若电子化交易平台文件与纸质磋商响应文件不一致的，以电子化交易平台文件为准。线下递交文件时间与线上磋商截止时间一致;线下递交文件地点:陕西省西安市未央区未央路荣豪大厦12层1222室</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自合同签订之日起至项目评审结束时止。</w:t>
      </w:r>
    </w:p>
    <w:p>
      <w:pPr>
        <w:pStyle w:val="null3"/>
        <w:outlineLvl w:val="3"/>
      </w:pPr>
      <w:r>
        <w:rPr>
          <w:b/>
          <w:sz w:val="24"/>
        </w:rPr>
        <w:t>3.3.2服务地点</w:t>
      </w:r>
    </w:p>
    <w:p>
      <w:pPr>
        <w:pStyle w:val="null3"/>
      </w:pPr>
      <w:r>
        <w:rPr/>
        <w:t>采购包1：</w:t>
      </w:r>
    </w:p>
    <w:p>
      <w:pPr>
        <w:pStyle w:val="null3"/>
      </w:pPr>
      <w:r>
        <w:rPr/>
        <w:t>甲方指定地点</w:t>
      </w:r>
    </w:p>
    <w:p>
      <w:pPr>
        <w:pStyle w:val="null3"/>
        <w:outlineLvl w:val="3"/>
      </w:pPr>
      <w:r>
        <w:rPr>
          <w:b/>
          <w:sz w:val="24"/>
        </w:rPr>
        <w:t>3.3.3考核（验收）标准和方法</w:t>
      </w:r>
    </w:p>
    <w:p>
      <w:pPr>
        <w:pStyle w:val="null3"/>
      </w:pPr>
      <w:r>
        <w:rPr/>
        <w:t>采购包1：</w:t>
      </w:r>
    </w:p>
    <w:p>
      <w:pPr>
        <w:pStyle w:val="null3"/>
      </w:pPr>
      <w:r>
        <w:rPr/>
        <w:t>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合同签订后15个工作日内支付合同总价款的60%；</w:t>
      </w:r>
      <w:r>
        <w:rPr/>
        <w:t xml:space="preserve"> ，达到付款条件起 </w:t>
      </w:r>
      <w:r>
        <w:rPr/>
        <w:t>15</w:t>
      </w:r>
      <w:r>
        <w:rPr/>
        <w:t xml:space="preserve"> 日内，支付合同总金额的 </w:t>
      </w:r>
      <w:r>
        <w:rPr/>
        <w:t>60.00</w:t>
      </w:r>
      <w:r>
        <w:rPr/>
        <w:t>%。</w:t>
      </w:r>
    </w:p>
    <w:p>
      <w:pPr>
        <w:pStyle w:val="null3"/>
      </w:pPr>
      <w:r>
        <w:rPr/>
        <w:t>采购包1：</w:t>
      </w:r>
      <w:r>
        <w:rPr/>
        <w:t xml:space="preserve"> 付款条件说明： </w:t>
      </w:r>
      <w:r>
        <w:rPr/>
        <w:t>成果交付验收合格后，15个工作日内支付合同总价款的40%。</w:t>
      </w:r>
      <w:r>
        <w:rPr/>
        <w:t xml:space="preserve"> ，达到付款条件起 </w:t>
      </w:r>
      <w:r>
        <w:rPr/>
        <w:t>15</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3.3.6.2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pPr>
        <w:pStyle w:val="null3"/>
        <w:outlineLvl w:val="2"/>
      </w:pPr>
      <w:r>
        <w:rPr>
          <w:b/>
          <w:sz w:val="28"/>
        </w:rPr>
        <w:t>3.4其他要求</w:t>
      </w:r>
    </w:p>
    <w:p>
      <w:pPr>
        <w:pStyle w:val="null3"/>
      </w:pPr>
      <w:r>
        <w:rPr/>
        <w:t>（一）对服务商的业绩要求 了解全国自贸区发展情况，对全国各自贸试验区建设成效和特色优势有较为深入的研究；在自贸试验区创新案例研究方面具有领先水平；熟悉各领域自贸试验区创新的系统性。 （二）进度要求 2024年12月20日完成项目各项指标要求、总结以及成果评审等工作。 （三）成果交付要求 3.4.1全面系统评估 3.4.1.1 2024年7月20日按照甲方要求阶段性完成自贸试验区中心片区、国际港务区片区全面系统评估工作材料汇总梳理，分析研判，形成评估报告，并根据甲方要求持续完善。 3.4.1.2 2024年6月30日前、8月30日前分别组织开展一次培训活动，并负责邀请培训讲师、安排培训场地等工作。 3.4.1.3 根据项目需求，提出调研方向和内容，并协助组织开展1-2次自贸试验区专题调研活动。 3.5.1优化创新成果 3.5.1.1 2024年5月20日开始建立自贸试验区西安区域创新案例储备资源库，并对新增储备案例进行即时评估、研究分析和整体优化，提升创新案例系统集成性； 3.5.1.2 每季度挖掘跟进有价值的创新线索不少于10条，2024年形成创新成果不少于40项； 3.5.1.3 2024年形成15项以上省级或国家级创新成果。</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具有独立承担民事责任能力的法人、其他组织或自然人，并出具合法有效的相关证明材料。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提供2022或2023年度的财务审计报告（成立时间至提交响应文件截止时间不足一年的可提供成立后任意时段的资产负债表）或其基本存款账户开户银行出具的资信证明及基本存款账户开户许可证（基本账户存款信息）。</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提供2023年10月至今已缴纳的任意1个月的纳税证明或完税证明，依法免税的单位应提供相关证明材料。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提供2023年10月至今已缴纳的任意1个月的社会保障资金缴存单据或社保机构开具的社会保险参保缴费情况证明，依法不需要缴纳社会保障资金的单位应提供相关证明材料。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提供具有履行合同所必需的设备和专业技术能力的承诺。</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法定代表人授权书及被授权人身份证（法定代表人直接参加磋商的须提供其法定代表人身份证），非法人单位参照执行。</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参加政府采购活动前三年内，在经营活动中没有重大违法记录的书面声明（成立时间至提交响应文件截止时间不足三年的可提供成立至今的书面声明）。</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服务内容及服务邀请应答表 商务应答表 标的清单 报价表</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项目实施计划与服务方案</w:t>
            </w:r>
          </w:p>
        </w:tc>
        <w:tc>
          <w:tcPr>
            <w:tcW w:type="dxa" w:w="2492"/>
          </w:tcPr>
          <w:p>
            <w:pPr>
              <w:pStyle w:val="null3"/>
            </w:pPr>
            <w:r>
              <w:rPr/>
              <w:t>对本项目实施计划与服务方案（包括但不限于服务标准、服务流程、服务内容、服务响应等） 1）完整性、合理性、可行性较强得.21-33分； 2）完整性、合理性、可行性一般得 10-20分； 3）完整性、合理性、可行性较差得1-9分； 4）未提供相关内容的不得分。</w:t>
            </w:r>
          </w:p>
        </w:tc>
        <w:tc>
          <w:tcPr>
            <w:tcW w:type="dxa" w:w="831"/>
          </w:tcPr>
          <w:p>
            <w:pPr>
              <w:pStyle w:val="null3"/>
              <w:jc w:val="right"/>
            </w:pPr>
            <w:r>
              <w:rPr/>
              <w:t>33.00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对本项目工作内容的理解</w:t>
            </w:r>
          </w:p>
        </w:tc>
        <w:tc>
          <w:tcPr>
            <w:tcW w:type="dxa" w:w="2492"/>
          </w:tcPr>
          <w:p>
            <w:pPr>
              <w:pStyle w:val="null3"/>
            </w:pPr>
            <w:r>
              <w:rPr/>
              <w:t>对本项目工作内容的认识理解程度（包括整体项目需求、每项服务需求等）： 1）对本项目理解深刻，分析正确、合理得10-15分； 2）对本项目基本理解，分析基本正确、合理得 5-9分； 3）对本项目理解一般，重点、难点分析不全面得 1-4分； 4）未提供相关内容的不得分。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进度目标及保障措施</w:t>
            </w:r>
          </w:p>
        </w:tc>
        <w:tc>
          <w:tcPr>
            <w:tcW w:type="dxa" w:w="2492"/>
          </w:tcPr>
          <w:p>
            <w:pPr>
              <w:pStyle w:val="null3"/>
            </w:pPr>
            <w:r>
              <w:rPr/>
              <w:t>供应商针对本项目提供详细的进度目标及保障措施： 1）进度目标及保障措施详尽，完全满足采购人需求，能够保证服务质量，及时协调解决各类问题，得6-8分； 2）进度目标及保障措施较全面，基本满足采购人需求，保证服务质量，基本能协调解决各类问题，得3-5分； 3）进度目标及保障措施简略，部分满足采购人需求，保证服务质量，及协调解决各类问题的能力不强，得1-2 分； 4）未提供相关内容的不得分。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质量控制措施</w:t>
            </w:r>
          </w:p>
        </w:tc>
        <w:tc>
          <w:tcPr>
            <w:tcW w:type="dxa" w:w="2492"/>
          </w:tcPr>
          <w:p>
            <w:pPr>
              <w:pStyle w:val="null3"/>
            </w:pPr>
            <w:r>
              <w:rPr/>
              <w:t>供应商针对本项目提供详细的质量控制措施： 1）质量控制措施全面、合理、可靠，具有针对性，得6-8分； 2）质量控制措施质量较全面、合理、可行，基本满足需求， 得3-5分； 3）质量控制措施简单，不合理，内容有重大缺陷，得1-2分； 4）未提供相关内容的不得分。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供应商针对本项目提供服务团队的人员配备方案： 1）人员配备合理，专业性强，经验丰富，职责分工明确，得8-10分； 2）人员配备一般、专业性一般，经验欠缺，职责分工一般， 得4-7分； 3）人员配备合理差、专业性差，职责分工不明确，得1-3分； 4）未提供相关内容的不得分。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重难点分析</w:t>
            </w:r>
          </w:p>
        </w:tc>
        <w:tc>
          <w:tcPr>
            <w:tcW w:type="dxa" w:w="2492"/>
          </w:tcPr>
          <w:p>
            <w:pPr>
              <w:pStyle w:val="null3"/>
            </w:pPr>
            <w:r>
              <w:rPr/>
              <w:t>供应商针对本项目进行重难点分析： 1）方案合理，对工作重点、难点分析准确的得5分； 2）方案较合理，对工作重点、难点分析较准确的得3-4分； 3）方案较差，对工作重点、难点分析较差的得 1-2分； 4）未提供相关内容的不得分。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供应商针对本项目进行承诺（从管理质量、服务质量等方面）： 1）承诺内容完整详尽，且不限于上述所要求内容的得4-5分； 2）承诺内容无缺漏，对上述所要求内容描述符合招标文件的得2-3分； （3）不符合上述两种情形的得0-1分。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提供2021年01月01日至今类似项目业绩合同（以合同签订时间为准）每提供一份有效业绩得2分，最高得6分。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价格分统一采用低价优先法计算，即满足磋商文件要求且磋商价格最低的磋商报价为投标基准价，其价格分为满分。其他供应商的价格分统一按照下列公式计算： 磋商报价得分=(投标基准价／最终报价)×10 计算分数时四舍五入取小数点后两位 注：本项目专门面向中小企业，故不再进行价格分扣除。</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