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车管处西所房屋租赁项目</w:t>
      </w:r>
    </w:p>
    <w:p>
      <w:pPr>
        <w:pStyle w:val="null3"/>
        <w:jc w:val="center"/>
        <w:outlineLvl w:val="5"/>
      </w:pPr>
      <w:r>
        <w:rPr>
          <w:sz w:val="15"/>
          <w:b/>
        </w:rPr>
        <w:t xml:space="preserve">采购项目编号: </w:t>
      </w:r>
      <w:r>
        <w:rPr>
          <w:sz w:val="15"/>
          <w:b/>
        </w:rPr>
        <w:t>SDZC2024-041</w:t>
      </w:r>
      <w:r>
        <w:br/>
      </w:r>
      <w:r>
        <w:br/>
      </w:r>
      <w:r>
        <w:br/>
      </w:r>
    </w:p>
    <w:p>
      <w:pPr>
        <w:pStyle w:val="null3"/>
        <w:jc w:val="center"/>
        <w:outlineLvl w:val="5"/>
      </w:pPr>
      <w:r>
        <w:rPr>
          <w:sz w:val="15"/>
          <w:b/>
        </w:rPr>
        <w:t>西安市公安局交通警察支队</w:t>
      </w:r>
    </w:p>
    <w:p>
      <w:pPr>
        <w:pStyle w:val="null3"/>
        <w:jc w:val="center"/>
        <w:outlineLvl w:val="5"/>
      </w:pPr>
      <w:r>
        <w:rPr>
          <w:sz w:val="15"/>
          <w:b/>
        </w:rPr>
        <w:t>陕西上德招标有限公司</w:t>
      </w:r>
      <w:r>
        <w:rPr>
          <w:sz w:val="15"/>
          <w:b/>
        </w:rPr>
        <w:t>共同编制</w:t>
      </w:r>
    </w:p>
    <w:p>
      <w:pPr>
        <w:pStyle w:val="null3"/>
        <w:jc w:val="center"/>
        <w:outlineLvl w:val="5"/>
      </w:pPr>
      <w:r>
        <w:rPr>
          <w:sz w:val="15"/>
          <w:b/>
        </w:rPr>
        <w:t>2024年05月27日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陕西上德招标有限公司</w:t>
      </w:r>
      <w:r>
        <w:rPr/>
        <w:t>（以下简称“代理机构”）受</w:t>
      </w:r>
      <w:r>
        <w:rPr/>
        <w:t>西安市公安局交通警察支队</w:t>
      </w:r>
      <w:r>
        <w:rPr/>
        <w:t>委托，拟对</w:t>
      </w:r>
      <w:r>
        <w:rPr/>
        <w:t>车管处西所房屋租赁项目</w:t>
      </w:r>
      <w:r>
        <w:rPr/>
        <w:t>采用单一来源方式进行采购，现邀请贵公司参加该项目的协商。</w:t>
      </w:r>
    </w:p>
    <w:p>
      <w:pPr>
        <w:pStyle w:val="null3"/>
        <w:outlineLvl w:val="2"/>
      </w:pPr>
      <w:r>
        <w:rPr>
          <w:sz w:val="28"/>
          <w:b/>
        </w:rPr>
        <w:t xml:space="preserve"> 一、采购项目编号：</w:t>
      </w:r>
      <w:r>
        <w:rPr>
          <w:sz w:val="28"/>
          <w:b/>
        </w:rPr>
        <w:t>SDZC2024-041</w:t>
      </w:r>
    </w:p>
    <w:p>
      <w:pPr>
        <w:pStyle w:val="null3"/>
        <w:outlineLvl w:val="2"/>
      </w:pPr>
      <w:r>
        <w:rPr>
          <w:sz w:val="28"/>
          <w:b/>
        </w:rPr>
        <w:t xml:space="preserve"> 二、采购项目名称：</w:t>
      </w:r>
      <w:r>
        <w:rPr>
          <w:sz w:val="28"/>
          <w:b/>
        </w:rPr>
        <w:t>车管处西所房屋租赁项目</w:t>
      </w:r>
    </w:p>
    <w:p>
      <w:pPr>
        <w:pStyle w:val="null3"/>
        <w:outlineLvl w:val="2"/>
      </w:pPr>
      <w:r>
        <w:rPr>
          <w:sz w:val="28"/>
          <w:b/>
        </w:rPr>
        <w:t>三、协商项目简介：</w:t>
      </w:r>
    </w:p>
    <w:p>
      <w:pPr>
        <w:pStyle w:val="null3"/>
        <w:ind w:firstLine="480"/>
      </w:pPr>
      <w:r>
        <w:rPr/>
        <w:t>西所房屋租赁项目</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采购包1（车管处西所房屋租赁项目）：属于专门面向中小企业采购。</w:t>
      </w:r>
    </w:p>
    <w:p>
      <w:pPr>
        <w:pStyle w:val="null3"/>
        <w:ind w:firstLine="480"/>
      </w:pPr>
      <w:r>
        <w:rPr/>
        <w:t>（三）本项目的特定资格要求：</w:t>
      </w:r>
    </w:p>
    <w:p>
      <w:pPr>
        <w:pStyle w:val="null3"/>
      </w:pPr>
      <w:r>
        <w:rPr/>
        <w:t>采购包1：</w:t>
      </w:r>
    </w:p>
    <w:p>
      <w:pPr>
        <w:pStyle w:val="null3"/>
      </w:pPr>
      <w:r>
        <w:rPr/>
        <w:t>1、提供投标人合法注册的法人或其他组织的营业执照等证明文件或自然人的身份证明：提供投标人合法注册的法人或其他组织的营业执照等证明文件或自然人的身份证明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 ：税收缴纳证明：提供截止至开标时间前一年内任意一个月的缴纳凭据；（增值税、企业所得税至少提供一种，依法免税的供应商应提供相关文件证明）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式样见单一来源采购响应文件格式）</w:t>
      </w:r>
    </w:p>
    <w:p>
      <w:pPr>
        <w:pStyle w:val="null3"/>
      </w:pPr>
      <w:r>
        <w:rPr/>
        <w:t>8、信用信息：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协商小组在单一来源采购响应截止日当天在“信用中国”网站和中国政府采购网站进行查询，截图留档；如网站无供应商信息的，供应商须提供相关证明资料或书面声明）。</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西安市公安局交通警察支队</w:t>
      </w:r>
    </w:p>
    <w:p>
      <w:pPr>
        <w:pStyle w:val="null3"/>
      </w:pPr>
      <w:r>
        <w:rPr/>
        <w:t xml:space="preserve"> 地址： </w:t>
      </w:r>
      <w:r>
        <w:rPr/>
        <w:t>太白南路222号</w:t>
      </w:r>
    </w:p>
    <w:p>
      <w:pPr>
        <w:pStyle w:val="null3"/>
      </w:pPr>
      <w:r>
        <w:rPr/>
        <w:t xml:space="preserve"> 邮编： </w:t>
      </w:r>
      <w:r>
        <w:rPr/>
        <w:t>710000</w:t>
      </w:r>
    </w:p>
    <w:p>
      <w:pPr>
        <w:pStyle w:val="null3"/>
      </w:pPr>
      <w:r>
        <w:rPr/>
        <w:t xml:space="preserve"> 联系人： </w:t>
      </w:r>
      <w:r>
        <w:rPr/>
        <w:t>车管处杜建革</w:t>
      </w:r>
    </w:p>
    <w:p>
      <w:pPr>
        <w:pStyle w:val="null3"/>
      </w:pPr>
      <w:r>
        <w:rPr/>
        <w:t xml:space="preserve"> 联系电话： </w:t>
      </w:r>
      <w:r>
        <w:rPr/>
        <w:t>18591871395</w:t>
      </w:r>
    </w:p>
    <w:p>
      <w:pPr>
        <w:pStyle w:val="null3"/>
        <w:outlineLvl w:val="2"/>
      </w:pPr>
      <w:r>
        <w:rPr>
          <w:sz w:val="28"/>
          <w:b/>
        </w:rPr>
        <w:t xml:space="preserve"> 代理机构：</w:t>
      </w:r>
      <w:r>
        <w:rPr>
          <w:sz w:val="28"/>
          <w:b/>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710000</w:t>
      </w:r>
    </w:p>
    <w:p>
      <w:pPr>
        <w:pStyle w:val="null3"/>
      </w:pPr>
      <w:r>
        <w:rPr/>
        <w:t xml:space="preserve"> 联系人： </w:t>
      </w:r>
      <w:r>
        <w:rPr/>
        <w:t>曹幸（6号工位）</w:t>
      </w:r>
    </w:p>
    <w:p>
      <w:pPr>
        <w:pStyle w:val="null3"/>
      </w:pPr>
      <w:r>
        <w:rPr/>
        <w:t xml:space="preserve"> 联系电话： </w:t>
      </w:r>
      <w:r>
        <w:rPr/>
        <w:t>029-86673953、86518381、89299829、89293231转8006</w:t>
      </w:r>
    </w:p>
    <w:p>
      <w:pPr>
        <w:pStyle w:val="null3"/>
        <w:outlineLvl w:val="2"/>
      </w:pPr>
      <w:r>
        <w:rPr>
          <w:sz w:val="28"/>
          <w:b/>
        </w:rPr>
        <w:t xml:space="preserve"> 采购监督机构：</w:t>
      </w:r>
      <w:r>
        <w:rPr>
          <w:sz w:val="28"/>
          <w:b/>
        </w:rPr>
        <w:t>西安市财政局政府采购管理处</w:t>
      </w:r>
    </w:p>
    <w:p>
      <w:pPr>
        <w:pStyle w:val="null3"/>
        <w:ind w:firstLine="480"/>
      </w:pPr>
      <w:r>
        <w:rPr/>
        <w:t>联系人：</w:t>
      </w:r>
      <w:r>
        <w:rPr/>
        <w:t>陈博敏</w:t>
      </w:r>
    </w:p>
    <w:p>
      <w:pPr>
        <w:pStyle w:val="null3"/>
        <w:ind w:firstLine="480"/>
      </w:pPr>
      <w:r>
        <w:rPr/>
        <w:t>联系电话：</w:t>
      </w:r>
      <w:r>
        <w:rPr/>
        <w:t>029-89821848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采购包1：990,000.00元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本项目不收取代理服务费</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西安市公安局交通警察支队</w:t>
      </w:r>
      <w:r>
        <w:rPr/>
        <w:t>和</w:t>
      </w:r>
      <w:r>
        <w:rPr/>
        <w:t>陕西上德招标有限公司</w:t>
      </w:r>
      <w:r>
        <w:rPr/>
        <w:t>享有。对采购文件中供应商参加本次政府采购活动应当具备的条件、项目技术、服务、商务及其他要求，评审标准由采购人负责解释。除前述采购文件内容，其他内容由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西安市公安局交通警察支队</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西所房屋租赁</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990,000.00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房屋租赁含物业</w:t>
            </w:r>
          </w:p>
        </w:tc>
        <w:tc>
          <w:tcPr>
            <w:tcW w:type="dxa" w:w="831"/>
          </w:tcPr>
          <w:p>
            <w:pPr>
              <w:pStyle w:val="null3"/>
              <w:jc w:val="right"/>
            </w:pPr>
            <w:r>
              <w:rPr/>
              <w:t>1.00</w:t>
            </w:r>
          </w:p>
        </w:tc>
        <w:tc>
          <w:tcPr>
            <w:tcW w:type="dxa" w:w="831"/>
          </w:tcPr>
          <w:p>
            <w:pPr>
              <w:pStyle w:val="null3"/>
              <w:jc w:val="right"/>
            </w:pPr>
            <w:r>
              <w:rPr/>
              <w:t>990,000.00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标的名称：房屋租赁含物业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left"/>
            </w:pPr>
            <w:r>
              <w:rPr>
                <w:rFonts w:ascii="simsun" w:hAnsi="simsun" w:cs="simsun" w:eastAsia="simsun"/>
                <w:sz w:val="21"/>
                <w:b/>
              </w:rPr>
              <w:t>一</w:t>
            </w:r>
            <w:r>
              <w:rPr>
                <w:rFonts w:ascii="simsun" w:hAnsi="simsun" w:cs="simsun" w:eastAsia="simsun"/>
                <w:sz w:val="21"/>
                <w:b/>
              </w:rPr>
              <w:t>、租赁房屋整体内部情况及</w:t>
            </w:r>
            <w:r>
              <w:rPr>
                <w:rFonts w:ascii="simsun" w:hAnsi="simsun" w:cs="simsun" w:eastAsia="simsun"/>
                <w:sz w:val="21"/>
                <w:b/>
              </w:rPr>
              <w:t>服务要求</w:t>
            </w:r>
          </w:p>
          <w:p>
            <w:pPr>
              <w:pStyle w:val="null3"/>
              <w:ind w:firstLine="480"/>
              <w:jc w:val="both"/>
            </w:pPr>
            <w:r>
              <w:rPr>
                <w:rFonts w:ascii="simsun" w:hAnsi="simsun" w:cs="simsun" w:eastAsia="simsun"/>
                <w:sz w:val="21"/>
              </w:rPr>
              <w:t>（一）租赁场地</w:t>
            </w:r>
          </w:p>
          <w:p>
            <w:pPr>
              <w:pStyle w:val="null3"/>
              <w:ind w:firstLine="560"/>
              <w:jc w:val="both"/>
            </w:pPr>
            <w:r>
              <w:rPr>
                <w:rFonts w:ascii="simsun" w:hAnsi="simsun" w:cs="simsun" w:eastAsia="simsun"/>
                <w:sz w:val="21"/>
              </w:rPr>
              <w:t>场地位于西安市</w:t>
            </w:r>
            <w:r>
              <w:rPr>
                <w:rFonts w:ascii="simsun" w:hAnsi="simsun" w:cs="simsun" w:eastAsia="simsun"/>
                <w:sz w:val="21"/>
                <w:u w:val="single"/>
              </w:rPr>
              <w:t>长安区斗门街道办事处镐京村108国道北侧（西安沣东新城西户路中段8号），</w:t>
            </w:r>
            <w:r>
              <w:rPr>
                <w:rFonts w:ascii="simsun" w:hAnsi="simsun" w:cs="simsun" w:eastAsia="simsun"/>
                <w:sz w:val="21"/>
              </w:rPr>
              <w:t>（原西安市惠强纸业有限责任公司旧场区改造后现为西安市公诚二手车交易市场）</w:t>
            </w:r>
          </w:p>
          <w:p>
            <w:pPr>
              <w:pStyle w:val="null3"/>
              <w:numPr>
                <w:ilvl w:val="0"/>
                <w:numId w:val="1"/>
              </w:numPr>
              <w:jc w:val="left"/>
            </w:pPr>
            <w:r>
              <w:rPr>
                <w:rFonts w:ascii="simsun" w:hAnsi="simsun" w:cs="simsun" w:eastAsia="simsun"/>
                <w:sz w:val="21"/>
              </w:rPr>
              <w:t>车管所业务大厅 710m</w:t>
            </w:r>
            <w:r>
              <w:rPr>
                <w:rFonts w:ascii="simsun" w:hAnsi="simsun" w:cs="simsun" w:eastAsia="simsun"/>
                <w:sz w:val="21"/>
                <w:vertAlign w:val="superscript"/>
              </w:rPr>
              <w:t xml:space="preserve">2  </w:t>
            </w:r>
            <w:r>
              <w:rPr>
                <w:rFonts w:ascii="simsun" w:hAnsi="simsun" w:cs="simsun" w:eastAsia="simsun"/>
                <w:sz w:val="21"/>
              </w:rPr>
              <w:t>,档案室 210m</w:t>
            </w:r>
            <w:r>
              <w:rPr>
                <w:rFonts w:ascii="simsun" w:hAnsi="simsun" w:cs="simsun" w:eastAsia="simsun"/>
                <w:sz w:val="21"/>
                <w:vertAlign w:val="superscript"/>
              </w:rPr>
              <w:t xml:space="preserve">2  </w:t>
            </w:r>
            <w:r>
              <w:rPr>
                <w:rFonts w:ascii="simsun" w:hAnsi="simsun" w:cs="simsun" w:eastAsia="simsun"/>
                <w:sz w:val="21"/>
              </w:rPr>
              <w:t>，库房 120m</w:t>
            </w:r>
            <w:r>
              <w:rPr>
                <w:rFonts w:ascii="simsun" w:hAnsi="simsun" w:cs="simsun" w:eastAsia="simsun"/>
                <w:sz w:val="21"/>
                <w:vertAlign w:val="superscript"/>
              </w:rPr>
              <w:t xml:space="preserve">2  </w:t>
            </w:r>
            <w:r>
              <w:rPr>
                <w:rFonts w:ascii="simsun" w:hAnsi="simsun" w:cs="simsun" w:eastAsia="simsun"/>
                <w:sz w:val="21"/>
              </w:rPr>
              <w:t>;</w:t>
            </w:r>
          </w:p>
          <w:p>
            <w:pPr>
              <w:pStyle w:val="null3"/>
              <w:numPr>
                <w:ilvl w:val="0"/>
                <w:numId w:val="1"/>
              </w:numPr>
              <w:jc w:val="left"/>
            </w:pPr>
            <w:r>
              <w:rPr>
                <w:rFonts w:ascii="simsun" w:hAnsi="simsun" w:cs="simsun" w:eastAsia="simsun"/>
                <w:sz w:val="21"/>
              </w:rPr>
              <w:t>车管所西所科目一、四考试中心 1400m</w:t>
            </w:r>
            <w:r>
              <w:rPr>
                <w:rFonts w:ascii="simsun" w:hAnsi="simsun" w:cs="simsun" w:eastAsia="simsun"/>
                <w:sz w:val="21"/>
                <w:vertAlign w:val="superscript"/>
              </w:rPr>
              <w:t xml:space="preserve">2 </w:t>
            </w:r>
            <w:r>
              <w:rPr>
                <w:rFonts w:ascii="simsun" w:hAnsi="simsun" w:cs="simsun" w:eastAsia="simsun"/>
                <w:sz w:val="21"/>
              </w:rPr>
              <w:t>，档案库 900m</w:t>
            </w:r>
            <w:r>
              <w:rPr>
                <w:rFonts w:ascii="simsun" w:hAnsi="simsun" w:cs="simsun" w:eastAsia="simsun"/>
                <w:sz w:val="21"/>
                <w:vertAlign w:val="superscript"/>
              </w:rPr>
              <w:t xml:space="preserve">2 </w:t>
            </w:r>
            <w:r>
              <w:rPr>
                <w:rFonts w:ascii="simsun" w:hAnsi="simsun" w:cs="simsun" w:eastAsia="simsun"/>
                <w:sz w:val="21"/>
              </w:rPr>
              <w:t>；</w:t>
            </w:r>
          </w:p>
          <w:p>
            <w:pPr>
              <w:pStyle w:val="null3"/>
              <w:numPr>
                <w:ilvl w:val="0"/>
                <w:numId w:val="1"/>
              </w:numPr>
              <w:jc w:val="left"/>
            </w:pPr>
            <w:r>
              <w:rPr>
                <w:rFonts w:ascii="simsun" w:hAnsi="simsun" w:cs="simsun" w:eastAsia="simsun"/>
                <w:sz w:val="21"/>
              </w:rPr>
              <w:t>宿办区在甲方办公楼整个三层 820m</w:t>
            </w:r>
            <w:r>
              <w:rPr>
                <w:rFonts w:ascii="simsun" w:hAnsi="simsun" w:cs="simsun" w:eastAsia="simsun"/>
                <w:sz w:val="21"/>
                <w:vertAlign w:val="superscript"/>
              </w:rPr>
              <w:t xml:space="preserve">2  </w:t>
            </w:r>
            <w:r>
              <w:rPr>
                <w:rFonts w:ascii="simsun" w:hAnsi="simsun" w:cs="simsun" w:eastAsia="simsun"/>
                <w:sz w:val="21"/>
              </w:rPr>
              <w:t>及四层 200m</w:t>
            </w:r>
            <w:r>
              <w:rPr>
                <w:rFonts w:ascii="simsun" w:hAnsi="simsun" w:cs="simsun" w:eastAsia="simsun"/>
                <w:sz w:val="21"/>
                <w:vertAlign w:val="superscript"/>
              </w:rPr>
              <w:t xml:space="preserve">2  </w:t>
            </w:r>
            <w:r>
              <w:rPr>
                <w:rFonts w:ascii="simsun" w:hAnsi="simsun" w:cs="simsun" w:eastAsia="simsun"/>
                <w:sz w:val="21"/>
              </w:rPr>
              <w:t>餐厅；</w:t>
            </w:r>
          </w:p>
          <w:p>
            <w:pPr>
              <w:pStyle w:val="null3"/>
              <w:numPr>
                <w:ilvl w:val="0"/>
                <w:numId w:val="1"/>
              </w:numPr>
              <w:jc w:val="left"/>
            </w:pPr>
            <w:r>
              <w:rPr>
                <w:rFonts w:ascii="simsun" w:hAnsi="simsun" w:cs="simsun" w:eastAsia="simsun"/>
                <w:sz w:val="21"/>
              </w:rPr>
              <w:t>业务用外检专用停车场及工勤人员停车场4500m</w:t>
            </w:r>
            <w:r>
              <w:rPr>
                <w:rFonts w:ascii="simsun" w:hAnsi="simsun" w:cs="simsun" w:eastAsia="simsun"/>
                <w:sz w:val="21"/>
                <w:vertAlign w:val="superscript"/>
              </w:rPr>
              <w:t>2</w:t>
            </w:r>
            <w:r>
              <w:rPr>
                <w:rFonts w:ascii="simsun" w:hAnsi="simsun" w:cs="simsun" w:eastAsia="simsun"/>
                <w:sz w:val="21"/>
              </w:rPr>
              <w:t>，租赁办公区域内水、电齐全，且有备用电源。（租赁场地、宿办区域面积、位置等以租赁区域平面示意图为准）。</w:t>
            </w:r>
          </w:p>
          <w:p>
            <w:pPr>
              <w:pStyle w:val="null3"/>
              <w:ind w:firstLine="480"/>
              <w:jc w:val="both"/>
            </w:pPr>
            <w:r>
              <w:rPr>
                <w:rFonts w:ascii="simsun" w:hAnsi="simsun" w:cs="simsun" w:eastAsia="simsun"/>
                <w:sz w:val="21"/>
              </w:rPr>
              <w:t>（二）附属设施</w:t>
            </w:r>
          </w:p>
          <w:p>
            <w:pPr>
              <w:pStyle w:val="null3"/>
              <w:ind w:firstLine="480"/>
              <w:jc w:val="both"/>
            </w:pPr>
            <w:r>
              <w:rPr>
                <w:rFonts w:ascii="simsun" w:hAnsi="simsun" w:cs="simsun" w:eastAsia="simsun"/>
                <w:sz w:val="21"/>
              </w:rPr>
              <w:t>乙方负责按照以下要求提供相关附属设施：</w:t>
            </w:r>
          </w:p>
          <w:p>
            <w:pPr>
              <w:pStyle w:val="null3"/>
              <w:ind w:firstLine="480"/>
              <w:jc w:val="both"/>
            </w:pPr>
            <w:r>
              <w:rPr>
                <w:rFonts w:ascii="simsun" w:hAnsi="simsun" w:cs="simsun" w:eastAsia="simsun"/>
                <w:sz w:val="21"/>
              </w:rPr>
              <w:t>1、按标定功率面积配置空调；</w:t>
            </w:r>
          </w:p>
          <w:p>
            <w:pPr>
              <w:pStyle w:val="null3"/>
              <w:ind w:firstLine="480"/>
              <w:jc w:val="both"/>
            </w:pPr>
            <w:r>
              <w:rPr>
                <w:rFonts w:ascii="simsun" w:hAnsi="simsun" w:cs="simsun" w:eastAsia="simsun"/>
                <w:sz w:val="21"/>
              </w:rPr>
              <w:t>2、根据不同业务部门制定相应统一标识门头、导向标识牌、指路牌、业务窗口标识牌等；</w:t>
            </w:r>
          </w:p>
          <w:p>
            <w:pPr>
              <w:pStyle w:val="null3"/>
              <w:ind w:firstLine="480"/>
              <w:jc w:val="both"/>
            </w:pPr>
            <w:r>
              <w:rPr>
                <w:rFonts w:ascii="simsun" w:hAnsi="simsun" w:cs="simsun" w:eastAsia="simsun"/>
                <w:sz w:val="21"/>
              </w:rPr>
              <w:t>3、在办公区域内设置安保监控系统；</w:t>
            </w:r>
          </w:p>
          <w:p>
            <w:pPr>
              <w:pStyle w:val="null3"/>
              <w:ind w:firstLine="480"/>
              <w:jc w:val="both"/>
            </w:pPr>
            <w:r>
              <w:rPr>
                <w:rFonts w:ascii="simsun" w:hAnsi="simsun" w:cs="simsun" w:eastAsia="simsun"/>
                <w:sz w:val="21"/>
              </w:rPr>
              <w:t>4、整个办公区</w:t>
            </w:r>
            <w:r>
              <w:rPr>
                <w:rFonts w:ascii="simsun" w:hAnsi="simsun" w:cs="simsun" w:eastAsia="simsun"/>
                <w:sz w:val="21"/>
              </w:rPr>
              <w:t>域与外界隔离设施制安；</w:t>
            </w:r>
          </w:p>
          <w:p>
            <w:pPr>
              <w:pStyle w:val="null3"/>
              <w:ind w:firstLine="480"/>
              <w:jc w:val="both"/>
            </w:pPr>
            <w:r>
              <w:rPr>
                <w:rFonts w:ascii="simsun" w:hAnsi="simsun" w:cs="simsun" w:eastAsia="simsun"/>
                <w:sz w:val="21"/>
              </w:rPr>
              <w:t>5、办公区域内不同场地标志标线施划及分区（道）隔离带制安，防盗安全设施制安等；</w:t>
            </w:r>
          </w:p>
          <w:p>
            <w:pPr>
              <w:pStyle w:val="null3"/>
              <w:ind w:firstLine="480"/>
              <w:jc w:val="both"/>
            </w:pPr>
            <w:r>
              <w:rPr>
                <w:rFonts w:ascii="simsun" w:hAnsi="simsun" w:cs="simsun" w:eastAsia="simsun"/>
                <w:sz w:val="21"/>
              </w:rPr>
              <w:t>6、消防预警系统安全设施设备的配置；</w:t>
            </w:r>
          </w:p>
          <w:p>
            <w:pPr>
              <w:pStyle w:val="null3"/>
              <w:ind w:firstLine="480"/>
              <w:jc w:val="both"/>
            </w:pPr>
            <w:r>
              <w:rPr>
                <w:rFonts w:ascii="simsun" w:hAnsi="simsun" w:cs="simsun" w:eastAsia="simsun"/>
                <w:sz w:val="21"/>
              </w:rPr>
              <w:t>7、设置公共卫生间；</w:t>
            </w:r>
          </w:p>
          <w:p>
            <w:pPr>
              <w:pStyle w:val="null3"/>
              <w:ind w:firstLine="480"/>
              <w:jc w:val="both"/>
            </w:pPr>
            <w:r>
              <w:rPr>
                <w:rFonts w:ascii="simsun" w:hAnsi="simsun" w:cs="simsun" w:eastAsia="simsun"/>
                <w:sz w:val="21"/>
              </w:rPr>
              <w:t>8、公共区域照明配置；</w:t>
            </w:r>
          </w:p>
          <w:p>
            <w:pPr>
              <w:pStyle w:val="null3"/>
              <w:ind w:firstLine="480"/>
              <w:jc w:val="both"/>
            </w:pPr>
            <w:r>
              <w:rPr>
                <w:rFonts w:ascii="simsun" w:hAnsi="simsun" w:cs="simsun" w:eastAsia="simsun"/>
                <w:sz w:val="21"/>
              </w:rPr>
              <w:t>以上配套设施的日常维护、保养、翻新更换均由乙方负责，费用已包含在年租金中，不再另行计算。</w:t>
            </w:r>
          </w:p>
          <w:p>
            <w:pPr>
              <w:pStyle w:val="null3"/>
              <w:ind w:firstLine="480"/>
              <w:jc w:val="both"/>
            </w:pPr>
            <w:r>
              <w:rPr>
                <w:rFonts w:ascii="simsun" w:hAnsi="simsun" w:cs="simsun" w:eastAsia="simsun"/>
                <w:sz w:val="21"/>
              </w:rPr>
              <w:t>（三）移交时间</w:t>
            </w:r>
          </w:p>
          <w:p>
            <w:pPr>
              <w:pStyle w:val="null3"/>
              <w:ind w:firstLine="480"/>
              <w:jc w:val="both"/>
            </w:pPr>
            <w:r>
              <w:rPr>
                <w:rFonts w:ascii="simsun" w:hAnsi="simsun" w:cs="simsun" w:eastAsia="simsun"/>
                <w:sz w:val="21"/>
              </w:rPr>
              <w:t>乙方应在合同签订之日起将租赁的所有办公区域、宿办、餐厅、场地及附属设施移交甲方使用。双方对租赁场所现状、配套设施与设备的完成程度检查确认，乙方负责移交甲方进驻的各有关科室，确保甲方按期开展对外办公业务。对于未完成或使用中存在缺陷的配套设施、设备，乙方应按甲方要求限期整改，拒不整改或整改不合格的，甲方有权委托第三方整改，但相关费用由乙方承担。</w:t>
            </w:r>
          </w:p>
          <w:p>
            <w:pPr>
              <w:pStyle w:val="null3"/>
              <w:ind w:firstLine="482"/>
              <w:jc w:val="both"/>
            </w:pPr>
            <w:r>
              <w:rPr>
                <w:rFonts w:ascii="simsun" w:hAnsi="simsun" w:cs="simsun" w:eastAsia="simsun"/>
                <w:sz w:val="21"/>
                <w:b/>
              </w:rPr>
              <w:t>二、租赁用途</w:t>
            </w:r>
          </w:p>
          <w:p>
            <w:pPr>
              <w:pStyle w:val="null3"/>
              <w:ind w:firstLine="480"/>
              <w:jc w:val="both"/>
            </w:pPr>
            <w:r>
              <w:rPr>
                <w:rFonts w:ascii="simsun" w:hAnsi="simsun" w:cs="simsun" w:eastAsia="simsun"/>
                <w:sz w:val="21"/>
              </w:rPr>
              <w:t>租赁场地及附属设施、房屋用于甲方车管处西区分所对外新车检测照相、挂牌变更过户等车、驾管业务办理；甲方驾管科科目一、四考试及候考大厅、临时档案库；甲方干警及工作人员宿办生活用房等用途。</w:t>
            </w:r>
          </w:p>
        </w:tc>
      </w:tr>
    </w:tbl>
    <w:p>
      <w:pPr>
        <w:pStyle w:val="null3"/>
        <w:outlineLvl w:val="3"/>
      </w:pPr>
      <w:r>
        <w:rPr>
          <w:sz w:val="24"/>
          <w:b/>
        </w:rPr>
        <w:t>3.2.3人员配置要求</w:t>
      </w:r>
    </w:p>
    <w:p>
      <w:pPr>
        <w:pStyle w:val="null3"/>
      </w:pPr>
      <w:r>
        <w:rPr/>
        <w:t>采购包1：</w:t>
      </w:r>
    </w:p>
    <w:p>
      <w:pPr>
        <w:pStyle w:val="null3"/>
      </w:pPr>
      <w:r>
        <w:rPr/>
        <w:t>/</w:t>
      </w:r>
    </w:p>
    <w:p>
      <w:pPr>
        <w:pStyle w:val="null3"/>
        <w:outlineLvl w:val="3"/>
      </w:pPr>
      <w:r>
        <w:rPr>
          <w:sz w:val="24"/>
          <w:b/>
        </w:rPr>
        <w:t>3.2.4设施设备要求</w:t>
      </w:r>
    </w:p>
    <w:p>
      <w:pPr>
        <w:pStyle w:val="null3"/>
      </w:pPr>
      <w:r>
        <w:rPr/>
        <w:t>采购包1：</w:t>
      </w:r>
    </w:p>
    <w:p>
      <w:pPr>
        <w:pStyle w:val="null3"/>
      </w:pPr>
      <w:r>
        <w:rPr/>
        <w:t>乙方负责按照以下要求提供相关附属设施： 1、按标定功率面积配置空调； 2、根据不同业务部门制定相应统一标识门头、导向标识牌、指路牌、业务窗口标识牌等； 3、在办公区域内设置安保监控系统； 4、整个办公区域与外界隔离设施制安； 5、办公区域内不同场地标志标线施划及分区（道）隔离带制安，防盗安全设施制安等； 6、消防预警系统安全设施设备的配置； 7、设置公共卫生间； 8、公共区域照明配置； 以上配套设施的日常维护、保养、翻新更换均由乙方负责，费用已包含在年租金中，不再另行计算。</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一年</w:t>
      </w:r>
    </w:p>
    <w:p>
      <w:pPr>
        <w:pStyle w:val="null3"/>
        <w:outlineLvl w:val="3"/>
      </w:pPr>
      <w:r>
        <w:rPr>
          <w:sz w:val="24"/>
          <w:b/>
        </w:rPr>
        <w:t>3.3.2服务地点</w:t>
      </w:r>
    </w:p>
    <w:p>
      <w:pPr>
        <w:pStyle w:val="null3"/>
      </w:pPr>
      <w:r>
        <w:rPr/>
        <w:t>采购包1：</w:t>
      </w:r>
    </w:p>
    <w:p>
      <w:pPr>
        <w:pStyle w:val="null3"/>
      </w:pPr>
      <w:r>
        <w:rPr/>
        <w:t>西安市长安区斗门街道办事处镐京村108国道北侧（西安沣东新城西户路中段8号）</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甲方接收场地、宿办区域及附属设施，且收到正式发票后，一次性支付一年租金</w:t>
      </w:r>
      <w:r>
        <w:rPr/>
        <w:t xml:space="preserve"> ，达到付款条件起 </w:t>
      </w:r>
      <w:r>
        <w:rPr/>
        <w:t>30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1.验收：由采购人、供应商双方按使用要求对项目房屋状况及配套进行验收。在所有验收项全部达到相应要求后，双方签署《房屋交接单》。 2.验收不合格的成交单位，必须在接到通知后7个日历日内确保场地通过验收。如接到通知后7个日历日内验收仍不合格，采购人可提出索赔。</w:t>
      </w:r>
    </w:p>
    <w:p>
      <w:pPr>
        <w:pStyle w:val="null3"/>
        <w:outlineLvl w:val="3"/>
      </w:pPr>
      <w:r>
        <w:rPr>
          <w:sz w:val="24"/>
          <w:b/>
        </w:rPr>
        <w:t>3.3.6违约责任及解决争议的方法</w:t>
      </w:r>
    </w:p>
    <w:p>
      <w:pPr>
        <w:pStyle w:val="null3"/>
      </w:pPr>
      <w:r>
        <w:rPr/>
        <w:t>采购包1：</w:t>
      </w:r>
    </w:p>
    <w:p>
      <w:pPr>
        <w:pStyle w:val="null3"/>
      </w:pPr>
      <w:r>
        <w:rPr/>
        <w:t>违约责任 （一）合同期内因租赁场地或附属设施产权纠纷、债务纠纷等法律纠纷或其它纠纷，致使甲方不能办公的，甲方有权解除合同，乙方应按照年租金的30％承担违约责任及赔偿因此使甲方遭受的全部损失(包括但不限于实际损失、可期待利益、律师费）。 （二）合同签订后，乙方逾期交付租赁场地、宿办区域及附属设施的，每逾期一日按照年租金的百分之五承担违约责任。逾期累计10天以上的，甲方有权解除合同。 （三）租赁期内乙方向第三人出售、出租场地、宿办区域及附属设施的，甲方有权解除合同，乙方应按照年租金的30％承担违约责任及赔偿因此使甲方遭受的全部损失(包括但不限于实际损失、可期待利益、律师费）。 （四）租赁期内，乙方未按照合同约定或按甲方要求对宿办区域、场地及附属设施进行维修的，甲方有权委托第三方维修，但相关费用由乙方承担，甲方有权从年租金中予以扣除。 （五）乙方应在收到解除通知后 3 天内退还已收取的租金，并赔偿甲方因解除合同所遭受的损失，损失无法计算的，每日应按合同价款的千分之五累计计算。合同中约定的违约条款可合并适用，合并适用后仍不能弥补甲方损失的，甲方有权继续追偿，但最高不得超过实际损失的30％。 （六）合同期内，甲方违约造成乙方损失的，应当按照《中华人民共和国民法典》规定承担损害赔偿责任。 合同争议的解决方式 本合同未尽事宜及争议，由双方协商解决，协商不成的，有权向甲方住所人民法院提起诉讼。</w:t>
      </w:r>
    </w:p>
    <w:p>
      <w:pPr>
        <w:pStyle w:val="null3"/>
        <w:outlineLvl w:val="2"/>
      </w:pPr>
      <w:r>
        <w:rPr>
          <w:sz w:val="28"/>
          <w:b/>
        </w:rPr>
        <w:t>3.4其他要求</w:t>
      </w:r>
    </w:p>
    <w:p>
      <w:pPr>
        <w:pStyle w:val="null3"/>
      </w:pPr>
      <w:r>
        <w:rPr/>
        <w:t>采购包1：</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提供投标人合法注册的法人或其他组织的营业执照等证明文件或自然人的身份证明</w:t>
            </w:r>
          </w:p>
        </w:tc>
        <w:tc>
          <w:tcPr>
            <w:tcW w:type="dxa" w:w="3322"/>
          </w:tcPr>
          <w:p>
            <w:pPr>
              <w:pStyle w:val="null3"/>
            </w:pPr>
            <w:r>
              <w:rPr/>
              <w:t>提供投标人合法注册的法人或其他组织的营业执照等证明文件或自然人的身份证明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式样见单一来源采购响应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信用信息</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协商小组在单一来源采购响应截止日当天在“信用中国”网站和中国政府采购网站进行查询，截图留档；如网站无供应商信息的，供应商须提供相关证明资料或书面声明）。</w:t>
            </w:r>
          </w:p>
        </w:tc>
        <w:tc>
          <w:tcPr>
            <w:tcW w:type="dxa" w:w="1661"/>
          </w:tcPr>
          <w:p>
            <w:pPr>
              <w:pStyle w:val="null3"/>
            </w:pPr>
            <w:r>
              <w:rPr/>
              <w:t>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中小企业声明函</w:t>
            </w:r>
          </w:p>
        </w:tc>
        <w:tc>
          <w:tcPr>
            <w:tcW w:type="dxa" w:w="3322"/>
          </w:tcPr>
          <w:p>
            <w:pPr>
              <w:pStyle w:val="null3"/>
            </w:pPr>
            <w:r>
              <w:rPr/>
              <w:t>中小企业声明函</w:t>
            </w:r>
          </w:p>
        </w:tc>
        <w:tc>
          <w:tcPr>
            <w:tcW w:type="dxa" w:w="1661"/>
          </w:tcPr>
          <w:p>
            <w:pPr>
              <w:pStyle w:val="null3"/>
            </w:pPr>
            <w:r>
              <w:rPr/>
              <w:t>中小企业声明函</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中小企业声明函 残疾人福利性单位声明函 标的清单 报价表 监狱企业的证明文件</w:t>
            </w:r>
          </w:p>
        </w:tc>
      </w:tr>
      <w:tr>
        <w:tc>
          <w:tcPr>
            <w:tcW w:type="dxa" w:w="831"/>
          </w:tcPr>
          <w:p>
            <w:pPr>
              <w:pStyle w:val="null3"/>
            </w:pPr>
            <w:r>
              <w:rPr/>
              <w:t>2</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单一来源采购响应文件未按照单一来源采购文件的要求盖章签字</w:t>
            </w:r>
          </w:p>
        </w:tc>
        <w:tc>
          <w:tcPr>
            <w:tcW w:type="dxa" w:w="3322"/>
          </w:tcPr>
          <w:p>
            <w:pPr>
              <w:pStyle w:val="null3"/>
            </w:pPr>
            <w:r>
              <w:rPr/>
              <w:t>单一来源采购响应文件未按照单一来源采购文件的要求盖章签字</w:t>
            </w:r>
          </w:p>
        </w:tc>
        <w:tc>
          <w:tcPr>
            <w:tcW w:type="dxa" w:w="1661"/>
          </w:tcPr>
          <w:p>
            <w:pPr>
              <w:pStyle w:val="null3"/>
            </w:pPr>
            <w:r>
              <w:rPr/>
              <w:t>《拒绝政府采购领域商业贿赂承诺书》（格式） 商务条款响应偏离表（格式） 中小企业声明函 法定代表人授权委托书（格式） 响应函 《供应商参与政府采购活动的承诺函》（格式） 服务要求偏离表（格式）</w:t>
            </w:r>
          </w:p>
        </w:tc>
      </w:tr>
      <w:tr>
        <w:tc>
          <w:tcPr>
            <w:tcW w:type="dxa" w:w="831"/>
          </w:tcPr>
          <w:p>
            <w:pPr>
              <w:pStyle w:val="null3"/>
            </w:pPr>
            <w:r>
              <w:rPr/>
              <w:t>4</w:t>
            </w:r>
          </w:p>
        </w:tc>
        <w:tc>
          <w:tcPr>
            <w:tcW w:type="dxa" w:w="2492"/>
          </w:tcPr>
          <w:p>
            <w:pPr>
              <w:pStyle w:val="null3"/>
            </w:pPr>
            <w:r>
              <w:rPr/>
              <w:t>符合招标文件的实质性要求</w:t>
            </w:r>
          </w:p>
        </w:tc>
        <w:tc>
          <w:tcPr>
            <w:tcW w:type="dxa" w:w="3322"/>
          </w:tcPr>
          <w:p>
            <w:pPr>
              <w:pStyle w:val="null3"/>
            </w:pPr>
            <w:r>
              <w:rPr/>
              <w:t>对单一来源采购文件商务要求作出明确且实质性响应； 对单一来源采购文件技术要求作出明确且实质性响应。</w:t>
            </w:r>
          </w:p>
        </w:tc>
        <w:tc>
          <w:tcPr>
            <w:tcW w:type="dxa" w:w="1661"/>
          </w:tcPr>
          <w:p>
            <w:pPr>
              <w:pStyle w:val="null3"/>
            </w:pPr>
            <w:r>
              <w:rPr/>
              <w:t>商务条款响应偏离表（格式） 服务方案 服务要求偏离表（格式）</w:t>
            </w:r>
          </w:p>
        </w:tc>
      </w:tr>
      <w:tr>
        <w:tc>
          <w:tcPr>
            <w:tcW w:type="dxa" w:w="831"/>
          </w:tcPr>
          <w:p>
            <w:pPr>
              <w:pStyle w:val="null3"/>
            </w:pPr>
            <w:r>
              <w:rPr/>
              <w:t>5</w:t>
            </w:r>
          </w:p>
        </w:tc>
        <w:tc>
          <w:tcPr>
            <w:tcW w:type="dxa" w:w="2492"/>
          </w:tcPr>
          <w:p>
            <w:pPr>
              <w:pStyle w:val="null3"/>
            </w:pPr>
            <w:r>
              <w:rPr/>
              <w:t>协商报价是否超过采购预算</w:t>
            </w:r>
          </w:p>
        </w:tc>
        <w:tc>
          <w:tcPr>
            <w:tcW w:type="dxa" w:w="3322"/>
          </w:tcPr>
          <w:p>
            <w:pPr>
              <w:pStyle w:val="null3"/>
            </w:pPr>
            <w:r>
              <w:rPr/>
              <w:t>协商报价是否超过采购预算</w:t>
            </w:r>
          </w:p>
        </w:tc>
        <w:tc>
          <w:tcPr>
            <w:tcW w:type="dxa" w:w="1661"/>
          </w:tcPr>
          <w:p>
            <w:pPr>
              <w:pStyle w:val="null3"/>
            </w:pPr>
            <w:r>
              <w:rPr/>
              <w:t>分项报价表 报价表</w:t>
            </w:r>
          </w:p>
        </w:tc>
      </w:tr>
      <w:tr>
        <w:tc>
          <w:tcPr>
            <w:tcW w:type="dxa" w:w="831"/>
          </w:tcPr>
          <w:p>
            <w:pPr>
              <w:pStyle w:val="null3"/>
            </w:pPr>
            <w:r>
              <w:rPr/>
              <w:t>6</w:t>
            </w:r>
          </w:p>
        </w:tc>
        <w:tc>
          <w:tcPr>
            <w:tcW w:type="dxa" w:w="2492"/>
          </w:tcPr>
          <w:p>
            <w:pPr>
              <w:pStyle w:val="null3"/>
            </w:pPr>
            <w:r>
              <w:rPr/>
              <w:t>单一来源采购响应文件是否含有采购人不能接受的附加条件</w:t>
            </w:r>
          </w:p>
        </w:tc>
        <w:tc>
          <w:tcPr>
            <w:tcW w:type="dxa" w:w="3322"/>
          </w:tcPr>
          <w:p>
            <w:pPr>
              <w:pStyle w:val="null3"/>
            </w:pPr>
            <w:r>
              <w:rPr/>
              <w:t>单一来源采购响应文件是否含有采购人不能接受的附加条件</w:t>
            </w:r>
          </w:p>
        </w:tc>
        <w:tc>
          <w:tcPr>
            <w:tcW w:type="dxa" w:w="1661"/>
          </w:tcPr>
          <w:p>
            <w:pPr>
              <w:pStyle w:val="null3"/>
            </w:pPr>
            <w:r>
              <w:rPr/>
              <w:t>供应商认为有必要补充说明的事宜（若有）</w:t>
            </w:r>
          </w:p>
        </w:tc>
      </w:tr>
      <w:tr>
        <w:tc>
          <w:tcPr>
            <w:tcW w:type="dxa" w:w="831"/>
          </w:tcPr>
          <w:p>
            <w:pPr>
              <w:pStyle w:val="null3"/>
            </w:pPr>
            <w:r>
              <w:rPr/>
              <w:t>7</w:t>
            </w:r>
          </w:p>
        </w:tc>
        <w:tc>
          <w:tcPr>
            <w:tcW w:type="dxa" w:w="2492"/>
          </w:tcPr>
          <w:p>
            <w:pPr>
              <w:pStyle w:val="null3"/>
            </w:pPr>
            <w:r>
              <w:rPr/>
              <w:t>单一来源响应有效期是否符合单一来源采购文件的要求</w:t>
            </w:r>
          </w:p>
        </w:tc>
        <w:tc>
          <w:tcPr>
            <w:tcW w:type="dxa" w:w="3322"/>
          </w:tcPr>
          <w:p>
            <w:pPr>
              <w:pStyle w:val="null3"/>
            </w:pPr>
            <w:r>
              <w:rPr/>
              <w:t>单一来源响应有效期是否符合单一来源采购文件的要求</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法律、法规和单一文件规定的其他无效响应情形</w:t>
            </w:r>
          </w:p>
        </w:tc>
        <w:tc>
          <w:tcPr>
            <w:tcW w:type="dxa" w:w="3322"/>
          </w:tcPr>
          <w:p>
            <w:pPr>
              <w:pStyle w:val="null3"/>
            </w:pPr>
            <w:r>
              <w:rPr/>
              <w:t>法律、法规和单一文件规定的其他无效响应情形</w:t>
            </w:r>
          </w:p>
        </w:tc>
        <w:tc>
          <w:tcPr>
            <w:tcW w:type="dxa" w:w="1661"/>
          </w:tcPr>
          <w:p>
            <w:pPr>
              <w:pStyle w:val="null3"/>
            </w:pPr>
            <w:r>
              <w:rPr/>
              <w:t>《拒绝政府采购领域商业贿赂承诺书》（格式） 供应商认为有必要补充说明的事宜（若有） 供应商概况、企业简介 《供应商参与政府采购活动的承诺函》（格式）</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详见附件：《供应商参与政府采购活动的承诺函》（格式）</w:t>
      </w:r>
    </w:p>
    <w:p>
      <w:pPr>
        <w:pStyle w:val="null3"/>
        <w:ind w:firstLine="960"/>
      </w:pPr>
      <w:r>
        <w:rPr/>
        <w:t>详见附件：《拒绝政府采购领域商业贿赂承诺书》（格式）</w:t>
      </w:r>
    </w:p>
    <w:p>
      <w:pPr>
        <w:pStyle w:val="null3"/>
        <w:ind w:firstLine="960"/>
      </w:pPr>
      <w:r>
        <w:rPr/>
        <w:t>详见附件：法定代表人授权委托书（格式）</w:t>
      </w:r>
    </w:p>
    <w:p>
      <w:pPr>
        <w:pStyle w:val="null3"/>
        <w:ind w:firstLine="960"/>
      </w:pPr>
      <w:r>
        <w:rPr/>
        <w:t>详见附件：分项报价表</w:t>
      </w:r>
    </w:p>
    <w:p>
      <w:pPr>
        <w:pStyle w:val="null3"/>
        <w:ind w:firstLine="960"/>
      </w:pPr>
      <w:r>
        <w:rPr/>
        <w:t>详见附件：服务方案</w:t>
      </w:r>
    </w:p>
    <w:p>
      <w:pPr>
        <w:pStyle w:val="null3"/>
        <w:ind w:firstLine="960"/>
      </w:pPr>
      <w:r>
        <w:rPr/>
        <w:t>详见附件：服务要求偏离表（格式）</w:t>
      </w:r>
    </w:p>
    <w:p>
      <w:pPr>
        <w:pStyle w:val="null3"/>
        <w:ind w:firstLine="960"/>
      </w:pPr>
      <w:r>
        <w:rPr/>
        <w:t>详见附件：供应商概况、企业简介</w:t>
      </w:r>
    </w:p>
    <w:p>
      <w:pPr>
        <w:pStyle w:val="null3"/>
        <w:ind w:firstLine="960"/>
      </w:pPr>
      <w:r>
        <w:rPr/>
        <w:t>详见附件：供应商认为有必要补充说明的事宜（若有）</w:t>
      </w:r>
    </w:p>
    <w:p>
      <w:pPr>
        <w:pStyle w:val="null3"/>
        <w:ind w:firstLine="960"/>
      </w:pPr>
      <w:r>
        <w:rPr/>
        <w:t>详见附件：商务条款响应偏离表（格式）</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详见附件：车管处西所租赁合同5.27.docx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