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版本号：240614001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西安市河长制管理信息系统运行维护(2024-2025)</w:t>
      </w:r>
    </w:p>
    <w:p>
      <w:pPr>
        <w:pStyle w:val="null3"/>
        <w:jc w:val="center"/>
        <w:outlineLvl w:val="2"/>
      </w:pPr>
      <w:r>
        <w:rPr>
          <w:sz w:val="28"/>
          <w:b/>
        </w:rPr>
        <w:t>采购项目编号：</w:t>
      </w:r>
      <w:r>
        <w:rPr>
          <w:sz w:val="28"/>
          <w:b/>
        </w:rPr>
        <w:t>YSGS-2024ZB0606</w:t>
      </w:r>
      <w:r>
        <w:br/>
      </w:r>
      <w:r>
        <w:br/>
      </w:r>
      <w:r>
        <w:br/>
      </w:r>
    </w:p>
    <w:p>
      <w:pPr>
        <w:pStyle w:val="null3"/>
        <w:jc w:val="center"/>
        <w:outlineLvl w:val="2"/>
      </w:pPr>
      <w:r>
        <w:rPr>
          <w:sz w:val="28"/>
          <w:b/>
        </w:rPr>
        <w:t>西安市水务局（本级）</w:t>
      </w:r>
    </w:p>
    <w:p>
      <w:pPr>
        <w:pStyle w:val="null3"/>
        <w:jc w:val="center"/>
        <w:outlineLvl w:val="2"/>
      </w:pPr>
      <w:r>
        <w:rPr>
          <w:sz w:val="28"/>
          <w:b/>
        </w:rPr>
        <w:t>陕西衍森项目管理有限公司</w:t>
      </w:r>
      <w:r>
        <w:rPr>
          <w:sz w:val="28"/>
          <w:b/>
        </w:rPr>
        <w:t>共同编制</w:t>
      </w:r>
    </w:p>
    <w:p>
      <w:pPr>
        <w:pStyle w:val="null3"/>
        <w:jc w:val="center"/>
        <w:outlineLvl w:val="2"/>
      </w:pPr>
      <w:r>
        <w:rPr>
          <w:sz w:val="28"/>
          <w:b/>
        </w:rPr>
        <w:t>2024年06月17日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陕西衍森项目管理有限公司</w:t>
      </w:r>
      <w:r>
        <w:rPr/>
        <w:t>（以下简称“代理机构”）受</w:t>
      </w:r>
      <w:r>
        <w:rPr/>
        <w:t>西安市水务局（本级）</w:t>
      </w:r>
      <w:r>
        <w:rPr/>
        <w:t>委托，拟对</w:t>
      </w:r>
      <w:r>
        <w:rPr/>
        <w:t>西安市河长制管理信息系统运行维护(2024-2025)</w:t>
      </w:r>
      <w:r>
        <w:rPr/>
        <w:t>采用竞争性磋商采购方式进行采购，兹邀请供应商参加本项目的竞争性磋商。</w:t>
      </w:r>
    </w:p>
    <w:p>
      <w:pPr>
        <w:pStyle w:val="null3"/>
        <w:outlineLvl w:val="2"/>
      </w:pPr>
      <w:r>
        <w:rPr>
          <w:sz w:val="28"/>
          <w:b/>
        </w:rPr>
        <w:t>一、项目编号：</w:t>
      </w:r>
      <w:r>
        <w:rPr>
          <w:sz w:val="28"/>
          <w:b/>
        </w:rPr>
        <w:t>YSGS-2024ZB0606</w:t>
      </w:r>
    </w:p>
    <w:p>
      <w:pPr>
        <w:pStyle w:val="null3"/>
        <w:outlineLvl w:val="2"/>
      </w:pPr>
      <w:r>
        <w:rPr>
          <w:sz w:val="28"/>
          <w:b/>
        </w:rPr>
        <w:t>二、项目名称：</w:t>
      </w:r>
      <w:r>
        <w:rPr>
          <w:sz w:val="28"/>
          <w:b/>
        </w:rPr>
        <w:t>西安市河长制管理信息系统运行维护(2024-2025)</w:t>
      </w:r>
    </w:p>
    <w:p>
      <w:pPr>
        <w:pStyle w:val="null3"/>
        <w:outlineLvl w:val="2"/>
      </w:pPr>
      <w:r>
        <w:rPr>
          <w:sz w:val="28"/>
          <w:b/>
        </w:rPr>
        <w:t>三、磋商项目简介</w:t>
      </w:r>
    </w:p>
    <w:p>
      <w:pPr>
        <w:pStyle w:val="null3"/>
        <w:ind w:firstLine="480"/>
      </w:pPr>
      <w:r>
        <w:rPr/>
        <w:t>西安市河长制管理信息系统由西安市河长制信息管理平台(Web)端、河长移动智能终端应用软件（APP）、西安河长管理信息系统小程序，无人机辅助巡查系统、市河长办软硬件设施等五大部分构成。本次信息系统运维的主要目标为：一是确保系统日常运行正常，保证市河长办软硬件设施显示大屏、音响、视频会议系统等相关设施安全可靠运行；二是搜集、解决各级河湖长办及河湖长在使用信息系统中发现和提出的各种问题，保障信息系统安全稳定运行；三是收集河道、河湖长基础信息并日常维护，保障信息系统中基础数据不失真。四是整合收集环保等相关部门的涉水监测数据并进行数据更新。五是加强信息系统安全保护，提供针对性安全防范。</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采购包1（西安市河长制管理信息系统运行维护(2024-2025)）：属于专门面向中小企业采购。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报告：提供2022年度或2023年度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w:t>
      </w:r>
    </w:p>
    <w:p>
      <w:pPr>
        <w:pStyle w:val="null3"/>
      </w:pPr>
      <w:r>
        <w:rPr/>
        <w:t>3、纳税证明或完税证明：提供投标截止之日前近六个月内至少一个月的纳税证明或完税证明（增值税，印花税，城市维护建设费，企业所得税等一种或多种税种），依法免税的单位应提供相关证明材料；</w:t>
      </w:r>
    </w:p>
    <w:p>
      <w:pPr>
        <w:pStyle w:val="null3"/>
      </w:pPr>
      <w:r>
        <w:rPr/>
        <w:t>4、社会保障资金缴存证明：提供投标截止之日前近六个月内至少一个月的社会保障资金缴存单据或社保机构开具的社会保险参保缴费情况证明，依法不需要缴纳社会保障资金的单位应提供相关证明材料；</w:t>
      </w:r>
    </w:p>
    <w:p>
      <w:pPr>
        <w:pStyle w:val="null3"/>
      </w:pPr>
      <w:r>
        <w:rPr/>
        <w:t>5、设备及专业技术能力的声明：提供具有履行本合同所必需的设备和专业技术能力的声明；</w:t>
      </w:r>
    </w:p>
    <w:p>
      <w:pPr>
        <w:pStyle w:val="null3"/>
      </w:pPr>
      <w:r>
        <w:rPr/>
        <w:t>6、3年内在经营活动中没有重大违法记录的书面声明：出具参加政府采购活动前3年内在经营活动中没有重大违法记录的书面声明；</w:t>
      </w:r>
    </w:p>
    <w:p>
      <w:pPr>
        <w:pStyle w:val="null3"/>
      </w:pPr>
      <w:r>
        <w:rPr/>
        <w:t>7、授权委托书：被授权人参与磋商的需提供法定代表人身份证明书及授权委托书；法定代表人或负责人直接参与磋商的，须出具法定代表人身份证明书；</w:t>
      </w:r>
    </w:p>
    <w:p>
      <w:pPr>
        <w:pStyle w:val="null3"/>
      </w:pPr>
      <w:r>
        <w:rPr/>
        <w:t>8、供应商信誉要求：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p>
    <w:p>
      <w:pPr>
        <w:pStyle w:val="null3"/>
      </w:pPr>
      <w:r>
        <w:rPr/>
        <w:t>9、本项目不接受联合体磋商：本项目不接受联合体磋商。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西安市水务局（本级）</w:t>
      </w:r>
    </w:p>
    <w:p>
      <w:pPr>
        <w:pStyle w:val="null3"/>
      </w:pPr>
      <w:r>
        <w:rPr/>
        <w:t xml:space="preserve"> 地址： </w:t>
      </w:r>
      <w:r>
        <w:rPr/>
        <w:t>凤城八路109号</w:t>
      </w:r>
    </w:p>
    <w:p>
      <w:pPr>
        <w:pStyle w:val="null3"/>
      </w:pPr>
      <w:r>
        <w:rPr/>
        <w:t xml:space="preserve"> 邮编： </w:t>
      </w:r>
      <w:r>
        <w:rPr/>
        <w:t>710007</w:t>
      </w:r>
    </w:p>
    <w:p>
      <w:pPr>
        <w:pStyle w:val="null3"/>
      </w:pPr>
      <w:r>
        <w:rPr/>
        <w:t xml:space="preserve"> 联系人： </w:t>
      </w:r>
      <w:r>
        <w:rPr/>
        <w:t>杨柳桥</w:t>
      </w:r>
    </w:p>
    <w:p>
      <w:pPr>
        <w:pStyle w:val="null3"/>
      </w:pPr>
      <w:r>
        <w:rPr/>
        <w:t xml:space="preserve"> 联系电话： </w:t>
      </w:r>
      <w:r>
        <w:rPr/>
        <w:t>029-86789370</w:t>
      </w:r>
    </w:p>
    <w:p>
      <w:pPr>
        <w:pStyle w:val="null3"/>
        <w:outlineLvl w:val="3"/>
      </w:pPr>
      <w:r>
        <w:rPr>
          <w:sz w:val="24"/>
          <w:b/>
        </w:rPr>
        <w:t>代理机构：</w:t>
      </w:r>
      <w:r>
        <w:rPr>
          <w:sz w:val="24"/>
          <w:b/>
        </w:rPr>
        <w:t>陕西衍森项目管理有限公司</w:t>
      </w:r>
    </w:p>
    <w:p>
      <w:pPr>
        <w:pStyle w:val="null3"/>
      </w:pPr>
      <w:r>
        <w:rPr/>
        <w:t xml:space="preserve"> 地址： </w:t>
      </w:r>
      <w:r>
        <w:rPr/>
        <w:t>陕西省西安市浐灞生态区欧亚大道3399号欧亚国际一期B座0738室</w:t>
      </w:r>
    </w:p>
    <w:p>
      <w:pPr>
        <w:pStyle w:val="null3"/>
      </w:pPr>
      <w:r>
        <w:rPr/>
        <w:t xml:space="preserve"> 邮编： </w:t>
      </w:r>
      <w:r>
        <w:rPr/>
        <w:t>710024</w:t>
      </w:r>
    </w:p>
    <w:p>
      <w:pPr>
        <w:pStyle w:val="null3"/>
      </w:pPr>
      <w:r>
        <w:rPr/>
        <w:t xml:space="preserve"> 联系人： </w:t>
      </w:r>
      <w:r>
        <w:rPr/>
        <w:t>李亚静、白琪琪</w:t>
      </w:r>
    </w:p>
    <w:p>
      <w:pPr>
        <w:pStyle w:val="null3"/>
      </w:pPr>
      <w:r>
        <w:rPr/>
        <w:t xml:space="preserve"> 联系电话： </w:t>
      </w:r>
      <w:r>
        <w:rPr/>
        <w:t>029-68325822</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成交）服务费参照《国家计委关于印发&lt;招标代理服务收费管理暂行办法&gt;的通知》（计价格【2002】1980号）及《国家发展和改革委员会办公厅关于招标代理服务收费有关问题的通知》（发改办价格〔2003〕857号）规定的标准收取。 户名：陕西衍森项目管理有限公司 开户行：平安银行西安分行营业部 账号：15122099180091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西安市水务局（本级）</w:t>
      </w:r>
      <w:r>
        <w:rPr/>
        <w:t>和</w:t>
      </w:r>
      <w:r>
        <w:rPr/>
        <w:t>陕西衍森项目管理有限公司</w:t>
      </w:r>
      <w:r>
        <w:rPr/>
        <w:t>享有。对磋商文件中供应商参加本次政府采购活动应当具备的条件，磋商项目技术、服务、商务及其他要求，评审细则及标准由</w:t>
      </w:r>
      <w:r>
        <w:rPr/>
        <w:t>西安市水务局（本级）</w:t>
      </w:r>
      <w:r>
        <w:rPr/>
        <w:t>负责解释。除上述磋商文件内容，其他内容由</w:t>
      </w:r>
      <w:r>
        <w:rPr/>
        <w:t>陕西衍森项目管理有限公司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西安市水务局（本级）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陕西衍森项目管理有限公司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根据磋商文件及合同约定执行。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陕西衍森项目管理有限公司</w:t>
      </w:r>
      <w:r>
        <w:rPr/>
        <w:t xml:space="preserve"> 负责答复；供应商对除采购需求外的采购文件的询问、质疑由</w:t>
      </w:r>
      <w:r>
        <w:rPr/>
        <w:t>陕西衍森项目管理有限公司</w:t>
      </w:r>
      <w:r>
        <w:rPr/>
        <w:t xml:space="preserve"> 负责答复；供应商对采购过程、采购结果的询问、质疑由 </w:t>
      </w:r>
      <w:r>
        <w:rPr/>
        <w:t>陕西衍森项目管理有限公司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联系人：李亚静、白琪琪</w:t>
      </w:r>
    </w:p>
    <w:p>
      <w:pPr>
        <w:pStyle w:val="null3"/>
      </w:pPr>
      <w:r>
        <w:rPr/>
        <w:t>联系电话：029-68325822</w:t>
      </w:r>
    </w:p>
    <w:p>
      <w:pPr>
        <w:pStyle w:val="null3"/>
      </w:pPr>
      <w:r>
        <w:rPr/>
        <w:t>地址：陕西省西安市浐灞生态区欧亚大道3399号欧亚国际一期B座0738室</w:t>
      </w:r>
    </w:p>
    <w:p>
      <w:pPr>
        <w:pStyle w:val="null3"/>
      </w:pPr>
      <w:r>
        <w:rPr/>
        <w:t>邮编：710024</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河长制管理信息系统由西安市河长制信息管理平台(Web)端、河长移动智能终端应用软件（APP）、西安河长管理信息系统小程序，无人机辅助巡查系统、市河长办软硬件设施等五大部分构成。本次信息系统运维的主要目标为：一是确保系统日常运行正常，保证市河长办软硬件设施显示大屏、音响、视频会议系统等相关设施安全可靠运行；二是搜集、解决各级河湖长办及河湖长在使用信息系统中发现和提出的各种问题，保障信息系统安全稳定运行；三是收集河道、河湖长基础信息并日常维护，保障信息系统中基础数据不失真。四是整合收集环保等相关部门的涉水监测数据并进行数据更新。五是加强信息系统安全保护，提供针对性安全防范。</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西安市河长制管理信息系统运行维护</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标的名称：西安市河长制管理信息系统运行维护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32"/>
                <w:b/>
                <w:color w:val="000000"/>
              </w:rPr>
              <w:t>一、项目概况</w:t>
            </w:r>
          </w:p>
          <w:p>
            <w:pPr>
              <w:pStyle w:val="null3"/>
              <w:ind w:firstLine="640"/>
              <w:jc w:val="both"/>
            </w:pPr>
            <w:r>
              <w:rPr>
                <w:rFonts w:ascii="仿宋" w:hAnsi="仿宋" w:cs="仿宋" w:eastAsia="仿宋"/>
                <w:sz w:val="32"/>
              </w:rPr>
              <w:t>西安市河长制管理信息系统由西安市河长制信息管理平台(Web)端、河长移动智能终端应用软件（APP）、西安河长管理信息系统小程序，无人机辅助巡查系统、市河长办软硬件设施等五大部分构成。本次信息系统运维的主要目标为：一是确保系统日常运行正常，保证市河长办软硬件设施显示大屏、音响、视频会议系统等相关设施安全可靠运行；二是搜集、解决各级河湖长办及河湖长在使用信息系统中发现和提出的各种问题，保障信息系统安全稳定运行；三是收集河道、河湖长基础信息并日常维护，保障信息系统中基础数据不失真。四是整合收集环保等相关部门的涉水监测数据并进行数据更新。五是加强信息系统安全保护，提供针对性安全防范。</w:t>
            </w:r>
          </w:p>
          <w:p>
            <w:pPr>
              <w:pStyle w:val="null3"/>
              <w:jc w:val="both"/>
            </w:pPr>
            <w:r>
              <w:rPr>
                <w:rFonts w:ascii="仿宋" w:hAnsi="仿宋" w:cs="仿宋" w:eastAsia="仿宋"/>
                <w:sz w:val="32"/>
                <w:b/>
                <w:color w:val="000000"/>
              </w:rPr>
              <w:t>二、运行维护内容</w:t>
            </w:r>
          </w:p>
          <w:p>
            <w:pPr>
              <w:pStyle w:val="null3"/>
              <w:ind w:firstLine="600"/>
              <w:jc w:val="both"/>
            </w:pPr>
            <w:r>
              <w:rPr>
                <w:rFonts w:ascii="黑体" w:hAnsi="黑体" w:cs="黑体" w:eastAsia="黑体"/>
                <w:sz w:val="30"/>
              </w:rPr>
              <w:t>1.</w:t>
            </w:r>
            <w:r>
              <w:rPr>
                <w:rFonts w:ascii="黑体" w:hAnsi="黑体" w:cs="黑体" w:eastAsia="黑体"/>
                <w:sz w:val="30"/>
              </w:rPr>
              <w:t>软件运维</w:t>
            </w:r>
          </w:p>
          <w:p>
            <w:pPr>
              <w:pStyle w:val="null3"/>
              <w:ind w:firstLine="640"/>
              <w:jc w:val="both"/>
            </w:pPr>
            <w:r>
              <w:rPr>
                <w:rFonts w:ascii="仿宋" w:hAnsi="仿宋" w:cs="仿宋" w:eastAsia="仿宋"/>
                <w:sz w:val="32"/>
              </w:rPr>
              <w:t>（1）河长制信息管理系统运行维护</w:t>
            </w:r>
          </w:p>
          <w:p>
            <w:pPr>
              <w:pStyle w:val="null3"/>
              <w:ind w:firstLine="640"/>
              <w:jc w:val="both"/>
            </w:pPr>
            <w:r>
              <w:rPr>
                <w:rFonts w:ascii="仿宋" w:hAnsi="仿宋" w:cs="仿宋" w:eastAsia="仿宋"/>
                <w:sz w:val="32"/>
              </w:rPr>
              <w:t>日常监控河长制系统平台运行情况，保证正常运行，从运行环境情况、性能指标、补丁更新、防病毒检查、安全扫描、日志记录、数据库应用数据维护、硬件环境等方面检查，发现隐患苗头及时处理，出现故障及时恢复。</w:t>
            </w:r>
          </w:p>
          <w:p>
            <w:pPr>
              <w:pStyle w:val="null3"/>
              <w:ind w:firstLine="640"/>
              <w:jc w:val="both"/>
            </w:pPr>
            <w:r>
              <w:rPr>
                <w:rFonts w:ascii="仿宋" w:hAnsi="仿宋" w:cs="仿宋" w:eastAsia="仿宋"/>
                <w:sz w:val="32"/>
              </w:rPr>
              <w:t>保障系统的正常使用，收集和解决各级河长在平台运行和应用中提出的问题；负责河长制平台与省、区县河长制系统数据接入、环保局信息中心数据接入及其它第三方系统的数据信息交换，确保交换数据正常上传，同时对各县区上报的相关数据进行人工数据录入；对各运营商网络情况进行巡检，保障各运营商手机能够顺利接入并使用系统；按周、月、季度提供系统运行管理工作报告，对系统使用产生的数据进行分析整理。河长制管理信息系统是一套为长效管理机制服务的信息系统，在充分发挥社会参与的原则下，支持社会公众发现问题后通过智能终端及时、便捷、准确的上报问题，受理中心收到后进行闭环处理。</w:t>
            </w:r>
          </w:p>
          <w:p>
            <w:pPr>
              <w:pStyle w:val="null3"/>
              <w:ind w:firstLine="640"/>
              <w:jc w:val="both"/>
            </w:pPr>
            <w:r>
              <w:rPr>
                <w:rFonts w:ascii="仿宋" w:hAnsi="仿宋" w:cs="仿宋" w:eastAsia="仿宋"/>
                <w:sz w:val="32"/>
              </w:rPr>
              <w:t>通过对系统的维护，分析用户的不断更新的需求，分析应用系统对服务平台性能的要求，提出系统优化扩容解决方案，保障应用系统的处理服务性能。主要维护内容包括：业务数据维护；业务数据备份；业务系统日常维护；软件更新服务；对业务管理系统健康状态检查与分析报告；对系统用户信息进行维护和修改，添加系统用户、更改系统用户信息、权限，负责系统中管理人员、操作人员、监督人员名单的调整，以及数据同步。</w:t>
            </w:r>
          </w:p>
          <w:p>
            <w:pPr>
              <w:pStyle w:val="null3"/>
              <w:ind w:firstLine="640"/>
              <w:jc w:val="both"/>
            </w:pPr>
            <w:r>
              <w:rPr>
                <w:rFonts w:ascii="仿宋" w:hAnsi="仿宋" w:cs="仿宋" w:eastAsia="仿宋"/>
                <w:sz w:val="32"/>
              </w:rPr>
              <w:t>（2）系统安全服务维护</w:t>
            </w:r>
          </w:p>
          <w:p>
            <w:pPr>
              <w:pStyle w:val="null3"/>
              <w:ind w:firstLine="640"/>
              <w:jc w:val="both"/>
            </w:pPr>
            <w:r>
              <w:rPr>
                <w:rFonts w:ascii="仿宋" w:hAnsi="仿宋" w:cs="仿宋" w:eastAsia="仿宋"/>
                <w:sz w:val="32"/>
              </w:rPr>
              <w:t>根据定级备案情况，河长制管理信息系统被定为三级，需要每天对系统进行安全防护检查，确保系统正常安全的运行。主要维护内容包括：每天对MYSQL数据库的运行状态,日志文件,备份情况,数据库的空间使用情况,系统资源的使用情况进行查看,发现并解决问题；每周对数据库对象的空间扩展情况,数据的增长情况进行监控,对数据库做健康查看,对数据库对象的状态做查看；查看表空间碎片,提出下一步空间管理计划。</w:t>
            </w:r>
          </w:p>
          <w:p>
            <w:pPr>
              <w:pStyle w:val="null3"/>
              <w:ind w:firstLine="640"/>
              <w:jc w:val="both"/>
            </w:pPr>
            <w:r>
              <w:rPr>
                <w:rFonts w:ascii="仿宋" w:hAnsi="仿宋" w:cs="仿宋" w:eastAsia="仿宋"/>
                <w:sz w:val="32"/>
              </w:rPr>
              <w:t>由于这些数据库系统承载着河长制信息管理系统中非常重要的业务系统数据，所以在日常维护中需要非常仔细，每周、每月、每季都需要有相应的巡检记录，需要详细记载以下一些内容：监控数据库对象的空间扩展情况；监控数据量的增长情况；数据库对象有效性查看；查看是否有危害到安全策略的问题；查看 alert、Sqlnet等日志并归档报错日志；分析表和索引；查看对数据库会产生危害的增长速度；查看表空间碎片；数据库性能调整；预测数据库将来的性能；调整和维护工作；后续空间。</w:t>
            </w:r>
          </w:p>
          <w:p>
            <w:pPr>
              <w:pStyle w:val="null3"/>
              <w:ind w:firstLine="640"/>
              <w:jc w:val="both"/>
            </w:pPr>
            <w:r>
              <w:rPr>
                <w:rFonts w:ascii="仿宋" w:hAnsi="仿宋" w:cs="仿宋" w:eastAsia="仿宋"/>
                <w:sz w:val="32"/>
              </w:rPr>
              <w:t>（3）与省级、区县级系统对接与维护</w:t>
            </w:r>
          </w:p>
          <w:p>
            <w:pPr>
              <w:pStyle w:val="null3"/>
              <w:ind w:firstLine="640"/>
              <w:jc w:val="both"/>
            </w:pPr>
            <w:r>
              <w:rPr>
                <w:rFonts w:ascii="仿宋" w:hAnsi="仿宋" w:cs="仿宋" w:eastAsia="仿宋"/>
                <w:sz w:val="32"/>
              </w:rPr>
              <w:t>通过监测相关数据接口，定期从省级、区县级等各级平台抓取河长制相关的的各类数据，并保证APP、小程序等使用端的正常运行，同时实现统一身份认证及事件流转的上报。</w:t>
            </w:r>
          </w:p>
          <w:p>
            <w:pPr>
              <w:pStyle w:val="null3"/>
              <w:ind w:firstLine="640"/>
              <w:jc w:val="both"/>
            </w:pPr>
            <w:r>
              <w:rPr>
                <w:rFonts w:ascii="仿宋" w:hAnsi="仿宋" w:cs="仿宋" w:eastAsia="仿宋"/>
                <w:sz w:val="32"/>
              </w:rPr>
              <w:t>（4）专用数据服务</w:t>
            </w:r>
          </w:p>
          <w:p>
            <w:pPr>
              <w:pStyle w:val="null3"/>
              <w:ind w:firstLine="640"/>
              <w:jc w:val="both"/>
            </w:pPr>
            <w:r>
              <w:rPr>
                <w:rFonts w:ascii="仿宋" w:hAnsi="仿宋" w:cs="仿宋" w:eastAsia="仿宋"/>
                <w:sz w:val="32"/>
              </w:rPr>
              <w:t>通过数据接口，定期对河长制信息管理系统所涉及的河道部件相关数据进行收集、整理、入库和更新；负责河长制信息系统与环保局信息中心数据接入及其它第三方系统的数据及视频信息交换，确保交换数据正常上传，同时对各县区上报的相关数据进行人工数据录入。依照计划实施配置管理，进行配置标识和追踪。使项目的各工作组都能及时得到项目进行的最新资料。按照各类文档产生期限收集、整理各类文档。控制文档格式，编制文档清单，管理文档版本，管理文档借阅，与用户交接。</w:t>
            </w:r>
          </w:p>
          <w:p>
            <w:pPr>
              <w:pStyle w:val="null3"/>
              <w:ind w:firstLine="640"/>
              <w:jc w:val="both"/>
            </w:pPr>
            <w:r>
              <w:rPr>
                <w:rFonts w:ascii="仿宋" w:hAnsi="仿宋" w:cs="仿宋" w:eastAsia="仿宋"/>
                <w:sz w:val="32"/>
              </w:rPr>
              <w:t>（5）信息管理系统相关服务</w:t>
            </w:r>
          </w:p>
          <w:p>
            <w:pPr>
              <w:pStyle w:val="null3"/>
              <w:ind w:firstLine="640"/>
              <w:jc w:val="both"/>
            </w:pPr>
            <w:r>
              <w:rPr>
                <w:rFonts w:ascii="仿宋" w:hAnsi="仿宋" w:cs="仿宋" w:eastAsia="仿宋"/>
                <w:sz w:val="32"/>
              </w:rPr>
              <w:t>A.</w:t>
            </w:r>
            <w:r>
              <w:rPr>
                <w:rFonts w:ascii="仿宋" w:hAnsi="仿宋" w:cs="仿宋" w:eastAsia="仿宋"/>
                <w:sz w:val="32"/>
              </w:rPr>
              <w:t>河长APP阿里云服务器服务</w:t>
            </w:r>
          </w:p>
          <w:p>
            <w:pPr>
              <w:pStyle w:val="null3"/>
              <w:ind w:firstLine="640"/>
              <w:jc w:val="both"/>
            </w:pPr>
            <w:r>
              <w:rPr>
                <w:rFonts w:ascii="仿宋" w:hAnsi="仿宋" w:cs="仿宋" w:eastAsia="仿宋"/>
                <w:sz w:val="32"/>
              </w:rPr>
              <w:t>为保证西安河长APP、西安河长管理信息系统小程序、无人机辅助巡查系统正常使用，每年向阿里云购买对应的服务：服务器服年服务使用费支付。阿里云服务器配置：8vCPU 32GiB  30M带宽，1T高速度云盘，自动快照策略、每天生成4个快照、保留15天。</w:t>
            </w:r>
          </w:p>
          <w:p>
            <w:pPr>
              <w:pStyle w:val="null3"/>
              <w:ind w:firstLine="640"/>
              <w:jc w:val="both"/>
            </w:pPr>
            <w:r>
              <w:rPr>
                <w:rFonts w:ascii="仿宋" w:hAnsi="仿宋" w:cs="仿宋" w:eastAsia="仿宋"/>
                <w:sz w:val="32"/>
              </w:rPr>
              <w:t>B.</w:t>
            </w:r>
            <w:r>
              <w:rPr>
                <w:rFonts w:ascii="仿宋" w:hAnsi="仿宋" w:cs="仿宋" w:eastAsia="仿宋"/>
                <w:sz w:val="32"/>
              </w:rPr>
              <w:t>河长阿里短信服务</w:t>
            </w:r>
          </w:p>
          <w:p>
            <w:pPr>
              <w:pStyle w:val="null3"/>
              <w:ind w:firstLine="640"/>
              <w:jc w:val="both"/>
            </w:pPr>
            <w:r>
              <w:rPr>
                <w:rFonts w:ascii="仿宋" w:hAnsi="仿宋" w:cs="仿宋" w:eastAsia="仿宋"/>
                <w:sz w:val="32"/>
              </w:rPr>
              <w:t>每年向阿里云服务提供商缴纳相应的费用，保证信息系统正常登陆、各级河湖长及河湖长办能够及时接收巡河、督办提醒短信业务正常使用（年使用量20万条左右）。</w:t>
            </w:r>
          </w:p>
          <w:p>
            <w:pPr>
              <w:pStyle w:val="null3"/>
              <w:ind w:firstLine="640"/>
              <w:jc w:val="both"/>
            </w:pPr>
            <w:r>
              <w:rPr>
                <w:rFonts w:ascii="仿宋" w:hAnsi="仿宋" w:cs="仿宋" w:eastAsia="仿宋"/>
                <w:sz w:val="32"/>
              </w:rPr>
              <w:t xml:space="preserve">C. </w:t>
            </w:r>
            <w:r>
              <w:rPr>
                <w:rFonts w:ascii="仿宋" w:hAnsi="仿宋" w:cs="仿宋" w:eastAsia="仿宋"/>
                <w:sz w:val="32"/>
              </w:rPr>
              <w:t>河长阿里云域名、域名安全证书服务</w:t>
            </w:r>
          </w:p>
          <w:p>
            <w:pPr>
              <w:pStyle w:val="null3"/>
              <w:ind w:firstLine="640"/>
              <w:jc w:val="both"/>
            </w:pPr>
            <w:r>
              <w:rPr>
                <w:rFonts w:ascii="仿宋" w:hAnsi="仿宋" w:cs="仿宋" w:eastAsia="仿宋"/>
                <w:sz w:val="32"/>
              </w:rPr>
              <w:t>为保障信息系统通过各个端的正常访问，需每年向阿里云支付相应的费用。</w:t>
            </w:r>
          </w:p>
          <w:p>
            <w:pPr>
              <w:pStyle w:val="null3"/>
            </w:pPr>
            <w:r>
              <w:rPr>
                <w:rFonts w:ascii="黑体" w:hAnsi="黑体" w:cs="黑体" w:eastAsia="黑体"/>
                <w:sz w:val="30"/>
              </w:rPr>
              <w:t>2.</w:t>
            </w:r>
            <w:r>
              <w:rPr>
                <w:rFonts w:ascii="黑体" w:hAnsi="黑体" w:cs="黑体" w:eastAsia="黑体"/>
                <w:sz w:val="30"/>
              </w:rPr>
              <w:t>硬件运维</w:t>
            </w:r>
          </w:p>
          <w:p>
            <w:pPr>
              <w:pStyle w:val="null3"/>
              <w:ind w:firstLine="640"/>
            </w:pPr>
            <w:r>
              <w:rPr>
                <w:rFonts w:ascii="仿宋" w:hAnsi="仿宋" w:cs="仿宋" w:eastAsia="仿宋"/>
                <w:sz w:val="32"/>
              </w:rPr>
              <w:t>（1）服务器维护</w:t>
            </w:r>
          </w:p>
          <w:p>
            <w:pPr>
              <w:pStyle w:val="null3"/>
              <w:ind w:firstLine="640"/>
            </w:pPr>
            <w:r>
              <w:rPr>
                <w:rFonts w:ascii="仿宋" w:hAnsi="仿宋" w:cs="仿宋" w:eastAsia="仿宋"/>
                <w:sz w:val="32"/>
              </w:rPr>
              <w:t>服务器系统主要包括信息处目前在用的各类服务器：数据库服务器、应用服务器、WEB/网管/备份服务器、手机APP网站、防病毒服务器等。具体服务内容包括：服务器硬件状态检查；服务器硬件安装与调整；服务器设备事件管理服务。</w:t>
            </w:r>
          </w:p>
          <w:p>
            <w:pPr>
              <w:pStyle w:val="null3"/>
              <w:ind w:firstLine="640"/>
            </w:pPr>
            <w:r>
              <w:rPr>
                <w:rFonts w:ascii="仿宋" w:hAnsi="仿宋" w:cs="仿宋" w:eastAsia="仿宋"/>
                <w:sz w:val="32"/>
              </w:rPr>
              <w:t>运维团队根据服务器的情况制订相应的事件管理文档，由现场服务人员对服务器发生的事件进行记录、跟踪与分析，通过对事件的分析，及时发现服务器中存在的潜在问题，并进行解决或提出相应的解决方案。</w:t>
            </w:r>
          </w:p>
          <w:p>
            <w:pPr>
              <w:pStyle w:val="null3"/>
              <w:ind w:firstLine="640"/>
            </w:pPr>
            <w:r>
              <w:rPr>
                <w:rFonts w:ascii="仿宋" w:hAnsi="仿宋" w:cs="仿宋" w:eastAsia="仿宋"/>
                <w:sz w:val="32"/>
              </w:rPr>
              <w:t>（2）服务器性能监控</w:t>
            </w:r>
          </w:p>
          <w:p>
            <w:pPr>
              <w:pStyle w:val="null3"/>
              <w:ind w:firstLine="640"/>
            </w:pPr>
            <w:r>
              <w:rPr>
                <w:rFonts w:ascii="仿宋" w:hAnsi="仿宋" w:cs="仿宋" w:eastAsia="仿宋"/>
                <w:sz w:val="32"/>
              </w:rPr>
              <w:t>运维团队每天由现场服务人员根据制定的性能监测模板对服务器的性能监控，监控的参数为服务器的CPU、memory、hdd、network，并根据各服务器的应用情况，分析出服务器性能的基本基准线。</w:t>
            </w:r>
          </w:p>
          <w:p>
            <w:pPr>
              <w:pStyle w:val="null3"/>
              <w:ind w:firstLine="640"/>
            </w:pPr>
            <w:r>
              <w:rPr>
                <w:rFonts w:ascii="仿宋" w:hAnsi="仿宋" w:cs="仿宋" w:eastAsia="仿宋"/>
                <w:sz w:val="32"/>
              </w:rPr>
              <w:t>（3）应用维护</w:t>
            </w:r>
          </w:p>
          <w:p>
            <w:pPr>
              <w:pStyle w:val="null3"/>
              <w:ind w:firstLine="640"/>
            </w:pPr>
            <w:r>
              <w:rPr>
                <w:rFonts w:ascii="仿宋" w:hAnsi="仿宋" w:cs="仿宋" w:eastAsia="仿宋"/>
                <w:sz w:val="32"/>
              </w:rPr>
              <w:t>运维团队现场服务人员对这些应用进行定期的维护，对防病毒软件的防护状态与更新情况进行每天检查。具体服务内容包括：服务器进程与服务检查；服务器磁盘空间检查；服务器系统漏洞修补；系统配置与变更管理；系统垃圾清理；记录与报告。</w:t>
            </w:r>
          </w:p>
          <w:p>
            <w:pPr>
              <w:pStyle w:val="null3"/>
              <w:ind w:firstLine="640"/>
            </w:pPr>
            <w:r>
              <w:rPr>
                <w:rFonts w:ascii="仿宋" w:hAnsi="仿宋" w:cs="仿宋" w:eastAsia="仿宋"/>
                <w:sz w:val="32"/>
              </w:rPr>
              <w:t>（4）存储设备维护</w:t>
            </w:r>
          </w:p>
          <w:p>
            <w:pPr>
              <w:pStyle w:val="null3"/>
              <w:ind w:firstLine="640"/>
            </w:pPr>
            <w:r>
              <w:rPr>
                <w:rFonts w:ascii="仿宋" w:hAnsi="仿宋" w:cs="仿宋" w:eastAsia="仿宋"/>
                <w:sz w:val="32"/>
              </w:rPr>
              <w:t>存储系统平台主要包括：存储系统、磁盘阵列、磁带库等的管理和维护工作。具体服务内容包括：存储设备配置管理服务；备份作业检查；交换机日常状态检查维护；存储设备事件管理服务；备份及恢复策略制定；备份介质管理；备份软件维护；备份数据恢复。</w:t>
            </w:r>
          </w:p>
          <w:p>
            <w:pPr>
              <w:pStyle w:val="null3"/>
              <w:ind w:firstLine="640"/>
            </w:pPr>
            <w:r>
              <w:rPr>
                <w:rFonts w:ascii="仿宋" w:hAnsi="仿宋" w:cs="仿宋" w:eastAsia="仿宋"/>
                <w:sz w:val="32"/>
              </w:rPr>
              <w:t>当系统出现异常数据丢失时，协同应用厂商，在信息处的授权下，要求运维团队现场服务人员对相应的备份数据进行数据恢复，以快速保证与恢复客户的应用。</w:t>
            </w:r>
          </w:p>
          <w:p>
            <w:pPr>
              <w:pStyle w:val="null3"/>
              <w:ind w:firstLine="640"/>
            </w:pPr>
            <w:r>
              <w:rPr>
                <w:rFonts w:ascii="仿宋" w:hAnsi="仿宋" w:cs="仿宋" w:eastAsia="仿宋"/>
                <w:sz w:val="32"/>
              </w:rPr>
              <w:t>（5）备份数据整理</w:t>
            </w:r>
          </w:p>
          <w:p>
            <w:pPr>
              <w:pStyle w:val="null3"/>
              <w:ind w:firstLine="640"/>
            </w:pPr>
            <w:r>
              <w:rPr>
                <w:rFonts w:ascii="仿宋" w:hAnsi="仿宋" w:cs="仿宋" w:eastAsia="仿宋"/>
                <w:sz w:val="32"/>
              </w:rPr>
              <w:t>由于目前备份数据没有明确的管理制度，备份数据管理程无序化状态，对于备份数据的保存声明周期没有周密的限定计划，造成备份数据占用大量的存储空间，运维团队现场服务人员根据备份和存储数据的情况，提出数据整理频率计划，并信息处进行数据的整理。</w:t>
            </w:r>
          </w:p>
          <w:p>
            <w:pPr>
              <w:pStyle w:val="null3"/>
              <w:ind w:firstLine="640"/>
            </w:pPr>
            <w:r>
              <w:rPr>
                <w:rFonts w:ascii="仿宋" w:hAnsi="仿宋" w:cs="仿宋" w:eastAsia="仿宋"/>
                <w:sz w:val="32"/>
              </w:rPr>
              <w:t>（6）网络、安全设备维护</w:t>
            </w:r>
          </w:p>
          <w:p>
            <w:pPr>
              <w:pStyle w:val="null3"/>
              <w:ind w:firstLine="640"/>
            </w:pPr>
            <w:r>
              <w:rPr>
                <w:rFonts w:ascii="仿宋" w:hAnsi="仿宋" w:cs="仿宋" w:eastAsia="仿宋"/>
                <w:sz w:val="32"/>
              </w:rPr>
              <w:t>通过网络、安全系统管理服务，降低网络设备故障率，提高网络设备的运行性能。提高河长处局网络运行的稳定性、可靠性，以专业化运作模式解决河长处各类信息系统信息化发展的需求。需要提供故障诊断、远程支持、现场支持、软件升级、设备搬迁、网络优化、网络巡检、现场培训、技术交流、网络安全、网络建设建议等服务。具体服务内容如下：网络故障排查；网络设备硬件状态检查；网络流量监测；安全策略配置及配置优化；网络设备配置管理服务；网络设备资料及配置参数整理；网络使用状况趋势分析及建议。</w:t>
            </w:r>
          </w:p>
          <w:p>
            <w:pPr>
              <w:pStyle w:val="null3"/>
              <w:ind w:firstLine="600"/>
            </w:pPr>
            <w:r>
              <w:rPr>
                <w:rFonts w:ascii="黑体" w:hAnsi="黑体" w:cs="黑体" w:eastAsia="黑体"/>
                <w:sz w:val="30"/>
              </w:rPr>
              <w:t>3.</w:t>
            </w:r>
            <w:r>
              <w:rPr>
                <w:rFonts w:ascii="黑体" w:hAnsi="黑体" w:cs="黑体" w:eastAsia="黑体"/>
                <w:sz w:val="30"/>
              </w:rPr>
              <w:t>租赁费用</w:t>
            </w:r>
          </w:p>
          <w:p>
            <w:pPr>
              <w:pStyle w:val="null3"/>
              <w:ind w:firstLine="640"/>
            </w:pPr>
            <w:r>
              <w:rPr>
                <w:rFonts w:ascii="仿宋_gb2312" w:hAnsi="仿宋_gb2312" w:cs="仿宋_gb2312" w:eastAsia="仿宋_gb2312"/>
                <w:sz w:val="32"/>
              </w:rPr>
              <w:t>西安市河长制管理信息系统河长APP阿里云服务器服务费、河长阿里短信服务费、河长阿里云域名、域名安全证书（ssl)等使用费。</w:t>
            </w:r>
          </w:p>
          <w:p>
            <w:pPr>
              <w:pStyle w:val="null3"/>
            </w:pPr>
            <w:r>
              <w:rPr>
                <w:rFonts w:ascii="仿宋" w:hAnsi="仿宋" w:cs="仿宋" w:eastAsia="仿宋"/>
                <w:sz w:val="32"/>
                <w:b/>
              </w:rPr>
              <w:t>三、服务期限：</w:t>
            </w:r>
          </w:p>
          <w:p>
            <w:pPr>
              <w:pStyle w:val="null3"/>
              <w:ind w:firstLine="640"/>
              <w:jc w:val="both"/>
            </w:pPr>
            <w:r>
              <w:rPr>
                <w:rFonts w:ascii="仿宋" w:hAnsi="仿宋" w:cs="仿宋" w:eastAsia="仿宋"/>
                <w:sz w:val="32"/>
              </w:rPr>
              <w:t>合同签订之日起，壹年。</w:t>
            </w:r>
          </w:p>
          <w:p>
            <w:pPr>
              <w:pStyle w:val="null3"/>
              <w:ind w:firstLine="643"/>
              <w:jc w:val="both"/>
            </w:pPr>
            <w:r>
              <w:rPr>
                <w:rFonts w:ascii="仿宋" w:hAnsi="仿宋" w:cs="仿宋" w:eastAsia="仿宋"/>
                <w:sz w:val="32"/>
                <w:b/>
              </w:rPr>
              <w:t>四、服务要求</w:t>
            </w:r>
          </w:p>
          <w:p>
            <w:pPr>
              <w:pStyle w:val="null3"/>
              <w:ind w:firstLine="640"/>
              <w:jc w:val="both"/>
            </w:pPr>
            <w:r>
              <w:rPr>
                <w:rFonts w:ascii="仿宋" w:hAnsi="仿宋" w:cs="仿宋" w:eastAsia="仿宋"/>
                <w:sz w:val="32"/>
              </w:rPr>
              <w:t>1</w:t>
            </w:r>
            <w:r>
              <w:rPr>
                <w:rFonts w:ascii="仿宋" w:hAnsi="仿宋" w:cs="仿宋" w:eastAsia="仿宋"/>
                <w:sz w:val="32"/>
              </w:rPr>
              <w:t>、根据系统实际，服务商应成立一个8人项目运维组，专职负责运行维护工作。其中管理人员1名，具有信息系统项目管理师资格证书、注册信息安全工程师认证（CISP），负责协调采购人与常驻运维人员的业务支撑沟通；具有ITSS认证的运维项目经理1名、运维工程师4名；网络工程师1名；数据库管理人员1名。鉴于系统涉及领域广泛，技术复杂，需要较长的时间熟悉和学习，为确保运维工作的连续性和稳定性，要求人员相对固定，运维期内原则上不能更换。</w:t>
            </w:r>
          </w:p>
          <w:p>
            <w:pPr>
              <w:pStyle w:val="null3"/>
              <w:ind w:firstLine="640"/>
              <w:jc w:val="both"/>
            </w:pPr>
            <w:r>
              <w:rPr>
                <w:rFonts w:ascii="仿宋" w:hAnsi="仿宋" w:cs="仿宋" w:eastAsia="仿宋"/>
                <w:sz w:val="32"/>
              </w:rPr>
              <w:t>2</w:t>
            </w:r>
            <w:r>
              <w:rPr>
                <w:rFonts w:ascii="仿宋" w:hAnsi="仿宋" w:cs="仿宋" w:eastAsia="仿宋"/>
                <w:sz w:val="32"/>
              </w:rPr>
              <w:t>、各项维护工作中，编制相关维护方案、手册等文档，便于维护工作日常操作与规范化、标准化管理。</w:t>
            </w:r>
          </w:p>
          <w:p>
            <w:pPr>
              <w:pStyle w:val="null3"/>
              <w:ind w:firstLine="640"/>
              <w:jc w:val="both"/>
            </w:pPr>
            <w:r>
              <w:rPr>
                <w:rFonts w:ascii="仿宋" w:hAnsi="仿宋" w:cs="仿宋" w:eastAsia="仿宋"/>
                <w:sz w:val="32"/>
              </w:rPr>
              <w:t>3</w:t>
            </w:r>
            <w:r>
              <w:rPr>
                <w:rFonts w:ascii="仿宋" w:hAnsi="仿宋" w:cs="仿宋" w:eastAsia="仿宋"/>
                <w:sz w:val="32"/>
              </w:rPr>
              <w:t>、对于系统的修改调整，运维项目组根据采购人的需求或事先征得采购人的同意，首先在测试服务器上进行测试，测试成功后，再在正式环境进行部署。</w:t>
            </w:r>
          </w:p>
          <w:p>
            <w:pPr>
              <w:pStyle w:val="null3"/>
              <w:ind w:firstLine="640"/>
              <w:jc w:val="both"/>
            </w:pPr>
            <w:r>
              <w:rPr>
                <w:rFonts w:ascii="仿宋" w:hAnsi="仿宋" w:cs="仿宋" w:eastAsia="仿宋"/>
                <w:sz w:val="32"/>
              </w:rPr>
              <w:t>4</w:t>
            </w:r>
            <w:r>
              <w:rPr>
                <w:rFonts w:ascii="仿宋" w:hAnsi="仿宋" w:cs="仿宋" w:eastAsia="仿宋"/>
                <w:sz w:val="32"/>
              </w:rPr>
              <w:t>、运维项目组在每个工作日结束后，对截止当天的系统数据进行同步和备份。</w:t>
            </w:r>
          </w:p>
          <w:p>
            <w:pPr>
              <w:pStyle w:val="null3"/>
              <w:ind w:firstLine="640"/>
              <w:jc w:val="both"/>
            </w:pPr>
            <w:r>
              <w:rPr>
                <w:rFonts w:ascii="仿宋" w:hAnsi="仿宋" w:cs="仿宋" w:eastAsia="仿宋"/>
                <w:sz w:val="32"/>
              </w:rPr>
              <w:t>5</w:t>
            </w:r>
            <w:r>
              <w:rPr>
                <w:rFonts w:ascii="仿宋" w:hAnsi="仿宋" w:cs="仿宋" w:eastAsia="仿宋"/>
                <w:sz w:val="32"/>
              </w:rPr>
              <w:t>、运维项目组建立完善的运行维护服务，认真详实填报有关维护资料；对服务期间发生的各项维护升级事宜，做好相应的详细工作情况记录。</w:t>
            </w:r>
          </w:p>
          <w:p>
            <w:pPr>
              <w:pStyle w:val="null3"/>
              <w:ind w:firstLine="640"/>
              <w:jc w:val="both"/>
            </w:pPr>
            <w:r>
              <w:rPr>
                <w:rFonts w:ascii="仿宋" w:hAnsi="仿宋" w:cs="仿宋" w:eastAsia="仿宋"/>
                <w:sz w:val="32"/>
              </w:rPr>
              <w:t>6</w:t>
            </w:r>
            <w:r>
              <w:rPr>
                <w:rFonts w:ascii="仿宋" w:hAnsi="仿宋" w:cs="仿宋" w:eastAsia="仿宋"/>
                <w:sz w:val="32"/>
              </w:rPr>
              <w:t>、维护工作按照规定有序进行，做到预防问题发生，发生问题及时解决，并总结原因与解决办法，避免相同问题下一次再次发生。</w:t>
            </w:r>
          </w:p>
          <w:p>
            <w:pPr>
              <w:pStyle w:val="null3"/>
              <w:ind w:firstLine="640"/>
              <w:jc w:val="both"/>
            </w:pPr>
            <w:r>
              <w:rPr>
                <w:rFonts w:ascii="仿宋" w:hAnsi="仿宋" w:cs="仿宋" w:eastAsia="仿宋"/>
                <w:sz w:val="32"/>
              </w:rPr>
              <w:t>7</w:t>
            </w:r>
            <w:r>
              <w:rPr>
                <w:rFonts w:ascii="仿宋" w:hAnsi="仿宋" w:cs="仿宋" w:eastAsia="仿宋"/>
                <w:sz w:val="32"/>
              </w:rPr>
              <w:t>、维护工具要求</w:t>
            </w:r>
          </w:p>
          <w:p>
            <w:pPr>
              <w:pStyle w:val="null3"/>
              <w:ind w:firstLine="640"/>
              <w:jc w:val="left"/>
            </w:pPr>
            <w:r>
              <w:rPr>
                <w:rFonts w:ascii="仿宋" w:hAnsi="仿宋" w:cs="仿宋" w:eastAsia="仿宋"/>
                <w:sz w:val="32"/>
              </w:rPr>
              <w:t>供应商提供常备检查维护车辆一台，所提供的常驻机动交通工具能够满足较大的人员承载和货物承载，所产生的所有费用包括司机工资由供应商自行承担；在运维时应具备相关的办公设备，供应商办公人员需每人自备固定办公台式机，并配备至少2台笔记本电脑用于机房、终端、外场维护时机动使用。</w:t>
            </w:r>
          </w:p>
        </w:tc>
      </w:tr>
    </w:tbl>
    <w:p>
      <w:pPr>
        <w:pStyle w:val="null3"/>
        <w:outlineLvl w:val="2"/>
      </w:pPr>
      <w:r>
        <w:rPr>
          <w:sz w:val="28"/>
          <w:b/>
        </w:rPr>
        <w:t>3.2.3人员配置要求</w:t>
      </w:r>
    </w:p>
    <w:p>
      <w:pPr>
        <w:pStyle w:val="null3"/>
      </w:pPr>
      <w:r>
        <w:rPr/>
        <w:t>采购包1：</w:t>
      </w:r>
    </w:p>
    <w:p>
      <w:pPr>
        <w:pStyle w:val="null3"/>
      </w:pPr>
      <w:r>
        <w:rPr/>
        <w:t>根据磋商文件及合同约定执行。</w:t>
      </w:r>
    </w:p>
    <w:p>
      <w:pPr>
        <w:pStyle w:val="null3"/>
        <w:outlineLvl w:val="2"/>
      </w:pPr>
      <w:r>
        <w:rPr>
          <w:sz w:val="28"/>
          <w:b/>
        </w:rPr>
        <w:t>3.2.4设施设备要求</w:t>
      </w:r>
    </w:p>
    <w:p>
      <w:pPr>
        <w:pStyle w:val="null3"/>
      </w:pPr>
      <w:r>
        <w:rPr/>
        <w:t>采购包1：</w:t>
      </w:r>
    </w:p>
    <w:p>
      <w:pPr>
        <w:pStyle w:val="null3"/>
      </w:pPr>
      <w:r>
        <w:rPr/>
        <w:t>根据磋商文件及合同约定执行。</w:t>
      </w:r>
    </w:p>
    <w:p>
      <w:pPr>
        <w:pStyle w:val="null3"/>
        <w:outlineLvl w:val="2"/>
      </w:pPr>
      <w:r>
        <w:rPr>
          <w:sz w:val="28"/>
          <w:b/>
        </w:rPr>
        <w:t>3.2.5其他要求</w:t>
      </w:r>
    </w:p>
    <w:p>
      <w:pPr>
        <w:pStyle w:val="null3"/>
      </w:pPr>
      <w:r>
        <w:rPr/>
        <w:t>采购包1：</w:t>
      </w:r>
    </w:p>
    <w:p>
      <w:pPr>
        <w:pStyle w:val="null3"/>
      </w:pPr>
      <w:r>
        <w:rPr/>
        <w:t>根据磋商文件及合同约定执行。</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合同签订之日起一年。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1、竞争性磋商文件、竞争性磋商响应文件、澄清表（函）； 2、合同及附件文本； 3、国家相应的标准、规范。</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15</w:t>
      </w:r>
      <w:r>
        <w:rPr/>
        <w:t xml:space="preserve"> 日内，支付合同总金额的 </w:t>
      </w:r>
      <w:r>
        <w:rPr/>
        <w:t>65.00</w:t>
      </w:r>
      <w:r>
        <w:rPr/>
        <w:t>%。</w:t>
      </w:r>
    </w:p>
    <w:p>
      <w:pPr>
        <w:pStyle w:val="null3"/>
      </w:pPr>
      <w:r>
        <w:rPr/>
        <w:t>采购包1：</w:t>
      </w:r>
      <w:r>
        <w:rPr/>
        <w:t xml:space="preserve"> 付款条件说明： </w:t>
      </w:r>
      <w:r>
        <w:rPr/>
        <w:t>2024年10月底，根据供应商服务情况</w:t>
      </w:r>
      <w:r>
        <w:rPr/>
        <w:t xml:space="preserve"> ，达到付款条件起 </w:t>
      </w:r>
      <w:r>
        <w:rPr/>
        <w:t>15</w:t>
      </w:r>
      <w:r>
        <w:rPr/>
        <w:t xml:space="preserve"> 日内，支付合同总金额的 </w:t>
      </w:r>
      <w:r>
        <w:rPr/>
        <w:t>25.00</w:t>
      </w:r>
      <w:r>
        <w:rPr/>
        <w:t>%。</w:t>
      </w:r>
    </w:p>
    <w:p>
      <w:pPr>
        <w:pStyle w:val="null3"/>
      </w:pPr>
      <w:r>
        <w:rPr/>
        <w:t>采购包1：</w:t>
      </w:r>
      <w:r>
        <w:rPr/>
        <w:t xml:space="preserve"> 付款条件说明： </w:t>
      </w:r>
      <w:r>
        <w:rPr/>
        <w:t>验收合格后</w:t>
      </w:r>
      <w:r>
        <w:rPr/>
        <w:t xml:space="preserve"> ，达到付款条件起 </w:t>
      </w:r>
      <w:r>
        <w:rPr/>
        <w:t>30</w:t>
      </w:r>
      <w:r>
        <w:rPr/>
        <w:t xml:space="preserve"> 日内，支付合同总金额的 </w:t>
      </w:r>
      <w:r>
        <w:rPr/>
        <w:t>10.00</w:t>
      </w:r>
      <w:r>
        <w:rPr/>
        <w:t>%。</w:t>
      </w:r>
    </w:p>
    <w:p>
      <w:pPr>
        <w:pStyle w:val="null3"/>
        <w:outlineLvl w:val="3"/>
      </w:pPr>
      <w:r>
        <w:rPr>
          <w:sz w:val="24"/>
          <w:b/>
        </w:rPr>
        <w:t>3.3.6违约责任及解决争议的方法</w:t>
      </w:r>
    </w:p>
    <w:p>
      <w:pPr>
        <w:pStyle w:val="null3"/>
      </w:pPr>
      <w:r>
        <w:rPr/>
        <w:t>采购包1：</w:t>
      </w:r>
    </w:p>
    <w:p>
      <w:pPr>
        <w:pStyle w:val="null3"/>
      </w:pPr>
      <w:r>
        <w:rPr/>
        <w:t>根据磋商文件及合同约定执行。</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供应商企业关联关系声明函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残疾人福利性单位声明函 中小企业声明函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财务报告</w:t>
            </w:r>
          </w:p>
        </w:tc>
        <w:tc>
          <w:tcPr>
            <w:tcW w:type="dxa" w:w="3322"/>
          </w:tcPr>
          <w:p>
            <w:pPr>
              <w:pStyle w:val="null3"/>
            </w:pPr>
            <w:r>
              <w:rPr/>
              <w:t>提供2022年度或2023年度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纳税证明或完税证明</w:t>
            </w:r>
          </w:p>
        </w:tc>
        <w:tc>
          <w:tcPr>
            <w:tcW w:type="dxa" w:w="3322"/>
          </w:tcPr>
          <w:p>
            <w:pPr>
              <w:pStyle w:val="null3"/>
            </w:pPr>
            <w:r>
              <w:rPr/>
              <w:t>提供投标截止之日前近六个月内至少一个月的纳税证明或完税证明（增值税，印花税，城市维护建设费，企业所得税等一种或多种税种），依法免税的单位应提供相关证明材料；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提供投标截止之日前近六个月内至少一个月的社会保障资金缴存单据或社保机构开具的社会保险参保缴费情况证明，依法不需要缴纳社会保障资金的单位应提供相关证明材料；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设备及专业技术能力的声明</w:t>
            </w:r>
          </w:p>
        </w:tc>
        <w:tc>
          <w:tcPr>
            <w:tcW w:type="dxa" w:w="3322"/>
          </w:tcPr>
          <w:p>
            <w:pPr>
              <w:pStyle w:val="null3"/>
            </w:pPr>
            <w:r>
              <w:rPr/>
              <w:t>提供具有履行本合同所必需的设备和专业技术能力的声明；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3年内在经营活动中没有重大违法记录的书面声明</w:t>
            </w:r>
          </w:p>
        </w:tc>
        <w:tc>
          <w:tcPr>
            <w:tcW w:type="dxa" w:w="3322"/>
          </w:tcPr>
          <w:p>
            <w:pPr>
              <w:pStyle w:val="null3"/>
            </w:pPr>
            <w:r>
              <w:rPr/>
              <w:t>出具参加政府采购活动前3年内在经营活动中没有重大违法记录的书面声明；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授权委托书</w:t>
            </w:r>
          </w:p>
        </w:tc>
        <w:tc>
          <w:tcPr>
            <w:tcW w:type="dxa" w:w="3322"/>
          </w:tcPr>
          <w:p>
            <w:pPr>
              <w:pStyle w:val="null3"/>
            </w:pPr>
            <w:r>
              <w:rPr/>
              <w:t>被授权人参与磋商的需提供法定代表人身份证明书及授权委托书；法定代表人或负责人直接参与磋商的，须出具法定代表人身份证明书；</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供应商信誉要求</w:t>
            </w:r>
          </w:p>
        </w:tc>
        <w:tc>
          <w:tcPr>
            <w:tcW w:type="dxa" w:w="3322"/>
          </w:tcPr>
          <w:p>
            <w:pPr>
              <w:pStyle w:val="null3"/>
            </w:pPr>
            <w:r>
              <w:rPr/>
              <w:t>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本项目不接受联合体磋商</w:t>
            </w:r>
          </w:p>
        </w:tc>
        <w:tc>
          <w:tcPr>
            <w:tcW w:type="dxa" w:w="3322"/>
          </w:tcPr>
          <w:p>
            <w:pPr>
              <w:pStyle w:val="null3"/>
            </w:pPr>
            <w:r>
              <w:rPr/>
              <w:t>本项目不接受联合体磋商。</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标的清单 报价表</w:t>
            </w:r>
          </w:p>
        </w:tc>
      </w:tr>
      <w:tr>
        <w:tc>
          <w:tcPr>
            <w:tcW w:type="dxa" w:w="831"/>
          </w:tcPr>
          <w:p>
            <w:pPr>
              <w:pStyle w:val="null3"/>
            </w:pPr>
            <w:r>
              <w:rPr/>
              <w:t>2</w:t>
            </w:r>
          </w:p>
        </w:tc>
        <w:tc>
          <w:tcPr>
            <w:tcW w:type="dxa" w:w="2492"/>
          </w:tcPr>
          <w:p>
            <w:pPr>
              <w:pStyle w:val="null3"/>
            </w:pPr>
            <w:r>
              <w:rPr/>
              <w:t>投标（响应）文件的签字盖章符合性</w:t>
            </w:r>
          </w:p>
        </w:tc>
        <w:tc>
          <w:tcPr>
            <w:tcW w:type="dxa" w:w="3322"/>
          </w:tcPr>
          <w:p>
            <w:pPr>
              <w:pStyle w:val="null3"/>
            </w:pPr>
            <w:r>
              <w:rPr/>
              <w:t>投标（响应）文件上法定代表人或其授权代表人的签字齐全或加盖公章，符合磋商文件要求</w:t>
            </w:r>
          </w:p>
        </w:tc>
        <w:tc>
          <w:tcPr>
            <w:tcW w:type="dxa" w:w="1661"/>
          </w:tcPr>
          <w:p>
            <w:pPr>
              <w:pStyle w:val="null3"/>
            </w:pPr>
            <w:r>
              <w:rPr/>
              <w:t>分项报价表 中小企业声明函 供应商应提交的相关资格证明材料 报价表 商务条款响应偏离表 响应文件封面 残疾人福利性单位声明函 供应商企业关联关系声明函 服务方案 标的清单 供应商类似项目业绩一览表 供应商承诺书 响应函 监狱企业的证明文件 技术、服务条款响应偏离表</w:t>
            </w:r>
          </w:p>
        </w:tc>
      </w:tr>
      <w:tr>
        <w:tc>
          <w:tcPr>
            <w:tcW w:type="dxa" w:w="831"/>
          </w:tcPr>
          <w:p>
            <w:pPr>
              <w:pStyle w:val="null3"/>
            </w:pPr>
            <w:r>
              <w:rPr/>
              <w:t>3</w:t>
            </w:r>
          </w:p>
        </w:tc>
        <w:tc>
          <w:tcPr>
            <w:tcW w:type="dxa" w:w="2492"/>
          </w:tcPr>
          <w:p>
            <w:pPr>
              <w:pStyle w:val="null3"/>
            </w:pPr>
            <w:r>
              <w:rPr/>
              <w:t>供应商名称字章符合性</w:t>
            </w:r>
          </w:p>
        </w:tc>
        <w:tc>
          <w:tcPr>
            <w:tcW w:type="dxa" w:w="3322"/>
          </w:tcPr>
          <w:p>
            <w:pPr>
              <w:pStyle w:val="null3"/>
            </w:pPr>
            <w:r>
              <w:rPr/>
              <w:t>供应商名称字章一致</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投标（响应）有效期符合性</w:t>
            </w:r>
          </w:p>
        </w:tc>
        <w:tc>
          <w:tcPr>
            <w:tcW w:type="dxa" w:w="3322"/>
          </w:tcPr>
          <w:p>
            <w:pPr>
              <w:pStyle w:val="null3"/>
            </w:pPr>
            <w:r>
              <w:rPr/>
              <w:t>投标（响应）有效期满足磋商文件要求</w:t>
            </w:r>
          </w:p>
        </w:tc>
        <w:tc>
          <w:tcPr>
            <w:tcW w:type="dxa" w:w="1661"/>
          </w:tcPr>
          <w:p>
            <w:pPr>
              <w:pStyle w:val="null3"/>
            </w:pPr>
            <w:r>
              <w:rPr/>
              <w:t>供应商应提交的相关资格证明材料 响应函</w:t>
            </w:r>
          </w:p>
        </w:tc>
      </w:tr>
      <w:tr>
        <w:tc>
          <w:tcPr>
            <w:tcW w:type="dxa" w:w="831"/>
          </w:tcPr>
          <w:p>
            <w:pPr>
              <w:pStyle w:val="null3"/>
            </w:pPr>
            <w:r>
              <w:rPr/>
              <w:t>5</w:t>
            </w:r>
          </w:p>
        </w:tc>
        <w:tc>
          <w:tcPr>
            <w:tcW w:type="dxa" w:w="2492"/>
          </w:tcPr>
          <w:p>
            <w:pPr>
              <w:pStyle w:val="null3"/>
            </w:pPr>
            <w:r>
              <w:rPr/>
              <w:t>投标（响应）报价符合性</w:t>
            </w:r>
          </w:p>
        </w:tc>
        <w:tc>
          <w:tcPr>
            <w:tcW w:type="dxa" w:w="3322"/>
          </w:tcPr>
          <w:p>
            <w:pPr>
              <w:pStyle w:val="null3"/>
            </w:pPr>
            <w:r>
              <w:rPr/>
              <w:t>投标（响应）报价是唯一有效的、投标（响应）报价不得超出最高限价</w:t>
            </w:r>
          </w:p>
        </w:tc>
        <w:tc>
          <w:tcPr>
            <w:tcW w:type="dxa" w:w="1661"/>
          </w:tcPr>
          <w:p>
            <w:pPr>
              <w:pStyle w:val="null3"/>
            </w:pPr>
            <w:r>
              <w:rPr/>
              <w:t>分项报价表 标的清单 报价表</w:t>
            </w:r>
          </w:p>
        </w:tc>
      </w:tr>
      <w:tr>
        <w:tc>
          <w:tcPr>
            <w:tcW w:type="dxa" w:w="831"/>
          </w:tcPr>
          <w:p>
            <w:pPr>
              <w:pStyle w:val="null3"/>
            </w:pPr>
            <w:r>
              <w:rPr/>
              <w:t>6</w:t>
            </w:r>
          </w:p>
        </w:tc>
        <w:tc>
          <w:tcPr>
            <w:tcW w:type="dxa" w:w="2492"/>
          </w:tcPr>
          <w:p>
            <w:pPr>
              <w:pStyle w:val="null3"/>
            </w:pPr>
            <w:r>
              <w:rPr/>
              <w:t>技术、服务、商务响应满足磋商文件实质性要求</w:t>
            </w:r>
          </w:p>
        </w:tc>
        <w:tc>
          <w:tcPr>
            <w:tcW w:type="dxa" w:w="3322"/>
          </w:tcPr>
          <w:p>
            <w:pPr>
              <w:pStyle w:val="null3"/>
            </w:pPr>
            <w:r>
              <w:rPr/>
              <w:t>技术、服务响应满足磋商文件要求；商务响应满足磋商文件要求</w:t>
            </w:r>
          </w:p>
        </w:tc>
        <w:tc>
          <w:tcPr>
            <w:tcW w:type="dxa" w:w="1661"/>
          </w:tcPr>
          <w:p>
            <w:pPr>
              <w:pStyle w:val="null3"/>
            </w:pPr>
            <w:r>
              <w:rPr/>
              <w:t>技术、服务条款响应偏离表 商务条款响应偏离表</w:t>
            </w:r>
          </w:p>
        </w:tc>
      </w:tr>
      <w:tr>
        <w:tc>
          <w:tcPr>
            <w:tcW w:type="dxa" w:w="831"/>
          </w:tcPr>
          <w:p>
            <w:pPr>
              <w:pStyle w:val="null3"/>
            </w:pPr>
            <w:r>
              <w:rPr/>
              <w:t>7</w:t>
            </w:r>
          </w:p>
        </w:tc>
        <w:tc>
          <w:tcPr>
            <w:tcW w:type="dxa" w:w="2492"/>
          </w:tcPr>
          <w:p>
            <w:pPr>
              <w:pStyle w:val="null3"/>
            </w:pPr>
            <w:r>
              <w:rPr/>
              <w:t>其他实质性要求</w:t>
            </w:r>
          </w:p>
        </w:tc>
        <w:tc>
          <w:tcPr>
            <w:tcW w:type="dxa" w:w="3322"/>
          </w:tcPr>
          <w:p>
            <w:pPr>
              <w:pStyle w:val="null3"/>
            </w:pPr>
            <w:r>
              <w:rPr/>
              <w:t>符合法律、法规和磋商文件中规定的其他实质性要求</w:t>
            </w:r>
          </w:p>
        </w:tc>
        <w:tc>
          <w:tcPr>
            <w:tcW w:type="dxa" w:w="1661"/>
          </w:tcPr>
          <w:p>
            <w:pPr>
              <w:pStyle w:val="null3"/>
            </w:pPr>
            <w:r>
              <w:rPr/>
              <w:t>分项报价表 中小企业声明函 供应商应提交的相关资格证明材料 报价表 商务条款响应偏离表 残疾人福利性单位声明函 供应商企业关联关系声明函 服务方案 标的清单 供应商类似项目业绩一览表 供应商承诺书 响应函 监狱企业的证明文件 技术、服务条款响应偏离表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运维服务方案</w:t>
            </w:r>
          </w:p>
        </w:tc>
        <w:tc>
          <w:tcPr>
            <w:tcW w:type="dxa" w:w="2492"/>
          </w:tcPr>
          <w:p>
            <w:pPr>
              <w:pStyle w:val="null3"/>
            </w:pPr>
            <w:r>
              <w:rPr/>
              <w:t>供应商针对本项目提供详细的运维服务方案。方案思路清晰、科学合理、切实可行，完全满足采购人需求计（9-12]分；方案合理完善，可实施性较强计（6-9]分；有服务方案，但可实施性一般计（3-6]分；方案简单，内容空泛，不利于项目实施的计[0-3]分；未提供的不计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管理组织架构</w:t>
            </w:r>
          </w:p>
        </w:tc>
        <w:tc>
          <w:tcPr>
            <w:tcW w:type="dxa" w:w="2492"/>
          </w:tcPr>
          <w:p>
            <w:pPr>
              <w:pStyle w:val="null3"/>
            </w:pPr>
            <w:r>
              <w:rPr/>
              <w:t>供应商管理规章制度齐全，有完善的管理组织架构，针对本项目可以制定标准化服务流程。管理规章制度齐全，管理组织架构完善计（7-10]分，有管理规章制度、管理组织架构，能保证项目质量的计（3-7]分，管理制度不完善、管理组织构架不明确的计[0-3]分，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应急处置方案</w:t>
            </w:r>
          </w:p>
        </w:tc>
        <w:tc>
          <w:tcPr>
            <w:tcW w:type="dxa" w:w="2492"/>
          </w:tcPr>
          <w:p>
            <w:pPr>
              <w:pStyle w:val="null3"/>
            </w:pPr>
            <w:r>
              <w:rPr/>
              <w:t>针对本项目提供详细的应急处置方案, 对本项目实施的重点、难点给出相应的解决方案，包括但不限于日常管理、运行巡检、设备维护等，方案内容全面、合理可行、完全满足采购人需求计（6-8]分，有解决方案，能保证项目顺利实施的计（3-6]分，方案考虑不全面，实施性较差的计[0-3]分，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项目对接方案、数据整理收集方案</w:t>
            </w:r>
          </w:p>
        </w:tc>
        <w:tc>
          <w:tcPr>
            <w:tcW w:type="dxa" w:w="2492"/>
          </w:tcPr>
          <w:p>
            <w:pPr>
              <w:pStyle w:val="null3"/>
            </w:pPr>
            <w:r>
              <w:rPr/>
              <w:t>供应商针对本项目提供对接方案及数据整理收集方案，方案思路清晰、科学合理、切实可行，完全满足采购人需求计（6-8]分；方案完整，基本符合采购人需求计（3-6]分；方案简单，内容空泛，不利于项目实施的计[0-3]分；未提供的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工作进度计划安排、后续配合服务计划保证措施</w:t>
            </w:r>
          </w:p>
        </w:tc>
        <w:tc>
          <w:tcPr>
            <w:tcW w:type="dxa" w:w="2492"/>
          </w:tcPr>
          <w:p>
            <w:pPr>
              <w:pStyle w:val="null3"/>
            </w:pPr>
            <w:r>
              <w:rPr/>
              <w:t>供应商提供针对本项目的工作进度计划安排及后续配合服务计划保证措施。计划安排合理，措施完善计（3-6]分；有可行的工作进度安排计[0-3分]；未提供不计分。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拟投入本项目的设备、工具</w:t>
            </w:r>
          </w:p>
        </w:tc>
        <w:tc>
          <w:tcPr>
            <w:tcW w:type="dxa" w:w="2492"/>
          </w:tcPr>
          <w:p>
            <w:pPr>
              <w:pStyle w:val="null3"/>
            </w:pPr>
            <w:r>
              <w:rPr/>
              <w:t>提供拟投入本项目维护所需的设备、工具等清单，清单完整，能保证正常维护的计（3-6]分，清单所列内容不完整，不利于项目顺利实施的计[0-3分]分，未提供不计分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人员配置</w:t>
            </w:r>
          </w:p>
        </w:tc>
        <w:tc>
          <w:tcPr>
            <w:tcW w:type="dxa" w:w="2492"/>
          </w:tcPr>
          <w:p>
            <w:pPr>
              <w:pStyle w:val="null3"/>
            </w:pPr>
            <w:r>
              <w:rPr/>
              <w:t>拟负责本次项目的专业人员组成情况（包括不限于人员履历简介、承担过项目介绍和在职证明等）。人员分工明确且配备充足，有同类项目客户服务经验，完全满足本项目采购需求计（3-6]分；人员分工相对明确且配备基本充足、基本满足本项目采购需求计[0-3分]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项目负责人</w:t>
            </w:r>
          </w:p>
        </w:tc>
        <w:tc>
          <w:tcPr>
            <w:tcW w:type="dxa" w:w="2492"/>
          </w:tcPr>
          <w:p>
            <w:pPr>
              <w:pStyle w:val="null3"/>
            </w:pPr>
            <w:r>
              <w:rPr/>
              <w:t>项目负责人具有丰富的工作经验（包括不限于人员履历简介、承担过项目介绍、获奖证书等），能够带领及引导团对人员顺利完成项目，并达到采购人要求，项目负责人职业经历丰富，符合采购人需求计（3-6]分，项目负责人职业经历欠缺计[0-3分]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业绩：提供供应商2021年1月1日至今类似项目合同（以合同签订日期为准），每提供1个得1分，最高得5分。 备注：响应文件中提供合同复印件加盖公章。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售后服务</w:t>
            </w:r>
          </w:p>
        </w:tc>
        <w:tc>
          <w:tcPr>
            <w:tcW w:type="dxa" w:w="2492"/>
          </w:tcPr>
          <w:p>
            <w:pPr>
              <w:pStyle w:val="null3"/>
            </w:pPr>
            <w:r>
              <w:rPr/>
              <w:t>供应商针对本项目能提供本地化服务，并能提供证明材料，保证及时解决项目实施中发生的问题，计（3-5]分；有服务大纲的计[0-3]分。未提供不计分。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培训</w:t>
            </w:r>
          </w:p>
        </w:tc>
        <w:tc>
          <w:tcPr>
            <w:tcW w:type="dxa" w:w="2492"/>
          </w:tcPr>
          <w:p>
            <w:pPr>
              <w:pStyle w:val="null3"/>
            </w:pPr>
            <w:r>
              <w:rPr/>
              <w:t>提供信息系统使用培训指导方案。方案内容完善、合理计（3-5]分；方案简单、内容空泛计[0-3]分。未提供不计分。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服务保障</w:t>
            </w:r>
          </w:p>
        </w:tc>
        <w:tc>
          <w:tcPr>
            <w:tcW w:type="dxa" w:w="2492"/>
          </w:tcPr>
          <w:p>
            <w:pPr>
              <w:pStyle w:val="null3"/>
            </w:pPr>
            <w:r>
              <w:rPr/>
              <w:t>供应商须确保项目方案设计提供相应服务承诺和保证措施，且有具体的服务措施及针对突发状况的后期跟进服务能力。承诺及措施完整，符合采购人要求计（2-4]分；承诺及措施基本满足项目需求计[0-2]分，未提供的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提供针对本项目的合理化建议，内容可行、合理计（2-4]分，内容可行、较合理计[0-2]分，为提供不计分。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详见附件：供应商应提交的相关资格证明材料</w:t>
      </w:r>
    </w:p>
    <w:p>
      <w:pPr>
        <w:pStyle w:val="null3"/>
        <w:ind w:firstLine="960"/>
      </w:pPr>
      <w:r>
        <w:rPr/>
        <w:t>详见附件：供应商企业关联关系声明函</w:t>
      </w:r>
    </w:p>
    <w:p>
      <w:pPr>
        <w:pStyle w:val="null3"/>
        <w:ind w:firstLine="960"/>
      </w:pPr>
      <w:r>
        <w:rPr/>
        <w:t>详见附件：供应商承诺书</w:t>
      </w:r>
    </w:p>
    <w:p>
      <w:pPr>
        <w:pStyle w:val="null3"/>
        <w:ind w:firstLine="960"/>
      </w:pPr>
      <w:r>
        <w:rPr/>
        <w:t>详见附件：技术、服务条款响应偏离表</w:t>
      </w:r>
    </w:p>
    <w:p>
      <w:pPr>
        <w:pStyle w:val="null3"/>
        <w:ind w:firstLine="960"/>
      </w:pPr>
      <w:r>
        <w:rPr/>
        <w:t>详见附件：商务条款响应偏离表</w:t>
      </w:r>
    </w:p>
    <w:p>
      <w:pPr>
        <w:pStyle w:val="null3"/>
        <w:ind w:firstLine="960"/>
      </w:pPr>
      <w:r>
        <w:rPr/>
        <w:t>详见附件：服务方案</w:t>
      </w:r>
    </w:p>
    <w:p>
      <w:pPr>
        <w:pStyle w:val="null3"/>
        <w:ind w:firstLine="960"/>
      </w:pPr>
      <w:r>
        <w:rPr/>
        <w:t>详见附件：供应商类似项目业绩一览表</w:t>
      </w:r>
    </w:p>
    <w:p>
      <w:pPr>
        <w:pStyle w:val="null3"/>
        <w:ind w:firstLine="960"/>
      </w:pPr>
      <w:r>
        <w:rPr/>
        <w:t>详见附件：中小企业声明函</w:t>
      </w:r>
    </w:p>
    <w:p>
      <w:pPr>
        <w:pStyle w:val="null3"/>
        <w:ind w:firstLine="960"/>
      </w:pPr>
      <w:r>
        <w:rPr/>
        <w:t>详见附件：监狱企业的证明文件</w:t>
      </w:r>
    </w:p>
    <w:p>
      <w:pPr>
        <w:pStyle w:val="null3"/>
        <w:ind w:firstLine="960"/>
      </w:pPr>
      <w:r>
        <w:rPr/>
        <w:t>详见附件：残疾人福利性单位声明函</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