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版本号：240617001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软件正版化维保项目</w:t>
      </w:r>
    </w:p>
    <w:p>
      <w:pPr>
        <w:pStyle w:val="null3"/>
        <w:jc w:val="center"/>
        <w:outlineLvl w:val="2"/>
      </w:pPr>
      <w:r>
        <w:rPr>
          <w:sz w:val="28"/>
          <w:b/>
        </w:rPr>
        <w:t>采购项目编号：</w:t>
      </w:r>
      <w:r>
        <w:rPr>
          <w:sz w:val="28"/>
          <w:b/>
        </w:rPr>
        <w:t>ZYJY-【2024】JT0638</w:t>
      </w:r>
      <w:r>
        <w:br/>
      </w:r>
      <w:r>
        <w:br/>
      </w:r>
      <w:r>
        <w:br/>
      </w:r>
    </w:p>
    <w:p>
      <w:pPr>
        <w:pStyle w:val="null3"/>
        <w:jc w:val="center"/>
        <w:outlineLvl w:val="2"/>
      </w:pPr>
      <w:r>
        <w:rPr>
          <w:sz w:val="28"/>
          <w:b/>
        </w:rPr>
        <w:t>西安开放大学</w:t>
      </w:r>
    </w:p>
    <w:p>
      <w:pPr>
        <w:pStyle w:val="null3"/>
        <w:jc w:val="center"/>
        <w:outlineLvl w:val="2"/>
      </w:pPr>
      <w:r>
        <w:rPr>
          <w:sz w:val="28"/>
          <w:b/>
        </w:rPr>
        <w:t>陕西知源集易招标代理有限公司</w:t>
      </w:r>
      <w:r>
        <w:rPr>
          <w:sz w:val="28"/>
          <w:b/>
        </w:rPr>
        <w:t>共同编制</w:t>
      </w:r>
    </w:p>
    <w:p>
      <w:pPr>
        <w:pStyle w:val="null3"/>
        <w:jc w:val="center"/>
        <w:outlineLvl w:val="2"/>
      </w:pPr>
      <w:r>
        <w:rPr>
          <w:sz w:val="28"/>
          <w:b/>
        </w:rPr>
        <w:t>2024年06月17日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陕西知源集易招标代理有限公司</w:t>
      </w:r>
      <w:r>
        <w:rPr/>
        <w:t>（以下简称“代理机构”）受</w:t>
      </w:r>
      <w:r>
        <w:rPr/>
        <w:t>西安开放大学</w:t>
      </w:r>
      <w:r>
        <w:rPr/>
        <w:t>委托，拟对</w:t>
      </w:r>
      <w:r>
        <w:rPr/>
        <w:t>软件正版化维保项目</w:t>
      </w:r>
      <w:r>
        <w:rPr/>
        <w:t>采用竞争性谈判采购方式进行采购，兹邀请供应商参加本项目的竞争性谈判。</w:t>
      </w:r>
    </w:p>
    <w:p>
      <w:pPr>
        <w:pStyle w:val="null3"/>
        <w:outlineLvl w:val="2"/>
      </w:pPr>
      <w:r>
        <w:rPr>
          <w:sz w:val="28"/>
          <w:b/>
        </w:rPr>
        <w:t>一、项目编号：</w:t>
      </w:r>
      <w:r>
        <w:rPr>
          <w:sz w:val="28"/>
          <w:b/>
        </w:rPr>
        <w:t>ZYJY-【2024】JT0638</w:t>
      </w:r>
    </w:p>
    <w:p>
      <w:pPr>
        <w:pStyle w:val="null3"/>
        <w:outlineLvl w:val="2"/>
      </w:pPr>
      <w:r>
        <w:rPr>
          <w:sz w:val="28"/>
          <w:b/>
        </w:rPr>
        <w:t>二、项目名称：</w:t>
      </w:r>
      <w:r>
        <w:rPr>
          <w:sz w:val="28"/>
          <w:b/>
        </w:rPr>
        <w:t>软件正版化维保项目</w:t>
      </w:r>
    </w:p>
    <w:p>
      <w:pPr>
        <w:pStyle w:val="null3"/>
        <w:outlineLvl w:val="2"/>
      </w:pPr>
      <w:r>
        <w:rPr>
          <w:sz w:val="28"/>
          <w:b/>
        </w:rPr>
        <w:t>三、谈判项目简介：</w:t>
      </w:r>
    </w:p>
    <w:p>
      <w:pPr>
        <w:pStyle w:val="null3"/>
        <w:ind w:firstLine="480"/>
      </w:pPr>
      <w:r>
        <w:rPr/>
        <w:t>西安开放大学软件正版化维保项目，具体详见谈判文件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1、有效的主体资格证明：供应商具有独立承担民事责任能力的法人、其他组织或自然人，提供合法有效的统一社会信用代码营业执照（事业单位提供事业单位法人证书，自然人提供身份证明）；</w:t>
      </w:r>
    </w:p>
    <w:p>
      <w:pPr>
        <w:pStyle w:val="null3"/>
      </w:pPr>
      <w:r>
        <w:rPr/>
        <w:t>2、法定代表人授权委托书：供应商应授权合法的人员参加本项目招标活动全过程，其中法定代表人直接参加招标活动的，应出具法定代表人合法有效的身份证原件，且应与营业执照上信息一致；法定代表人授权代表参加招标活动的，应出具法定代表人授权书及授权代表合法有效的身份证原件；</w:t>
      </w:r>
    </w:p>
    <w:p>
      <w:pPr>
        <w:pStyle w:val="null3"/>
      </w:pPr>
      <w:r>
        <w:rPr/>
        <w:t>3、财务状况报告：提供2023年度经审计的完整财务报告或谈判日期前三个月内其基本存款账户开户银行出具的资信证明。（如提供资信证明，须同时提供基本存款账户开户许可证或基本账户信息表）</w:t>
      </w:r>
    </w:p>
    <w:p>
      <w:pPr>
        <w:pStyle w:val="null3"/>
      </w:pPr>
      <w:r>
        <w:rPr/>
        <w:t>4、税收缴纳证明：提供本单位2023年06月01日至今已缴纳的不少于三个月纳税证明或完税证明，依法免税的单位应提供相关证明材料；</w:t>
      </w:r>
    </w:p>
    <w:p>
      <w:pPr>
        <w:pStyle w:val="null3"/>
      </w:pPr>
      <w:r>
        <w:rPr/>
        <w:t>5、社会保障资金缴纳证明：提供2023年06月01日至今已缴纳的不少于三个月的社会保障资金缴存单据或社保机构开具的社会保险参保缴费情况证明，依法不需要缴纳社会保障资金的单位应提供相关证明材料；</w:t>
      </w:r>
    </w:p>
    <w:p>
      <w:pPr>
        <w:pStyle w:val="null3"/>
      </w:pPr>
      <w:r>
        <w:rPr/>
        <w:t>6、书面声明：供应商参加政府采购活动前3年内在经营活动中没有重大违法记录；</w:t>
      </w:r>
    </w:p>
    <w:p>
      <w:pPr>
        <w:pStyle w:val="null3"/>
      </w:pPr>
      <w:r>
        <w:rPr/>
        <w:t>7、企业信誉：供应商在递交响应文件截止时间前被“信用中国”网站（www.creditchina.gov.cn）和中国政府采购网（www.ccgp.gov.cn）上被列入失信被执行人、重大税收违法失信主体名单、政府采购严重违法失信行为记录名单的，不得参加本项目采购活动；</w:t>
      </w:r>
    </w:p>
    <w:p>
      <w:pPr>
        <w:pStyle w:val="null3"/>
      </w:pPr>
      <w:r>
        <w:rPr/>
        <w:t>8、履行合同所必需的设备和专业技术能力的承诺函：提供具有履行合同所必需的设备和专业技术能力的承诺函；</w:t>
      </w:r>
    </w:p>
    <w:p>
      <w:pPr>
        <w:pStyle w:val="null3"/>
      </w:pPr>
      <w:r>
        <w:rPr/>
        <w:t>9、控股管理关系说明：单位负责人为同一人或者存在直接控股、管理关系的不同供应商，不得参加同一合同项下的投标活动；</w:t>
      </w:r>
    </w:p>
    <w:p>
      <w:pPr>
        <w:pStyle w:val="null3"/>
      </w:pPr>
      <w:r>
        <w:rPr/>
        <w:t>10、不接受联合体：本项目不接受联合体，供应商需在项目电子化交易系统中按要求上传相应证明文件并进行电子签章。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西安开放大学</w:t>
      </w:r>
    </w:p>
    <w:p>
      <w:pPr>
        <w:pStyle w:val="null3"/>
      </w:pPr>
      <w:r>
        <w:rPr/>
        <w:t xml:space="preserve"> 地址： </w:t>
      </w:r>
      <w:r>
        <w:rPr/>
        <w:t>西安市碑林区五味什字48号</w:t>
      </w:r>
    </w:p>
    <w:p>
      <w:pPr>
        <w:pStyle w:val="null3"/>
      </w:pPr>
      <w:r>
        <w:rPr/>
        <w:t xml:space="preserve"> 邮编： </w:t>
      </w:r>
      <w:r>
        <w:rPr/>
        <w:t>710000</w:t>
      </w:r>
    </w:p>
    <w:p>
      <w:pPr>
        <w:pStyle w:val="null3"/>
      </w:pPr>
      <w:r>
        <w:rPr/>
        <w:t xml:space="preserve"> 联系人： </w:t>
      </w:r>
      <w:r>
        <w:rPr/>
        <w:t>刘晶</w:t>
      </w:r>
    </w:p>
    <w:p>
      <w:pPr>
        <w:pStyle w:val="null3"/>
      </w:pPr>
      <w:r>
        <w:rPr/>
        <w:t xml:space="preserve"> 联系电话： </w:t>
      </w:r>
      <w:r>
        <w:rPr/>
        <w:t>029-83233195</w:t>
      </w:r>
    </w:p>
    <w:p>
      <w:pPr>
        <w:pStyle w:val="null3"/>
        <w:outlineLvl w:val="3"/>
      </w:pPr>
      <w:r>
        <w:rPr>
          <w:sz w:val="24"/>
          <w:b/>
        </w:rPr>
        <w:t>代理机构：</w:t>
      </w:r>
      <w:r>
        <w:rPr>
          <w:sz w:val="24"/>
          <w:b/>
        </w:rPr>
        <w:t>陕西知源集易招标代理有限公司</w:t>
      </w:r>
    </w:p>
    <w:p>
      <w:pPr>
        <w:pStyle w:val="null3"/>
      </w:pPr>
      <w:r>
        <w:rPr/>
        <w:t xml:space="preserve"> 地址： </w:t>
      </w:r>
      <w:r>
        <w:rPr/>
        <w:t>陕西省西安市高新区兰基中心1003</w:t>
      </w:r>
    </w:p>
    <w:p>
      <w:pPr>
        <w:pStyle w:val="null3"/>
      </w:pPr>
      <w:r>
        <w:rPr/>
        <w:t xml:space="preserve"> 邮编： </w:t>
      </w:r>
      <w:r>
        <w:rPr/>
        <w:t>710000</w:t>
      </w:r>
    </w:p>
    <w:p>
      <w:pPr>
        <w:pStyle w:val="null3"/>
      </w:pPr>
      <w:r>
        <w:rPr/>
        <w:t xml:space="preserve"> 联系人： </w:t>
      </w:r>
      <w:r>
        <w:rPr/>
        <w:t>郑凡</w:t>
      </w:r>
    </w:p>
    <w:p>
      <w:pPr>
        <w:pStyle w:val="null3"/>
      </w:pPr>
      <w:r>
        <w:rPr/>
        <w:t xml:space="preserve"> 联系电话： </w:t>
      </w:r>
      <w:r>
        <w:rPr/>
        <w:t>029-89520099</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代理服务费收费标准：按照《国家发展改革委关于进一步放开建设项目专业服务价格的通知》（发改价格（2015）299号）文件的规定标准收取，按照约定由中标（成交）人支付。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西安开放大学</w:t>
      </w:r>
      <w:r>
        <w:rPr/>
        <w:t>和</w:t>
      </w:r>
      <w:r>
        <w:rPr/>
        <w:t>陕西知源集易招标代理有限公司</w:t>
      </w:r>
      <w:r>
        <w:rPr/>
        <w:t>享有。竞争性谈判文件中供应商参加本次政府采购活动应当具备的条件、技术清单、参数、商务及其他要求由</w:t>
      </w:r>
      <w:r>
        <w:rPr/>
        <w:t>西安开放大学</w:t>
      </w:r>
      <w:r>
        <w:rPr/>
        <w:t>负责解释。除上述竞争性谈判文件内容，其他内容由</w:t>
      </w:r>
      <w:r>
        <w:rPr/>
        <w:t>陕西知源集易招标代理有限公司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西安开放大学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陕西知源集易招标代理有限公司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陕西知源集易招标代理有限公司</w:t>
      </w:r>
      <w:r>
        <w:rPr/>
        <w:t xml:space="preserve"> 负责答复；供应商对除采购需求外的采购文件的询问、质疑由</w:t>
      </w:r>
      <w:r>
        <w:rPr/>
        <w:t>陕西知源集易招标代理有限公司</w:t>
      </w:r>
      <w:r>
        <w:rPr/>
        <w:t xml:space="preserve"> 负责答复；供应商对采购过程、采购结果的询问、质疑由 </w:t>
      </w:r>
      <w:r>
        <w:rPr/>
        <w:t>陕西知源集易招标代理有限公司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联系人：郑凡</w:t>
      </w:r>
    </w:p>
    <w:p>
      <w:pPr>
        <w:pStyle w:val="null3"/>
      </w:pPr>
      <w:r>
        <w:rPr/>
        <w:t>联系电话：029-89520099</w:t>
      </w:r>
    </w:p>
    <w:p>
      <w:pPr>
        <w:pStyle w:val="null3"/>
      </w:pPr>
      <w:r>
        <w:rPr/>
        <w:t>地址：陕西省西安市高新区兰基中心1003</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教育厅印发了《陕西省教育网络安全和信息化“十四五”规划》，规划中指出要积极开展“互联网+教育”，推进实施教育数字化战略行动，构建网络化、数字化、智能化、个性化、终身化的教育体系，优化物理办学空间、打造线上办学空间、普及数字校园建设等。学校要加速推进数字化大学转型发展，深入探索信息化教学应用新模式。 目前学校处于转型发展的关键阶段，加速智慧校园建设，各项工作的推进都离不开教学仪器设备及其配套软件服务的支撑。按照《2024年全市教育网络安全和信息化工作要点》中关于推动正版化、国产化的要求，需设立软件正版化维保项目，保障教学工作的正常开展。</w:t>
      </w:r>
    </w:p>
    <w:p>
      <w:pPr>
        <w:pStyle w:val="null3"/>
        <w:outlineLvl w:val="2"/>
      </w:pPr>
      <w:r>
        <w:rPr>
          <w:sz w:val="28"/>
          <w:b/>
        </w:rPr>
        <w:t>3.2采购内容</w:t>
      </w:r>
    </w:p>
    <w:p>
      <w:pPr>
        <w:pStyle w:val="null3"/>
      </w:pPr>
      <w:r>
        <w:rPr/>
        <w:t>采购包1：</w:t>
      </w:r>
    </w:p>
    <w:p>
      <w:pPr>
        <w:pStyle w:val="null3"/>
      </w:pPr>
      <w:r>
        <w:rPr/>
        <w:t>采购包预算金额（元）: 375,000.00</w:t>
      </w:r>
    </w:p>
    <w:p>
      <w:pPr>
        <w:pStyle w:val="null3"/>
      </w:pPr>
      <w:r>
        <w:rPr/>
        <w:t>采购包最高限价（元）: 375,000.00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教学仪器维护</w:t>
            </w:r>
          </w:p>
        </w:tc>
        <w:tc>
          <w:tcPr>
            <w:tcW w:type="dxa" w:w="831"/>
          </w:tcPr>
          <w:p>
            <w:pPr>
              <w:pStyle w:val="null3"/>
              <w:jc w:val="right"/>
            </w:pPr>
            <w:r>
              <w:rPr/>
              <w:t>1.00</w:t>
            </w:r>
          </w:p>
        </w:tc>
        <w:tc>
          <w:tcPr>
            <w:tcW w:type="dxa" w:w="831"/>
          </w:tcPr>
          <w:p>
            <w:pPr>
              <w:pStyle w:val="null3"/>
              <w:jc w:val="right"/>
            </w:pPr>
            <w:r>
              <w:rPr/>
              <w:t>375,000.00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标的名称：教学仪器维护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7"/>
              <w:gridCol w:w="206"/>
              <w:gridCol w:w="3323"/>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参数性质</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3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技术参数与性能指标</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1</w:t>
                  </w:r>
                </w:p>
              </w:tc>
              <w:tc>
                <w:tcPr>
                  <w:tcW w:type="dxa" w:w="3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服务内容</w:t>
                  </w:r>
                </w:p>
                <w:p>
                  <w:pPr>
                    <w:pStyle w:val="null3"/>
                    <w:jc w:val="left"/>
                  </w:pPr>
                  <w:r>
                    <w:rPr>
                      <w:rFonts w:ascii="宋体" w:hAnsi="宋体" w:cs="宋体" w:eastAsia="宋体"/>
                      <w:sz w:val="20"/>
                    </w:rPr>
                    <w:t>1.</w:t>
                  </w:r>
                  <w:r>
                    <w:rPr>
                      <w:rFonts w:ascii="宋体" w:hAnsi="宋体" w:cs="宋体" w:eastAsia="宋体"/>
                      <w:sz w:val="20"/>
                    </w:rPr>
                    <w:t>对用户</w:t>
                  </w:r>
                  <w:r>
                    <w:rPr>
                      <w:rFonts w:ascii="宋体" w:hAnsi="宋体" w:cs="宋体" w:eastAsia="宋体"/>
                      <w:sz w:val="20"/>
                    </w:rPr>
                    <w:t>现有</w:t>
                  </w:r>
                  <w:r>
                    <w:rPr>
                      <w:rFonts w:ascii="宋体" w:hAnsi="宋体" w:cs="宋体" w:eastAsia="宋体"/>
                      <w:sz w:val="20"/>
                    </w:rPr>
                    <w:t>应用软件、数据库、中间件等迁移至</w:t>
                  </w:r>
                  <w:r>
                    <w:rPr>
                      <w:rFonts w:ascii="宋体" w:hAnsi="宋体" w:cs="宋体" w:eastAsia="宋体"/>
                      <w:sz w:val="20"/>
                    </w:rPr>
                    <w:t>国产化系统环境中并完成适配，</w:t>
                  </w:r>
                  <w:r>
                    <w:rPr>
                      <w:rFonts w:ascii="宋体" w:hAnsi="宋体" w:cs="宋体" w:eastAsia="宋体"/>
                      <w:sz w:val="20"/>
                    </w:rPr>
                    <w:t>保障用户业务的连续性</w:t>
                  </w:r>
                  <w:r>
                    <w:rPr>
                      <w:rFonts w:ascii="宋体" w:hAnsi="宋体" w:cs="宋体" w:eastAsia="宋体"/>
                      <w:sz w:val="20"/>
                    </w:rPr>
                    <w:t>。</w:t>
                  </w:r>
                </w:p>
                <w:p>
                  <w:pPr>
                    <w:pStyle w:val="null3"/>
                    <w:jc w:val="left"/>
                  </w:pPr>
                  <w:r>
                    <w:rPr>
                      <w:rFonts w:ascii="宋体" w:hAnsi="宋体" w:cs="宋体" w:eastAsia="宋体"/>
                      <w:sz w:val="20"/>
                    </w:rPr>
                    <w:t>2.</w:t>
                  </w:r>
                  <w:r>
                    <w:rPr>
                      <w:rFonts w:ascii="宋体" w:hAnsi="宋体" w:cs="宋体" w:eastAsia="宋体"/>
                      <w:sz w:val="20"/>
                    </w:rPr>
                    <w:t>正版视频剪辑制作等软件服务。</w:t>
                  </w:r>
                </w:p>
                <w:p>
                  <w:pPr>
                    <w:pStyle w:val="null3"/>
                    <w:jc w:val="left"/>
                  </w:pPr>
                  <w:r>
                    <w:rPr>
                      <w:rFonts w:ascii="宋体" w:hAnsi="宋体" w:cs="宋体" w:eastAsia="宋体"/>
                      <w:sz w:val="20"/>
                    </w:rPr>
                    <w:t>3.</w:t>
                  </w:r>
                  <w:r>
                    <w:rPr>
                      <w:rFonts w:ascii="宋体" w:hAnsi="宋体" w:cs="宋体" w:eastAsia="宋体"/>
                      <w:sz w:val="20"/>
                    </w:rPr>
                    <w:t>操作系统及办公软件正版化服务。</w:t>
                  </w:r>
                </w:p>
                <w:p>
                  <w:pPr>
                    <w:pStyle w:val="null3"/>
                    <w:jc w:val="left"/>
                  </w:pPr>
                  <w:r>
                    <w:rPr>
                      <w:rFonts w:ascii="宋体" w:hAnsi="宋体" w:cs="宋体" w:eastAsia="宋体"/>
                      <w:sz w:val="20"/>
                    </w:rPr>
                    <w:t>二、</w:t>
                  </w:r>
                  <w:r>
                    <w:rPr>
                      <w:rFonts w:ascii="宋体" w:hAnsi="宋体" w:cs="宋体" w:eastAsia="宋体"/>
                      <w:sz w:val="21"/>
                    </w:rPr>
                    <w:t>技术要求</w:t>
                  </w:r>
                </w:p>
                <w:p>
                  <w:pPr>
                    <w:pStyle w:val="null3"/>
                    <w:jc w:val="left"/>
                  </w:pPr>
                  <w:r>
                    <w:rPr>
                      <w:rFonts w:ascii="宋体" w:hAnsi="宋体" w:cs="宋体" w:eastAsia="宋体"/>
                      <w:sz w:val="20"/>
                    </w:rPr>
                    <w:t>1.对用户</w:t>
                  </w:r>
                  <w:r>
                    <w:rPr>
                      <w:rFonts w:ascii="宋体" w:hAnsi="宋体" w:cs="宋体" w:eastAsia="宋体"/>
                      <w:sz w:val="20"/>
                    </w:rPr>
                    <w:t>现有</w:t>
                  </w:r>
                  <w:r>
                    <w:rPr>
                      <w:rFonts w:ascii="宋体" w:hAnsi="宋体" w:cs="宋体" w:eastAsia="宋体"/>
                      <w:sz w:val="20"/>
                    </w:rPr>
                    <w:t>应用软件、数据库、中间件等迁移至</w:t>
                  </w:r>
                  <w:r>
                    <w:rPr>
                      <w:rFonts w:ascii="宋体" w:hAnsi="宋体" w:cs="宋体" w:eastAsia="宋体"/>
                      <w:sz w:val="20"/>
                    </w:rPr>
                    <w:t>国产化系统环境中并完成适配，</w:t>
                  </w:r>
                  <w:r>
                    <w:rPr>
                      <w:rFonts w:ascii="宋体" w:hAnsi="宋体" w:cs="宋体" w:eastAsia="宋体"/>
                      <w:sz w:val="20"/>
                    </w:rPr>
                    <w:t>保障用户业务的连续性</w:t>
                  </w:r>
                  <w:r>
                    <w:rPr>
                      <w:rFonts w:ascii="宋体" w:hAnsi="宋体" w:cs="宋体" w:eastAsia="宋体"/>
                      <w:sz w:val="20"/>
                    </w:rPr>
                    <w:t>，培训指导用户使用，在服务周期内提供</w:t>
                  </w:r>
                  <w:r>
                    <w:rPr>
                      <w:rFonts w:ascii="宋体" w:hAnsi="宋体" w:cs="宋体" w:eastAsia="宋体"/>
                      <w:sz w:val="20"/>
                    </w:rPr>
                    <w:t>7*24小时服务。</w:t>
                  </w:r>
                </w:p>
                <w:p>
                  <w:pPr>
                    <w:pStyle w:val="null3"/>
                    <w:jc w:val="left"/>
                  </w:pPr>
                  <w:r>
                    <w:rPr>
                      <w:rFonts w:ascii="宋体" w:hAnsi="宋体" w:cs="宋体" w:eastAsia="宋体"/>
                      <w:sz w:val="20"/>
                    </w:rPr>
                    <w:t>2.</w:t>
                  </w:r>
                  <w:r>
                    <w:rPr>
                      <w:rFonts w:ascii="宋体" w:hAnsi="宋体" w:cs="宋体" w:eastAsia="宋体"/>
                      <w:sz w:val="20"/>
                    </w:rPr>
                    <w:t>在服务周期内为用户提供正版</w:t>
                  </w:r>
                  <w:r>
                    <w:rPr>
                      <w:rFonts w:ascii="宋体" w:hAnsi="宋体" w:cs="宋体" w:eastAsia="宋体"/>
                      <w:sz w:val="20"/>
                    </w:rPr>
                    <w:t>视频剪辑制作等软件服务</w:t>
                  </w:r>
                  <w:r>
                    <w:rPr>
                      <w:rFonts w:ascii="宋体" w:hAnsi="宋体" w:cs="宋体" w:eastAsia="宋体"/>
                      <w:sz w:val="20"/>
                    </w:rPr>
                    <w:t>。</w:t>
                  </w:r>
                </w:p>
                <w:p>
                  <w:pPr>
                    <w:pStyle w:val="null3"/>
                    <w:jc w:val="left"/>
                  </w:pPr>
                  <w:r>
                    <w:rPr>
                      <w:rFonts w:ascii="宋体" w:hAnsi="宋体" w:cs="宋体" w:eastAsia="宋体"/>
                      <w:sz w:val="20"/>
                    </w:rPr>
                    <w:t>3.操作系统及办公软件正版化服务</w:t>
                  </w:r>
                  <w:r>
                    <w:rPr>
                      <w:rFonts w:ascii="宋体" w:hAnsi="宋体" w:cs="宋体" w:eastAsia="宋体"/>
                      <w:sz w:val="20"/>
                    </w:rPr>
                    <w:t>。</w:t>
                  </w:r>
                </w:p>
                <w:tbl>
                  <w:tblPr>
                    <w:tblBorders>
                      <w:top w:val="none" w:color="000000" w:sz="4"/>
                      <w:left w:val="none" w:color="000000" w:sz="4"/>
                      <w:bottom w:val="none" w:color="000000" w:sz="4"/>
                      <w:right w:val="none" w:color="000000" w:sz="4"/>
                      <w:insideH w:val="none"/>
                      <w:insideV w:val="none"/>
                    </w:tblBorders>
                  </w:tblPr>
                  <w:tblGrid>
                    <w:gridCol w:w="384"/>
                    <w:gridCol w:w="808"/>
                    <w:gridCol w:w="3464"/>
                  </w:tblGrid>
                  <w:tr>
                    <w:tc>
                      <w:tcPr>
                        <w:tcW w:type="dxa" w:w="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pPr>
                        <w:r>
                          <w:rPr>
                            <w:rFonts w:ascii="宋体" w:hAnsi="宋体" w:cs="宋体" w:eastAsia="宋体"/>
                            <w:sz w:val="20"/>
                          </w:rPr>
                          <w:t>序号</w:t>
                        </w:r>
                      </w:p>
                    </w:tc>
                    <w:tc>
                      <w:tcPr>
                        <w:tcW w:type="dxa" w:w="8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宋体" w:hAnsi="宋体" w:cs="宋体" w:eastAsia="宋体"/>
                            <w:sz w:val="20"/>
                          </w:rPr>
                          <w:t>产品名称</w:t>
                        </w:r>
                      </w:p>
                    </w:tc>
                    <w:tc>
                      <w:tcPr>
                        <w:tcW w:type="dxa" w:w="3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宋体" w:hAnsi="宋体" w:cs="宋体" w:eastAsia="宋体"/>
                            <w:sz w:val="20"/>
                          </w:rPr>
                          <w:t>技术规格要求</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操作系统软件服务</w:t>
                        </w:r>
                      </w:p>
                    </w:tc>
                    <w:tc>
                      <w:tcPr>
                        <w:tcW w:type="dxa" w:w="3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w:t>
                        </w:r>
                        <w:r>
                          <w:rPr>
                            <w:rFonts w:ascii="宋体" w:hAnsi="宋体" w:cs="宋体" w:eastAsia="宋体"/>
                            <w:sz w:val="20"/>
                          </w:rPr>
                          <w:t>全系列专业版操作系统，操作系统服务要求满足</w:t>
                        </w:r>
                      </w:p>
                      <w:p>
                        <w:pPr>
                          <w:pStyle w:val="null3"/>
                          <w:jc w:val="left"/>
                        </w:pPr>
                        <w:r>
                          <w:rPr>
                            <w:rFonts w:ascii="宋体" w:hAnsi="宋体" w:cs="宋体" w:eastAsia="宋体"/>
                            <w:sz w:val="20"/>
                          </w:rPr>
                          <w:t>Windows.11\10\7专业版，版本包括32位、64位的操作系统。</w:t>
                        </w:r>
                      </w:p>
                      <w:p>
                        <w:pPr>
                          <w:pStyle w:val="null3"/>
                          <w:jc w:val="left"/>
                        </w:pPr>
                        <w:r>
                          <w:rPr>
                            <w:rFonts w:ascii="宋体" w:hAnsi="宋体" w:cs="宋体" w:eastAsia="宋体"/>
                            <w:sz w:val="20"/>
                          </w:rPr>
                          <w:t>2.</w:t>
                        </w:r>
                        <w:r>
                          <w:rPr>
                            <w:rFonts w:ascii="宋体" w:hAnsi="宋体" w:cs="宋体" w:eastAsia="宋体"/>
                            <w:sz w:val="20"/>
                          </w:rPr>
                          <w:t>桌面操作系统要能够支持系统之间轻松传送，可以将原有低版本系统上的文件、文件夹、程序设置和系统设置从旧</w:t>
                        </w:r>
                        <w:r>
                          <w:rPr>
                            <w:rFonts w:ascii="宋体" w:hAnsi="宋体" w:cs="宋体" w:eastAsia="宋体"/>
                            <w:sz w:val="20"/>
                          </w:rPr>
                          <w:t>PC</w:t>
                        </w:r>
                        <w:r>
                          <w:rPr>
                            <w:rFonts w:ascii="宋体" w:hAnsi="宋体" w:cs="宋体" w:eastAsia="宋体"/>
                            <w:sz w:val="20"/>
                          </w:rPr>
                          <w:t>转移到新</w:t>
                        </w:r>
                        <w:r>
                          <w:rPr>
                            <w:rFonts w:ascii="宋体" w:hAnsi="宋体" w:cs="宋体" w:eastAsia="宋体"/>
                            <w:sz w:val="20"/>
                          </w:rPr>
                          <w:t>PC</w:t>
                        </w:r>
                        <w:r>
                          <w:rPr>
                            <w:rFonts w:ascii="宋体" w:hAnsi="宋体" w:cs="宋体" w:eastAsia="宋体"/>
                            <w:sz w:val="20"/>
                          </w:rPr>
                          <w:t>；</w:t>
                        </w:r>
                        <w:r>
                          <w:rPr>
                            <w:rFonts w:ascii="宋体" w:hAnsi="宋体" w:cs="宋体" w:eastAsia="宋体"/>
                            <w:sz w:val="20"/>
                          </w:rPr>
                          <w:t>支持自适应性显示器亮度。</w:t>
                        </w:r>
                      </w:p>
                      <w:p>
                        <w:pPr>
                          <w:pStyle w:val="null3"/>
                          <w:jc w:val="left"/>
                        </w:pPr>
                        <w:r>
                          <w:rPr>
                            <w:rFonts w:ascii="宋体" w:hAnsi="宋体" w:cs="宋体" w:eastAsia="宋体"/>
                            <w:sz w:val="20"/>
                          </w:rPr>
                          <w:t>3.平台安全稳定</w:t>
                        </w:r>
                        <w:r>
                          <w:rPr>
                            <w:rFonts w:ascii="宋体" w:hAnsi="宋体" w:cs="宋体" w:eastAsia="宋体"/>
                            <w:sz w:val="20"/>
                          </w:rPr>
                          <w:t>。</w:t>
                        </w:r>
                      </w:p>
                      <w:p>
                        <w:pPr>
                          <w:pStyle w:val="null3"/>
                          <w:jc w:val="left"/>
                        </w:pPr>
                        <w:r>
                          <w:rPr>
                            <w:rFonts w:ascii="宋体" w:hAnsi="宋体" w:cs="宋体" w:eastAsia="宋体"/>
                            <w:sz w:val="20"/>
                          </w:rPr>
                          <w:t>4.支持系统还原。</w:t>
                        </w:r>
                      </w:p>
                      <w:p>
                        <w:pPr>
                          <w:pStyle w:val="null3"/>
                          <w:jc w:val="left"/>
                        </w:pPr>
                        <w:r>
                          <w:rPr>
                            <w:rFonts w:ascii="宋体" w:hAnsi="宋体" w:cs="宋体" w:eastAsia="宋体"/>
                            <w:sz w:val="20"/>
                          </w:rPr>
                          <w:t>5.服务有效期内，若有新的版本可以免费升级。产品语言支持中英文两个版本。</w:t>
                        </w:r>
                      </w:p>
                      <w:p>
                        <w:pPr>
                          <w:pStyle w:val="null3"/>
                          <w:jc w:val="left"/>
                        </w:pPr>
                        <w:r>
                          <w:rPr>
                            <w:rFonts w:ascii="宋体" w:hAnsi="宋体" w:cs="宋体" w:eastAsia="宋体"/>
                            <w:sz w:val="20"/>
                          </w:rPr>
                          <w:t>6</w:t>
                        </w:r>
                        <w:r>
                          <w:rPr>
                            <w:rFonts w:ascii="宋体" w:hAnsi="宋体" w:cs="宋体" w:eastAsia="宋体"/>
                            <w:sz w:val="20"/>
                          </w:rPr>
                          <w:t>.要求满足采购人师生及固定资产产品合法使用正版软件</w:t>
                        </w:r>
                        <w:r>
                          <w:rPr>
                            <w:rFonts w:ascii="宋体" w:hAnsi="宋体" w:cs="宋体" w:eastAsia="宋体"/>
                            <w:sz w:val="20"/>
                          </w:rPr>
                          <w:t>。</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2</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办公软件服务</w:t>
                        </w:r>
                      </w:p>
                    </w:tc>
                    <w:tc>
                      <w:tcPr>
                        <w:tcW w:type="dxa" w:w="3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1.全系列办公软件，必须包含5种以上组件：</w:t>
                        </w:r>
                      </w:p>
                      <w:p>
                        <w:pPr>
                          <w:pStyle w:val="null3"/>
                          <w:jc w:val="left"/>
                        </w:pPr>
                        <w:r>
                          <w:rPr>
                            <w:rFonts w:ascii="宋体" w:hAnsi="宋体" w:cs="宋体" w:eastAsia="宋体"/>
                            <w:sz w:val="20"/>
                          </w:rPr>
                          <w:t>1)文字处理、2)电子表格、3)演示文稿、4)笔记记录、5)邮件日程任务</w:t>
                        </w:r>
                      </w:p>
                      <w:p>
                        <w:pPr>
                          <w:pStyle w:val="null3"/>
                          <w:jc w:val="left"/>
                        </w:pPr>
                        <w:r>
                          <w:rPr>
                            <w:rFonts w:ascii="宋体" w:hAnsi="宋体" w:cs="宋体" w:eastAsia="宋体"/>
                            <w:sz w:val="20"/>
                          </w:rPr>
                          <w:t>2.要求支持中文，英文等主流语言在内的多语言。</w:t>
                        </w:r>
                      </w:p>
                      <w:p>
                        <w:pPr>
                          <w:pStyle w:val="null3"/>
                          <w:jc w:val="left"/>
                        </w:pPr>
                        <w:r>
                          <w:rPr>
                            <w:rFonts w:ascii="宋体" w:hAnsi="宋体" w:cs="宋体" w:eastAsia="宋体"/>
                            <w:sz w:val="20"/>
                          </w:rPr>
                          <w:t>3.要求产品分别能支持Windows平台和mac平台。</w:t>
                        </w:r>
                      </w:p>
                      <w:p>
                        <w:pPr>
                          <w:pStyle w:val="null3"/>
                          <w:jc w:val="left"/>
                        </w:pPr>
                        <w:r>
                          <w:rPr>
                            <w:rFonts w:ascii="宋体" w:hAnsi="宋体" w:cs="宋体" w:eastAsia="宋体"/>
                            <w:sz w:val="20"/>
                          </w:rPr>
                          <w:t>4.办公软件服务要求满足Office2019\2016\2013\2010专业增强版；版本包括中英文32位、64位。</w:t>
                        </w:r>
                      </w:p>
                      <w:p>
                        <w:pPr>
                          <w:pStyle w:val="null3"/>
                          <w:jc w:val="left"/>
                        </w:pPr>
                        <w:r>
                          <w:rPr>
                            <w:rFonts w:ascii="宋体" w:hAnsi="宋体" w:cs="宋体" w:eastAsia="宋体"/>
                            <w:sz w:val="20"/>
                          </w:rPr>
                          <w:t>5.支持MAC的office 2019\2016标准版功能；</w:t>
                        </w:r>
                      </w:p>
                      <w:p>
                        <w:pPr>
                          <w:pStyle w:val="null3"/>
                          <w:jc w:val="left"/>
                        </w:pPr>
                        <w:r>
                          <w:rPr>
                            <w:rFonts w:ascii="宋体" w:hAnsi="宋体" w:cs="宋体" w:eastAsia="宋体"/>
                            <w:sz w:val="20"/>
                          </w:rPr>
                          <w:t>6.服务有效期内，若有新的版本可以免费升级。产品语言支持中英文两个版本。</w:t>
                        </w:r>
                      </w:p>
                      <w:p>
                        <w:pPr>
                          <w:pStyle w:val="null3"/>
                          <w:jc w:val="left"/>
                        </w:pPr>
                        <w:r>
                          <w:rPr>
                            <w:rFonts w:ascii="宋体" w:hAnsi="宋体" w:cs="宋体" w:eastAsia="宋体"/>
                            <w:sz w:val="20"/>
                          </w:rPr>
                          <w:t>7.要求满足采购人师生及固定资产产品合法使用正版软件</w:t>
                        </w:r>
                        <w:r>
                          <w:rPr>
                            <w:rFonts w:ascii="宋体" w:hAnsi="宋体" w:cs="宋体" w:eastAsia="宋体"/>
                            <w:sz w:val="20"/>
                          </w:rPr>
                          <w:t>。</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3</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正版授权管理平台服务</w:t>
                        </w:r>
                      </w:p>
                    </w:tc>
                    <w:tc>
                      <w:tcPr>
                        <w:tcW w:type="dxa" w:w="3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实现正版软件服务按场地授权，支持在西安开放大学及各分校范围内的使用。包括正版软件批量下载、介质管理、软件更新、密钥封装、批量激活、用户统一管理、数据统计、台账统计等功能。管理员可利用浏览器登录平台进行后台管理工作和统计工作。正版授权管理平台除了管理操作系统及办公软件介质服务外，还能对校内其他软件服务、工具等进行分类管理，综合成统一平台。</w:t>
                        </w:r>
                      </w:p>
                      <w:p>
                        <w:pPr>
                          <w:pStyle w:val="null3"/>
                          <w:numPr>
                            <w:ilvl w:val="0"/>
                            <w:numId w:val="2"/>
                          </w:numPr>
                          <w:jc w:val="left"/>
                        </w:pPr>
                        <w:r>
                          <w:rPr>
                            <w:rFonts w:ascii="宋体" w:hAnsi="宋体" w:cs="宋体" w:eastAsia="宋体"/>
                            <w:sz w:val="20"/>
                          </w:rPr>
                          <w:t>正版授权管理平台运维服务要求满足学校师生及固定资产产品合法使用。</w:t>
                        </w:r>
                      </w:p>
                      <w:p>
                        <w:pPr>
                          <w:pStyle w:val="null3"/>
                          <w:jc w:val="left"/>
                        </w:pPr>
                        <w:r>
                          <w:rPr>
                            <w:rFonts w:ascii="宋体" w:hAnsi="宋体" w:cs="宋体" w:eastAsia="宋体"/>
                            <w:sz w:val="20"/>
                          </w:rPr>
                          <w:t>2.满足要求正版授权管理平台技术架构为B/S架构、PHP技术，兼容虚拟化技术架构，实现本地部署；</w:t>
                        </w:r>
                      </w:p>
                      <w:p>
                        <w:pPr>
                          <w:pStyle w:val="null3"/>
                          <w:jc w:val="left"/>
                        </w:pPr>
                        <w:r>
                          <w:rPr>
                            <w:rFonts w:ascii="宋体" w:hAnsi="宋体" w:cs="宋体" w:eastAsia="宋体"/>
                            <w:sz w:val="20"/>
                          </w:rPr>
                          <w:t>3.满足要求统一的激活程序进行激活，针对软件种类进行验证码获取</w:t>
                        </w:r>
                        <w:r>
                          <w:rPr>
                            <w:rFonts w:ascii="宋体" w:hAnsi="宋体" w:cs="宋体" w:eastAsia="宋体"/>
                            <w:sz w:val="20"/>
                          </w:rPr>
                          <w:t>，</w:t>
                        </w:r>
                        <w:r>
                          <w:rPr>
                            <w:rFonts w:ascii="宋体" w:hAnsi="宋体" w:cs="宋体" w:eastAsia="宋体"/>
                            <w:sz w:val="20"/>
                          </w:rPr>
                          <w:t>保证验证码的安全保密性</w:t>
                        </w:r>
                        <w:r>
                          <w:rPr>
                            <w:rFonts w:ascii="宋体" w:hAnsi="宋体" w:cs="宋体" w:eastAsia="宋体"/>
                            <w:sz w:val="20"/>
                          </w:rPr>
                          <w:t>；</w:t>
                        </w:r>
                      </w:p>
                      <w:p>
                        <w:pPr>
                          <w:pStyle w:val="null3"/>
                          <w:jc w:val="left"/>
                        </w:pPr>
                        <w:r>
                          <w:rPr>
                            <w:rFonts w:ascii="宋体" w:hAnsi="宋体" w:cs="宋体" w:eastAsia="宋体"/>
                            <w:sz w:val="20"/>
                          </w:rPr>
                          <w:t>4.满足要求机房批量授权方案，实现新版软件及时更新；</w:t>
                        </w:r>
                      </w:p>
                      <w:p>
                        <w:pPr>
                          <w:pStyle w:val="null3"/>
                          <w:jc w:val="left"/>
                        </w:pPr>
                        <w:r>
                          <w:rPr>
                            <w:rFonts w:ascii="宋体" w:hAnsi="宋体" w:cs="宋体" w:eastAsia="宋体"/>
                            <w:sz w:val="20"/>
                          </w:rPr>
                          <w:t>5.满足全系列专业版操作系统、全系列办公软件的正版化服务；</w:t>
                        </w:r>
                      </w:p>
                      <w:p>
                        <w:pPr>
                          <w:pStyle w:val="null3"/>
                          <w:jc w:val="left"/>
                        </w:pPr>
                        <w:r>
                          <w:rPr>
                            <w:rFonts w:ascii="宋体" w:hAnsi="宋体" w:cs="宋体" w:eastAsia="宋体"/>
                            <w:sz w:val="20"/>
                          </w:rPr>
                          <w:t>6.满足要求系统支持IPV4和IPV6,支持VPN</w:t>
                        </w:r>
                        <w:r>
                          <w:rPr>
                            <w:rFonts w:ascii="宋体" w:hAnsi="宋体" w:cs="宋体" w:eastAsia="宋体"/>
                            <w:sz w:val="20"/>
                          </w:rPr>
                          <w:t>；</w:t>
                        </w:r>
                      </w:p>
                      <w:p>
                        <w:pPr>
                          <w:pStyle w:val="null3"/>
                          <w:jc w:val="left"/>
                        </w:pPr>
                        <w:r>
                          <w:rPr>
                            <w:rFonts w:ascii="宋体" w:hAnsi="宋体" w:cs="宋体" w:eastAsia="宋体"/>
                            <w:sz w:val="20"/>
                          </w:rPr>
                          <w:t>7.校内共享资源专区：实现对校园其他软件或教学相关资源统一管理</w:t>
                        </w:r>
                        <w:r>
                          <w:rPr>
                            <w:rFonts w:ascii="宋体" w:hAnsi="宋体" w:cs="宋体" w:eastAsia="宋体"/>
                            <w:sz w:val="20"/>
                          </w:rPr>
                          <w:t>，</w:t>
                        </w:r>
                        <w:r>
                          <w:rPr>
                            <w:rFonts w:ascii="宋体" w:hAnsi="宋体" w:cs="宋体" w:eastAsia="宋体"/>
                            <w:sz w:val="20"/>
                          </w:rPr>
                          <w:t>实现下载并进行统一管理；</w:t>
                        </w:r>
                      </w:p>
                      <w:p>
                        <w:pPr>
                          <w:pStyle w:val="null3"/>
                          <w:jc w:val="left"/>
                        </w:pPr>
                        <w:r>
                          <w:rPr>
                            <w:rFonts w:ascii="宋体" w:hAnsi="宋体" w:cs="宋体" w:eastAsia="宋体"/>
                            <w:sz w:val="20"/>
                          </w:rPr>
                          <w:t>8.软件下载：设定不同功能软件下载专区，按规划进行软件分类</w:t>
                        </w:r>
                        <w:r>
                          <w:rPr>
                            <w:rFonts w:ascii="宋体" w:hAnsi="宋体" w:cs="宋体" w:eastAsia="宋体"/>
                            <w:sz w:val="20"/>
                          </w:rPr>
                          <w:t>；</w:t>
                        </w:r>
                      </w:p>
                      <w:p>
                        <w:pPr>
                          <w:pStyle w:val="null3"/>
                          <w:jc w:val="left"/>
                        </w:pPr>
                        <w:r>
                          <w:rPr>
                            <w:rFonts w:ascii="宋体" w:hAnsi="宋体" w:cs="宋体" w:eastAsia="宋体"/>
                            <w:sz w:val="20"/>
                          </w:rPr>
                          <w:t>9.激活客户端：定制激活客户端，须免安装、用户自助激活，激活过程用户无须输入密钥，保障密钥安全；</w:t>
                        </w:r>
                      </w:p>
                      <w:p>
                        <w:pPr>
                          <w:pStyle w:val="null3"/>
                          <w:jc w:val="left"/>
                        </w:pPr>
                        <w:r>
                          <w:rPr>
                            <w:rFonts w:ascii="宋体" w:hAnsi="宋体" w:cs="宋体" w:eastAsia="宋体"/>
                            <w:sz w:val="20"/>
                          </w:rPr>
                          <w:t>10.常见问题：提供激活中常见问题及对应的解决方案，不断更新新问题和解决方案；</w:t>
                        </w:r>
                      </w:p>
                      <w:p>
                        <w:pPr>
                          <w:pStyle w:val="null3"/>
                          <w:jc w:val="left"/>
                        </w:pPr>
                        <w:r>
                          <w:rPr>
                            <w:rFonts w:ascii="宋体" w:hAnsi="宋体" w:cs="宋体" w:eastAsia="宋体"/>
                            <w:sz w:val="20"/>
                          </w:rPr>
                          <w:t>11.使用技巧：在本地资源发布使用说明，内容包括平台或软件产品的使用技巧，形式包括视频或文件。须提供不少于200个相应的视频资料，并且存放于采购人存储服务器中。</w:t>
                        </w:r>
                      </w:p>
                      <w:p>
                        <w:pPr>
                          <w:pStyle w:val="null3"/>
                          <w:jc w:val="left"/>
                        </w:pPr>
                        <w:r>
                          <w:rPr>
                            <w:rFonts w:ascii="宋体" w:hAnsi="宋体" w:cs="宋体" w:eastAsia="宋体"/>
                            <w:sz w:val="20"/>
                          </w:rPr>
                          <w:t>12.安装教程：须提供操作系统及办公应用软件不同版本在安装过程中的详细操作说明；</w:t>
                        </w:r>
                      </w:p>
                      <w:p>
                        <w:pPr>
                          <w:pStyle w:val="null3"/>
                          <w:jc w:val="left"/>
                        </w:pPr>
                        <w:r>
                          <w:rPr>
                            <w:rFonts w:ascii="宋体" w:hAnsi="宋体" w:cs="宋体" w:eastAsia="宋体"/>
                            <w:sz w:val="20"/>
                          </w:rPr>
                          <w:t>13.要求数据统计格式必须和版权格式内容一致；</w:t>
                        </w:r>
                      </w:p>
                      <w:p>
                        <w:pPr>
                          <w:pStyle w:val="null3"/>
                          <w:jc w:val="left"/>
                        </w:pPr>
                        <w:r>
                          <w:rPr>
                            <w:rFonts w:ascii="宋体" w:hAnsi="宋体" w:cs="宋体" w:eastAsia="宋体"/>
                            <w:sz w:val="20"/>
                          </w:rPr>
                          <w:t>14.内容分析服务：支持统计网内用户使用终端类型数目</w:t>
                        </w:r>
                        <w:r>
                          <w:rPr>
                            <w:rFonts w:ascii="宋体" w:hAnsi="宋体" w:cs="宋体" w:eastAsia="宋体"/>
                            <w:sz w:val="20"/>
                          </w:rPr>
                          <w:t>，</w:t>
                        </w:r>
                        <w:r>
                          <w:rPr>
                            <w:rFonts w:ascii="宋体" w:hAnsi="宋体" w:cs="宋体" w:eastAsia="宋体"/>
                            <w:sz w:val="20"/>
                          </w:rPr>
                          <w:t>终端使用分布。支持终端操作系统种类区分及数量统计；</w:t>
                        </w:r>
                      </w:p>
                      <w:p>
                        <w:pPr>
                          <w:pStyle w:val="null3"/>
                          <w:jc w:val="left"/>
                        </w:pPr>
                        <w:r>
                          <w:rPr>
                            <w:rFonts w:ascii="宋体" w:hAnsi="宋体" w:cs="宋体" w:eastAsia="宋体"/>
                            <w:sz w:val="20"/>
                          </w:rPr>
                          <w:t>15.日志分析服务要求：支持“应用明细”统计；支持“协议定制”功能，跟踪统计指定的协议应用情况；针对并发连接数的指定时段应用明细统计；</w:t>
                        </w:r>
                      </w:p>
                      <w:p>
                        <w:pPr>
                          <w:pStyle w:val="null3"/>
                          <w:jc w:val="left"/>
                        </w:pPr>
                        <w:r>
                          <w:rPr>
                            <w:rFonts w:ascii="宋体" w:hAnsi="宋体" w:cs="宋体" w:eastAsia="宋体"/>
                            <w:sz w:val="20"/>
                          </w:rPr>
                          <w:t>16.事件日志分析服务：帐号登陆事件日志，支持图片等查询；访问事件日志</w:t>
                        </w:r>
                        <w:r>
                          <w:rPr>
                            <w:rFonts w:ascii="宋体" w:hAnsi="宋体" w:cs="宋体" w:eastAsia="宋体"/>
                            <w:sz w:val="20"/>
                          </w:rPr>
                          <w:t>。</w:t>
                        </w:r>
                      </w:p>
                    </w:tc>
                  </w:tr>
                </w:tbl>
                <w:p>
                  <w:pPr>
                    <w:pStyle w:val="null3"/>
                    <w:jc w:val="left"/>
                  </w:pPr>
                  <w:r>
                    <w:rPr>
                      <w:rFonts w:ascii="宋体" w:hAnsi="宋体" w:cs="宋体" w:eastAsia="宋体"/>
                      <w:sz w:val="20"/>
                    </w:rPr>
                    <w:t>三</w:t>
                  </w:r>
                  <w:r>
                    <w:rPr>
                      <w:rFonts w:ascii="宋体" w:hAnsi="宋体" w:cs="宋体" w:eastAsia="宋体"/>
                      <w:sz w:val="20"/>
                    </w:rPr>
                    <w:t>、服务要求</w:t>
                  </w:r>
                </w:p>
                <w:p>
                  <w:pPr>
                    <w:pStyle w:val="null3"/>
                    <w:jc w:val="left"/>
                  </w:pPr>
                  <w:r>
                    <w:rPr>
                      <w:rFonts w:ascii="宋体" w:hAnsi="宋体" w:cs="宋体" w:eastAsia="宋体"/>
                      <w:sz w:val="20"/>
                    </w:rPr>
                    <w:t>1、人员配置合理，</w:t>
                  </w:r>
                  <w:r>
                    <w:rPr>
                      <w:rFonts w:ascii="宋体" w:hAnsi="宋体" w:cs="宋体" w:eastAsia="宋体"/>
                      <w:sz w:val="20"/>
                    </w:rPr>
                    <w:t>投标人须在服务期限内派驻不少于三名驻场人员提供</w:t>
                  </w:r>
                  <w:r>
                    <w:rPr>
                      <w:rFonts w:ascii="宋体" w:hAnsi="宋体" w:cs="宋体" w:eastAsia="宋体"/>
                      <w:sz w:val="20"/>
                    </w:rPr>
                    <w:t>7*24小时服务，其中一名驻场工程师具备信息系统项目管理师认证证书，一名驻场工程师具备中级及以上职称证书</w:t>
                  </w:r>
                  <w:r>
                    <w:rPr>
                      <w:rFonts w:ascii="宋体" w:hAnsi="宋体" w:cs="宋体" w:eastAsia="宋体"/>
                      <w:sz w:val="20"/>
                    </w:rPr>
                    <w:t>。</w:t>
                  </w:r>
                  <w:r>
                    <w:rPr>
                      <w:rFonts w:ascii="宋体" w:hAnsi="宋体" w:cs="宋体" w:eastAsia="宋体"/>
                      <w:sz w:val="20"/>
                    </w:rPr>
                    <w:t>(</w:t>
                  </w:r>
                  <w:r>
                    <w:rPr>
                      <w:rFonts w:ascii="宋体" w:hAnsi="宋体" w:cs="宋体" w:eastAsia="宋体"/>
                      <w:sz w:val="20"/>
                    </w:rPr>
                    <w:t>须</w:t>
                  </w:r>
                  <w:r>
                    <w:rPr>
                      <w:rFonts w:ascii="宋体" w:hAnsi="宋体" w:cs="宋体" w:eastAsia="宋体"/>
                      <w:sz w:val="20"/>
                    </w:rPr>
                    <w:t>提供以上人员所在单位缴纳的</w:t>
                  </w:r>
                  <w:r>
                    <w:rPr>
                      <w:rFonts w:ascii="宋体" w:hAnsi="宋体" w:cs="宋体" w:eastAsia="宋体"/>
                      <w:sz w:val="20"/>
                    </w:rPr>
                    <w:t>2024年</w:t>
                  </w:r>
                  <w:r>
                    <w:rPr>
                      <w:rFonts w:ascii="宋体" w:hAnsi="宋体" w:cs="宋体" w:eastAsia="宋体"/>
                      <w:sz w:val="20"/>
                    </w:rPr>
                    <w:t>连续三个月</w:t>
                  </w:r>
                  <w:r>
                    <w:rPr>
                      <w:rFonts w:ascii="宋体" w:hAnsi="宋体" w:cs="宋体" w:eastAsia="宋体"/>
                      <w:sz w:val="20"/>
                    </w:rPr>
                    <w:t>的社保证明</w:t>
                  </w:r>
                  <w:r>
                    <w:rPr>
                      <w:rFonts w:ascii="宋体" w:hAnsi="宋体" w:cs="宋体" w:eastAsia="宋体"/>
                      <w:sz w:val="20"/>
                    </w:rPr>
                    <w:t>)</w:t>
                  </w:r>
                </w:p>
                <w:p>
                  <w:pPr>
                    <w:pStyle w:val="null3"/>
                    <w:jc w:val="left"/>
                  </w:pPr>
                  <w:r>
                    <w:rPr>
                      <w:rFonts w:ascii="宋体" w:hAnsi="宋体" w:cs="宋体" w:eastAsia="宋体"/>
                      <w:sz w:val="20"/>
                    </w:rPr>
                    <w:t>2、做好设备使用及维护的培训工作。</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自合同签订之日起一年。</w:t>
      </w:r>
    </w:p>
    <w:p>
      <w:pPr>
        <w:pStyle w:val="null3"/>
        <w:outlineLvl w:val="3"/>
      </w:pPr>
      <w:r>
        <w:rPr>
          <w:sz w:val="24"/>
          <w:b/>
        </w:rPr>
        <w:t>3.4.2交货地点和方式</w:t>
      </w:r>
    </w:p>
    <w:p>
      <w:pPr>
        <w:pStyle w:val="null3"/>
      </w:pPr>
      <w:r>
        <w:rPr/>
        <w:t>采购包1：</w:t>
      </w:r>
    </w:p>
    <w:p>
      <w:pPr>
        <w:pStyle w:val="null3"/>
      </w:pPr>
      <w:r>
        <w:rPr/>
        <w:t>采购方指定地点。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合同签订后15个工作日内支付合同总价款的30%；项目实施完成经过验收后15个工作日内支付合同总价款的70%。</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合同签订后15个工作日内支付合同总价款的30%；项目实施完成经过验收后15个工作日内支付合同总价款的70%。</w:t>
      </w:r>
      <w:r>
        <w:rPr/>
        <w:t xml:space="preserve"> ，达到付款条件起 </w:t>
      </w:r>
      <w:r>
        <w:rPr/>
        <w:t>15</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根据谈判文件、谈判响应文件、合同及国家相关标准。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3.4.8违约责任及解决争议的方法</w:t>
      </w:r>
    </w:p>
    <w:p>
      <w:pPr>
        <w:pStyle w:val="null3"/>
      </w:pPr>
      <w:r>
        <w:rPr/>
        <w:t>采购包1：</w:t>
      </w:r>
    </w:p>
    <w:p>
      <w:pPr>
        <w:pStyle w:val="null3"/>
      </w:pPr>
      <w:r>
        <w:rPr/>
        <w:t>违约责任：1、按《民法典》中的相关条款执行。 2、除本合同约定，合同一经签订，不得擅自变更、中止或者终止合同。对确需变更、调整或者中止、终止合同的，应按规定履行相应的手续。 3、任何一方因不可抗力原因不能履行协议时，应尽快通知对方，双方均设法补偿。如仍无法履约协议，可协商延缓或撤销协议，双方责任免除。 解决争议的方法：向有管辖权的人民法院提起诉讼。</w:t>
      </w:r>
    </w:p>
    <w:p>
      <w:pPr>
        <w:pStyle w:val="null3"/>
        <w:jc w:val="left"/>
        <w:outlineLvl w:val="3"/>
      </w:pPr>
      <w:r>
        <w:rPr>
          <w:sz w:val="24"/>
          <w:b/>
        </w:rPr>
        <w:t>3.5其他要求</w:t>
      </w:r>
    </w:p>
    <w:p>
      <w:pPr>
        <w:pStyle w:val="null3"/>
      </w:pPr>
      <w:r>
        <w:rPr/>
        <w:t>采购包1：</w:t>
      </w:r>
    </w:p>
    <w:p>
      <w:pPr>
        <w:pStyle w:val="null3"/>
      </w:pPr>
      <w:r>
        <w:rPr/>
        <w:t>1、根据西安市财政局关于促进政府采购公平竞争优化营商环境的通知市财函〔2021〕431号文规定，供应商登记免费获取采购文件的，如不参与项目响应，应在递交投标（响应）文件截止时间前一日以书面形式告知采购代理机构。否则，采购代理机构可以向财政部门反映情况并提供相应的佐证。供应商一年内累计出现三次该情形，将被监管部门记录为失信行为。 2、（1）供应商需要在线提交所有通过电子化交易平台实施的政府采购项目的响应文件，同时，线下提交响应文件正本壹份、副本贰份、电子版壹份（U盘一套标明供应商名称，单独密封）。（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投标文件格式完整版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t>响应文件封面 中小企业声明函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供应商应授权合法的人员参加本项目招标活动全过程，其中法定代表人直接参加招标活动的，应出具法定代表人合法有效的身份证原件，且应与营业执照上信息一致；法定代表人授权代表参加招标活动的，应出具法定代表人授权书及授权代表合法有效的身份证原件；</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提供2023年度经审计的完整财务报告或谈判日期前三个月内其基本存款账户开户银行出具的资信证明。（如提供资信证明，须同时提供基本存款账户开户许可证或基本账户信息表）</w:t>
            </w:r>
          </w:p>
        </w:tc>
        <w:tc>
          <w:tcPr>
            <w:tcW w:type="dxa" w:w="1661"/>
          </w:tcPr>
          <w:p>
            <w:pPr>
              <w:pStyle w:val="null3"/>
            </w:pPr>
            <w:r>
              <w:rPr/>
              <w:t>商务应答表 供应商应提交的相关资格证明材料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提供本单位2023年06月01日至今已缴纳的不少于三个月纳税证明或完税证明，依法免税的单位应提供相关证明材料；</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提供2023年06月01日至今已缴纳的不少于三个月的社会保障资金缴存单据或社保机构开具的社会保险参保缴费情况证明，依法不需要缴纳社会保障资金的单位应提供相关证明材料；</w:t>
            </w:r>
          </w:p>
        </w:tc>
        <w:tc>
          <w:tcPr>
            <w:tcW w:type="dxa" w:w="1661"/>
          </w:tcPr>
          <w:p>
            <w:pPr>
              <w:pStyle w:val="null3"/>
            </w:pPr>
            <w:r>
              <w:rPr/>
              <w:t>产品技术参数表 供应商应提交的相关资格证明材料 响应函</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供应商参加政府采购活动前3年内在经营活动中没有重大违法记录；</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企业信誉</w:t>
            </w:r>
          </w:p>
        </w:tc>
        <w:tc>
          <w:tcPr>
            <w:tcW w:type="dxa" w:w="3322"/>
          </w:tcPr>
          <w:p>
            <w:pPr>
              <w:pStyle w:val="null3"/>
            </w:pPr>
            <w:r>
              <w:rPr/>
              <w:t>供应商在递交响应文件截止时间前被“信用中国”网站（www.creditchina.gov.cn）和中国政府采购网（www.ccgp.gov.cn）上被列入失信被执行人、重大税收违法失信主体名单、政府采购严重违法失信行为记录名单的，不得参加本项目采购活动；</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残疾人福利性单位声明函 供应商应提交的相关资格证明材料 响应函</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单位负责人为同一人或者存在直接控股、管理关系的不同供应商，不得参加同一合同项下的投标活动；</w:t>
            </w:r>
          </w:p>
        </w:tc>
        <w:tc>
          <w:tcPr>
            <w:tcW w:type="dxa" w:w="1661"/>
          </w:tcPr>
          <w:p>
            <w:pPr>
              <w:pStyle w:val="null3"/>
            </w:pPr>
            <w:r>
              <w:rPr/>
              <w:t>供应商应提交的相关资格证明材料 响应函</w:t>
            </w:r>
          </w:p>
        </w:tc>
      </w:tr>
      <w:tr>
        <w:tc>
          <w:tcPr>
            <w:tcW w:type="dxa" w:w="831"/>
          </w:tcPr>
          <w:p>
            <w:pPr>
              <w:pStyle w:val="null3"/>
            </w:pPr>
            <w:r>
              <w:rPr/>
              <w:t>10</w:t>
            </w:r>
          </w:p>
        </w:tc>
        <w:tc>
          <w:tcPr>
            <w:tcW w:type="dxa" w:w="2492"/>
          </w:tcPr>
          <w:p>
            <w:pPr>
              <w:pStyle w:val="null3"/>
            </w:pPr>
            <w:r>
              <w:rPr/>
              <w:t>不接受联合体</w:t>
            </w:r>
          </w:p>
        </w:tc>
        <w:tc>
          <w:tcPr>
            <w:tcW w:type="dxa" w:w="3322"/>
          </w:tcPr>
          <w:p>
            <w:pPr>
              <w:pStyle w:val="null3"/>
            </w:pPr>
            <w:r>
              <w:rPr/>
              <w:t>本项目不接受联合体，供应商需在项目电子化交易系统中按要求上传相应证明文件并进行电子签章。</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响应文件封面 投标文件格式完整版 供应商应提交的相关资格证明材料</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按照谈判文件规定要求签署、盖章。</w:t>
            </w:r>
          </w:p>
        </w:tc>
        <w:tc>
          <w:tcPr>
            <w:tcW w:type="dxa" w:w="1661"/>
          </w:tcPr>
          <w:p>
            <w:pPr>
              <w:pStyle w:val="null3"/>
            </w:pPr>
            <w:r>
              <w:rPr/>
              <w:t>响应文件封面 投标文件格式完整版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响应有效期</w:t>
            </w:r>
          </w:p>
        </w:tc>
        <w:tc>
          <w:tcPr>
            <w:tcW w:type="dxa" w:w="3322"/>
          </w:tcPr>
          <w:p>
            <w:pPr>
              <w:pStyle w:val="null3"/>
            </w:pPr>
            <w:r>
              <w:rPr/>
              <w:t>响应有效期满足谈判文件要求</w:t>
            </w:r>
          </w:p>
        </w:tc>
        <w:tc>
          <w:tcPr>
            <w:tcW w:type="dxa" w:w="1661"/>
          </w:tcPr>
          <w:p>
            <w:pPr>
              <w:pStyle w:val="null3"/>
            </w:pPr>
            <w:r>
              <w:rPr/>
              <w:t>响应文件封面 投标文件格式完整版</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符合谈判文件要求</w:t>
            </w:r>
          </w:p>
        </w:tc>
        <w:tc>
          <w:tcPr>
            <w:tcW w:type="dxa" w:w="1661"/>
          </w:tcPr>
          <w:p>
            <w:pPr>
              <w:pStyle w:val="null3"/>
            </w:pPr>
            <w:r>
              <w:rPr/>
              <w:t>响应文件封面 投标文件格式完整版</w:t>
            </w:r>
          </w:p>
        </w:tc>
      </w:tr>
      <w:tr>
        <w:tc>
          <w:tcPr>
            <w:tcW w:type="dxa" w:w="831"/>
          </w:tcPr>
          <w:p>
            <w:pPr>
              <w:pStyle w:val="null3"/>
            </w:pPr>
            <w:r>
              <w:rPr/>
              <w:t>6</w:t>
            </w:r>
          </w:p>
        </w:tc>
        <w:tc>
          <w:tcPr>
            <w:tcW w:type="dxa" w:w="2492"/>
          </w:tcPr>
          <w:p>
            <w:pPr>
              <w:pStyle w:val="null3"/>
            </w:pPr>
            <w:r>
              <w:rPr/>
              <w:t>响应文件是否满足技术要求</w:t>
            </w:r>
          </w:p>
        </w:tc>
        <w:tc>
          <w:tcPr>
            <w:tcW w:type="dxa" w:w="3322"/>
          </w:tcPr>
          <w:p>
            <w:pPr>
              <w:pStyle w:val="null3"/>
            </w:pPr>
            <w:r>
              <w:rPr/>
              <w:t>响应文件中的技术参数、性能指标（服务内容、技术要求、服务要求）等所有内容与竞争性谈判文件要求内容不符的，其响应无效</w:t>
            </w:r>
          </w:p>
        </w:tc>
        <w:tc>
          <w:tcPr>
            <w:tcW w:type="dxa" w:w="1661"/>
          </w:tcPr>
          <w:p>
            <w:pPr>
              <w:pStyle w:val="null3"/>
            </w:pPr>
            <w:r>
              <w:rPr/>
              <w:t>响应文件封面 产品技术参数表 商务应答表</w:t>
            </w:r>
          </w:p>
        </w:tc>
      </w:tr>
      <w:tr>
        <w:tc>
          <w:tcPr>
            <w:tcW w:type="dxa" w:w="831"/>
          </w:tcPr>
          <w:p>
            <w:pPr>
              <w:pStyle w:val="null3"/>
            </w:pPr>
            <w:r>
              <w:rPr/>
              <w:t>7</w:t>
            </w:r>
          </w:p>
        </w:tc>
        <w:tc>
          <w:tcPr>
            <w:tcW w:type="dxa" w:w="2492"/>
          </w:tcPr>
          <w:p>
            <w:pPr>
              <w:pStyle w:val="null3"/>
            </w:pPr>
            <w:r>
              <w:rPr/>
              <w:t>报价是否超预算</w:t>
            </w:r>
          </w:p>
        </w:tc>
        <w:tc>
          <w:tcPr>
            <w:tcW w:type="dxa" w:w="3322"/>
          </w:tcPr>
          <w:p>
            <w:pPr>
              <w:pStyle w:val="null3"/>
            </w:pPr>
            <w:r>
              <w:rPr/>
              <w:t>报价唯一，并未超出采购预算或最高限价</w:t>
            </w:r>
          </w:p>
        </w:tc>
        <w:tc>
          <w:tcPr>
            <w:tcW w:type="dxa" w:w="1661"/>
          </w:tcPr>
          <w:p>
            <w:pPr>
              <w:pStyle w:val="null3"/>
            </w:pPr>
            <w:r>
              <w:rPr/>
              <w:t>响应文件封面 投标文件格式完整版 响应函</w:t>
            </w:r>
          </w:p>
        </w:tc>
      </w:tr>
      <w:tr>
        <w:tc>
          <w:tcPr>
            <w:tcW w:type="dxa" w:w="831"/>
          </w:tcPr>
          <w:p>
            <w:pPr>
              <w:pStyle w:val="null3"/>
            </w:pPr>
            <w:r>
              <w:rPr/>
              <w:t>8</w:t>
            </w:r>
          </w:p>
        </w:tc>
        <w:tc>
          <w:tcPr>
            <w:tcW w:type="dxa" w:w="2492"/>
          </w:tcPr>
          <w:p>
            <w:pPr>
              <w:pStyle w:val="null3"/>
            </w:pPr>
            <w:r>
              <w:rPr/>
              <w:t>响应文件是否含有采购人不能接受的附加条件的</w:t>
            </w:r>
          </w:p>
        </w:tc>
        <w:tc>
          <w:tcPr>
            <w:tcW w:type="dxa" w:w="3322"/>
          </w:tcPr>
          <w:p>
            <w:pPr>
              <w:pStyle w:val="null3"/>
            </w:pPr>
            <w:r>
              <w:rPr/>
              <w:t>响应文件如含有采购人不能接受的附加条件的，其响应无效</w:t>
            </w:r>
          </w:p>
        </w:tc>
        <w:tc>
          <w:tcPr>
            <w:tcW w:type="dxa" w:w="1661"/>
          </w:tcPr>
          <w:p>
            <w:pPr>
              <w:pStyle w:val="null3"/>
            </w:pPr>
            <w:r>
              <w:rPr/>
              <w:t>响应文件封面 投标文件格式完整版 产品技术参数表 商务应答表 响应函</w:t>
            </w:r>
          </w:p>
        </w:tc>
      </w:tr>
      <w:tr>
        <w:tc>
          <w:tcPr>
            <w:tcW w:type="dxa" w:w="831"/>
          </w:tcPr>
          <w:p>
            <w:pPr>
              <w:pStyle w:val="null3"/>
            </w:pPr>
            <w:r>
              <w:rPr/>
              <w:t>9</w:t>
            </w:r>
          </w:p>
        </w:tc>
        <w:tc>
          <w:tcPr>
            <w:tcW w:type="dxa" w:w="2492"/>
          </w:tcPr>
          <w:p>
            <w:pPr>
              <w:pStyle w:val="null3"/>
            </w:pPr>
            <w:r>
              <w:rPr/>
              <w:t>其他实质性要求</w:t>
            </w:r>
          </w:p>
        </w:tc>
        <w:tc>
          <w:tcPr>
            <w:tcW w:type="dxa" w:w="3322"/>
          </w:tcPr>
          <w:p>
            <w:pPr>
              <w:pStyle w:val="null3"/>
            </w:pPr>
            <w:r>
              <w:rPr/>
              <w:t>是否符合法律法规和竞争性谈判文件规定的其他实质性要求</w:t>
            </w:r>
          </w:p>
        </w:tc>
        <w:tc>
          <w:tcPr>
            <w:tcW w:type="dxa" w:w="1661"/>
          </w:tcPr>
          <w:p>
            <w:pPr>
              <w:pStyle w:val="null3"/>
            </w:pPr>
            <w:r>
              <w:rPr/>
              <w:t>响应文件封面 投标文件格式完整版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详见附件：投标文件格式完整版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