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版本号：240703002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长明灯、钢琴、封棺服务</w:t>
      </w:r>
    </w:p>
    <w:p>
      <w:pPr>
        <w:pStyle w:val="null3"/>
        <w:jc w:val="center"/>
        <w:outlineLvl w:val="2"/>
      </w:pPr>
      <w:r>
        <w:rPr>
          <w:sz w:val="28"/>
          <w:b/>
        </w:rPr>
        <w:t>采购项目编号：</w:t>
      </w:r>
      <w:r>
        <w:rPr>
          <w:sz w:val="28"/>
          <w:b/>
        </w:rPr>
        <w:t>长明灯、钢琴、封棺服务采购项目</w:t>
      </w:r>
      <w:r>
        <w:br/>
      </w:r>
      <w:r>
        <w:br/>
      </w:r>
      <w:r>
        <w:br/>
      </w:r>
    </w:p>
    <w:p>
      <w:pPr>
        <w:pStyle w:val="null3"/>
        <w:jc w:val="center"/>
        <w:outlineLvl w:val="2"/>
      </w:pPr>
      <w:r>
        <w:rPr>
          <w:sz w:val="28"/>
          <w:b/>
        </w:rPr>
        <w:t>西安市奉正塬殡仪馆</w:t>
      </w:r>
    </w:p>
    <w:p>
      <w:pPr>
        <w:pStyle w:val="null3"/>
        <w:jc w:val="center"/>
        <w:outlineLvl w:val="2"/>
      </w:pPr>
      <w:r>
        <w:rPr>
          <w:sz w:val="28"/>
          <w:b/>
        </w:rPr>
        <w:t>陕西中裕天腾项目管理有限公司</w:t>
      </w:r>
      <w:r>
        <w:rPr>
          <w:sz w:val="28"/>
          <w:b/>
        </w:rPr>
        <w:t>共同编制</w:t>
      </w:r>
    </w:p>
    <w:p>
      <w:pPr>
        <w:pStyle w:val="null3"/>
        <w:jc w:val="center"/>
        <w:outlineLvl w:val="2"/>
      </w:pPr>
      <w:r>
        <w:rPr>
          <w:sz w:val="28"/>
          <w:b/>
        </w:rPr>
        <w:t>2024年07月03日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陕西中裕天腾项目管理有限公司</w:t>
      </w:r>
      <w:r>
        <w:rPr/>
        <w:t>（以下简称“代理机构”）受</w:t>
      </w:r>
      <w:r>
        <w:rPr/>
        <w:t>西安市奉正塬殡仪馆</w:t>
      </w:r>
      <w:r>
        <w:rPr/>
        <w:t>委托，拟对</w:t>
      </w:r>
      <w:r>
        <w:rPr/>
        <w:t>长明灯、钢琴、封棺服务</w:t>
      </w:r>
      <w:r>
        <w:rPr/>
        <w:t>采用竞争性磋商采购方式进行采购，兹邀请供应商参加本项目的竞争性磋商。</w:t>
      </w:r>
    </w:p>
    <w:p>
      <w:pPr>
        <w:pStyle w:val="null3"/>
        <w:outlineLvl w:val="2"/>
      </w:pPr>
      <w:r>
        <w:rPr>
          <w:sz w:val="28"/>
          <w:b/>
        </w:rPr>
        <w:t>一、项目编号：</w:t>
      </w:r>
      <w:r>
        <w:rPr>
          <w:sz w:val="28"/>
          <w:b/>
        </w:rPr>
        <w:t>长明灯、钢琴、封棺服务采购项目</w:t>
      </w:r>
    </w:p>
    <w:p>
      <w:pPr>
        <w:pStyle w:val="null3"/>
        <w:outlineLvl w:val="2"/>
      </w:pPr>
      <w:r>
        <w:rPr>
          <w:sz w:val="28"/>
          <w:b/>
        </w:rPr>
        <w:t>二、项目名称：</w:t>
      </w:r>
      <w:r>
        <w:rPr>
          <w:sz w:val="28"/>
          <w:b/>
        </w:rPr>
        <w:t>长明灯、钢琴、封棺服务</w:t>
      </w:r>
    </w:p>
    <w:p>
      <w:pPr>
        <w:pStyle w:val="null3"/>
        <w:outlineLvl w:val="2"/>
      </w:pPr>
      <w:r>
        <w:rPr>
          <w:sz w:val="28"/>
          <w:b/>
        </w:rPr>
        <w:t>三、磋商项目简介</w:t>
      </w:r>
    </w:p>
    <w:p>
      <w:pPr>
        <w:pStyle w:val="null3"/>
        <w:ind w:firstLine="480"/>
      </w:pPr>
      <w:r>
        <w:rPr/>
        <w:t>近年来，西安市奉正塬殡仪馆顺应人民群众新期待，进一步满足西安市民个性化的殡葬服务需求，本着“以人为本、优质服务、丧属满意”的宗旨，引进专业的封棺、钢琴、长明灯服务，取得社会效益和经济效益双丰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采购包1（长明灯、钢琴、封棺服务）：属于专门面向中小企业采购。</w:t>
      </w:r>
    </w:p>
    <w:p>
      <w:pPr>
        <w:pStyle w:val="null3"/>
        <w:ind w:firstLine="480"/>
      </w:pPr>
      <w:r>
        <w:rPr/>
        <w:t>（三）本项目的特定资格要求：</w:t>
      </w:r>
    </w:p>
    <w:p>
      <w:pPr>
        <w:pStyle w:val="null3"/>
      </w:pPr>
      <w:r>
        <w:rPr/>
        <w:t>采购包1：</w:t>
      </w:r>
    </w:p>
    <w:p>
      <w:pPr>
        <w:pStyle w:val="null3"/>
      </w:pPr>
      <w:r>
        <w:rPr/>
        <w:t>1、“信用中国”及“中国政府采购网”信用记录：未被列为“信用中国”网（www.creditchina.gov.cn）中失信被执行人和重大税收违法案件当事人名单及中国政府采购网（www.ccgp.gov.cn）政府采购严重违法失信行为记录名单。</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西安市奉正塬殡仪馆</w:t>
      </w:r>
    </w:p>
    <w:p>
      <w:pPr>
        <w:pStyle w:val="null3"/>
      </w:pPr>
      <w:r>
        <w:rPr/>
        <w:t xml:space="preserve"> 地址： </w:t>
      </w:r>
      <w:r>
        <w:rPr/>
        <w:t>陕西省西安市高陵区马北村</w:t>
      </w:r>
    </w:p>
    <w:p>
      <w:pPr>
        <w:pStyle w:val="null3"/>
      </w:pPr>
      <w:r>
        <w:rPr/>
        <w:t xml:space="preserve"> 邮编： </w:t>
      </w:r>
      <w:r>
        <w:rPr/>
        <w:t>710000</w:t>
      </w:r>
    </w:p>
    <w:p>
      <w:pPr>
        <w:pStyle w:val="null3"/>
      </w:pPr>
      <w:r>
        <w:rPr/>
        <w:t xml:space="preserve"> 联系人： </w:t>
      </w:r>
      <w:r>
        <w:rPr/>
        <w:t>张海龙</w:t>
      </w:r>
    </w:p>
    <w:p>
      <w:pPr>
        <w:pStyle w:val="null3"/>
      </w:pPr>
      <w:r>
        <w:rPr/>
        <w:t xml:space="preserve"> 联系电话： </w:t>
      </w:r>
      <w:r>
        <w:rPr/>
        <w:t>13319803112</w:t>
      </w:r>
    </w:p>
    <w:p>
      <w:pPr>
        <w:pStyle w:val="null3"/>
        <w:outlineLvl w:val="3"/>
      </w:pPr>
      <w:r>
        <w:rPr>
          <w:sz w:val="24"/>
          <w:b/>
        </w:rPr>
        <w:t>代理机构：</w:t>
      </w:r>
      <w:r>
        <w:rPr>
          <w:sz w:val="24"/>
          <w:b/>
        </w:rPr>
        <w:t>陕西中裕天腾项目管理有限公司</w:t>
      </w:r>
    </w:p>
    <w:p>
      <w:pPr>
        <w:pStyle w:val="null3"/>
      </w:pPr>
      <w:r>
        <w:rPr/>
        <w:t xml:space="preserve"> 地址： </w:t>
      </w:r>
      <w:r>
        <w:rPr/>
        <w:t>陕西省西安市莲湖区高新路西部国际广场B座28楼</w:t>
      </w:r>
    </w:p>
    <w:p>
      <w:pPr>
        <w:pStyle w:val="null3"/>
      </w:pPr>
      <w:r>
        <w:rPr/>
        <w:t xml:space="preserve"> 邮编： </w:t>
      </w:r>
      <w:r>
        <w:rPr/>
        <w:t>710000</w:t>
      </w:r>
    </w:p>
    <w:p>
      <w:pPr>
        <w:pStyle w:val="null3"/>
      </w:pPr>
      <w:r>
        <w:rPr/>
        <w:t xml:space="preserve"> 联系人： </w:t>
      </w:r>
      <w:r>
        <w:rPr/>
        <w:t>赵婕</w:t>
      </w:r>
    </w:p>
    <w:p>
      <w:pPr>
        <w:pStyle w:val="null3"/>
      </w:pPr>
      <w:r>
        <w:rPr/>
        <w:t xml:space="preserve"> 联系电话： </w:t>
      </w:r>
      <w:r>
        <w:rPr/>
        <w:t>18066518168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收取参照国家计委颁布的《招标代理服务收费管理暂行办法》（计价格[2002]1980号）和（发改办价格[2011]534号）收费标准，按照成交金额差额定率累进法计算。招标代理服务费应计入投标报价中，但不需要单独开列。 2、招标代理服务费收款账户： 单位名称：陕西中裕天腾项目管理有限公司 开户银行：建行西安太白小区支行 账 号：61050177350000000883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西安市奉正塬殡仪馆</w:t>
      </w:r>
      <w:r>
        <w:rPr/>
        <w:t>和</w:t>
      </w:r>
      <w:r>
        <w:rPr/>
        <w:t>陕西中裕天腾项目管理有限公司</w:t>
      </w:r>
      <w:r>
        <w:rPr/>
        <w:t>享有。对磋商文件中供应商参加本次政府采购活动应当具备的条件，磋商项目技术、服务、商务及其他要求，评审细则及标准由</w:t>
      </w:r>
      <w:r>
        <w:rPr/>
        <w:t>西安市奉正塬殡仪馆</w:t>
      </w:r>
      <w:r>
        <w:rPr/>
        <w:t>负责解释。除上述磋商文件内容，其他内容由</w:t>
      </w:r>
      <w:r>
        <w:rPr/>
        <w:t>陕西中裕天腾项目管理有限公司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西安市奉正塬殡仪馆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陕西中裕天腾项目管理有限公司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陕西中裕天腾项目管理有限公司</w:t>
      </w:r>
      <w:r>
        <w:rPr/>
        <w:t xml:space="preserve"> 负责答复；供应商对除采购需求外的采购文件的询问、质疑由</w:t>
      </w:r>
      <w:r>
        <w:rPr/>
        <w:t>陕西中裕天腾项目管理有限公司</w:t>
      </w:r>
      <w:r>
        <w:rPr/>
        <w:t xml:space="preserve"> 负责答复；供应商对采购过程、采购结果的询问、质疑由 </w:t>
      </w:r>
      <w:r>
        <w:rPr/>
        <w:t>陕西中裕天腾项目管理有限公司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联系人：赵婕</w:t>
      </w:r>
    </w:p>
    <w:p>
      <w:pPr>
        <w:pStyle w:val="null3"/>
      </w:pPr>
      <w:r>
        <w:rPr/>
        <w:t>联系电话： 18066518168</w:t>
      </w:r>
    </w:p>
    <w:p>
      <w:pPr>
        <w:pStyle w:val="null3"/>
      </w:pPr>
      <w:r>
        <w:rPr/>
        <w:t>地址：陕西省西安市莲湖区高新路西部国际广场B座28楼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近年来，西安市奉正塬殡仪馆顺应人民群众新期待，进一步满足西安市民个性化的殡葬服务需求，本着“以人为本、优质服务、丧属满意”的宗旨，引进专业的封棺、钢琴、长明灯服务，取得社会效益和经济效益双丰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长明灯、钢琴、封棺服务</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标的名称：长明灯、钢琴、封棺服务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57"/>
              <w:gridCol w:w="854"/>
              <w:gridCol w:w="618"/>
              <w:gridCol w:w="618"/>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b/>
                      <w:color w:val="000000"/>
                    </w:rPr>
                    <w:t>服务</w:t>
                  </w:r>
                  <w:r>
                    <w:rPr>
                      <w:rFonts w:ascii="黑体" w:hAnsi="黑体" w:cs="黑体" w:eastAsia="黑体"/>
                      <w:sz w:val="24"/>
                      <w:b/>
                      <w:color w:val="000000"/>
                    </w:rPr>
                    <w:t>项目</w:t>
                  </w:r>
                </w:p>
              </w:tc>
              <w:tc>
                <w:tcPr>
                  <w:tcW w:type="dxa" w:w="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b/>
                      <w:color w:val="000000"/>
                    </w:rPr>
                    <w:t>服务</w:t>
                  </w:r>
                  <w:r>
                    <w:rPr>
                      <w:rFonts w:ascii="黑体" w:hAnsi="黑体" w:cs="黑体" w:eastAsia="黑体"/>
                      <w:sz w:val="24"/>
                      <w:b/>
                      <w:color w:val="000000"/>
                    </w:rPr>
                    <w:t>内容</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b/>
                      <w:color w:val="000000"/>
                    </w:rPr>
                    <w:t>技术要求</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b/>
                      <w:color w:val="000000"/>
                    </w:rPr>
                    <w:t>最高限价</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封棺服务</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骨灰盒（坛、罐）密封</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、致密性好，不易渗漏</w:t>
                  </w:r>
                </w:p>
                <w:p>
                  <w:pPr>
                    <w:pStyle w:val="null3"/>
                    <w:jc w:val="both"/>
                  </w:pPr>
                  <w:r>
                    <w:rPr>
                      <w:rFonts w:ascii="calibri" w:hAnsi="calibri" w:cs="calibri" w:eastAsia="calibri"/>
                      <w:sz w:val="21"/>
                    </w:rPr>
                    <w:t>2</w:t>
                  </w:r>
                  <w:r>
                    <w:rPr>
                      <w:rFonts w:ascii="宋体" w:hAnsi="宋体" w:cs="宋体" w:eastAsia="宋体"/>
                      <w:sz w:val="21"/>
                    </w:rPr>
                    <w:t>、密封材料对密封表面和所密封的介质具有良好的化学稳定性，即不腐蚀被密封面，不污染所密封的介质</w:t>
                  </w:r>
                </w:p>
                <w:p>
                  <w:pPr>
                    <w:pStyle w:val="null3"/>
                    <w:jc w:val="both"/>
                  </w:pPr>
                  <w:r>
                    <w:rPr>
                      <w:rFonts w:ascii="calibri" w:hAnsi="calibri" w:cs="calibri" w:eastAsia="calibri"/>
                      <w:sz w:val="21"/>
                    </w:rPr>
                    <w:t>3</w:t>
                  </w:r>
                  <w:r>
                    <w:rPr>
                      <w:rFonts w:ascii="宋体" w:hAnsi="宋体" w:cs="宋体" w:eastAsia="宋体"/>
                      <w:sz w:val="21"/>
                    </w:rPr>
                    <w:t>、密封材料环保</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60元/次</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钢琴服务</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小厅、中厅钢琴伴奏</w:t>
                  </w:r>
                </w:p>
              </w:tc>
              <w:tc>
                <w:tcPr>
                  <w:tcW w:type="dxa" w:w="6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单人弹奏（钢琴专业十级证书）每场不少于</w:t>
                  </w:r>
                  <w:r>
                    <w:rPr>
                      <w:rFonts w:ascii="宋体" w:hAnsi="宋体" w:cs="宋体" w:eastAsia="宋体"/>
                      <w:sz w:val="20"/>
                      <w:color w:val="000000"/>
                    </w:rPr>
                    <w:t>15分钟，曲目不少于10曲</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140元/场</w:t>
                  </w:r>
                </w:p>
              </w:tc>
            </w:tr>
            <w:tr>
              <w:tc>
                <w:tcPr>
                  <w:tcW w:type="dxa" w:w="457"/>
                  <w:vMerge/>
                  <w:tcBorders>
                    <w:top w:val="none" w:color="000000" w:sz="4"/>
                    <w:left w:val="singl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大厅钢琴伴奏</w:t>
                  </w:r>
                </w:p>
              </w:tc>
              <w:tc>
                <w:tcPr>
                  <w:tcW w:type="dxa" w:w="618"/>
                  <w:vMerge/>
                  <w:tcBorders>
                    <w:top w:val="none" w:color="000000" w:sz="4"/>
                    <w:left w:val="none" w:color="000000" w:sz="4"/>
                    <w:bottom w:val="single" w:color="000000" w:sz="4"/>
                    <w:right w:val="single" w:color="000000" w:sz="4"/>
                  </w:tcBorders>
                </w:tc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380元/场</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长明灯服务</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礼厅用长明灯五组</w:t>
                  </w:r>
                </w:p>
              </w:tc>
              <w:tc>
                <w:tcPr>
                  <w:tcW w:type="dxa" w:w="6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灯饰不少于</w:t>
                  </w:r>
                  <w:r>
                    <w:rPr>
                      <w:rFonts w:ascii="宋体" w:hAnsi="宋体" w:cs="宋体" w:eastAsia="宋体"/>
                      <w:sz w:val="20"/>
                      <w:color w:val="000000"/>
                    </w:rPr>
                    <w:t>10组造型（如仙鹤灯、花瓶灯、方柱灯、圆柱灯、怀念灯、龙柱灯、一路走好灯、泣泪滂沱灯、麒麟灯、立柱莲花灯等）</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260元/场</w:t>
                  </w:r>
                </w:p>
              </w:tc>
            </w:tr>
            <w:tr>
              <w:tc>
                <w:tcPr>
                  <w:tcW w:type="dxa" w:w="457"/>
                  <w:vMerge/>
                  <w:tcBorders>
                    <w:top w:val="none" w:color="000000" w:sz="4"/>
                    <w:left w:val="singl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礼厅用长明灯一组</w:t>
                  </w:r>
                </w:p>
              </w:tc>
              <w:tc>
                <w:tcPr>
                  <w:tcW w:type="dxa" w:w="618"/>
                  <w:vMerge/>
                  <w:tcBorders>
                    <w:top w:val="none" w:color="000000" w:sz="4"/>
                    <w:left w:val="none" w:color="000000" w:sz="4"/>
                    <w:bottom w:val="single" w:color="000000" w:sz="4"/>
                    <w:right w:val="single" w:color="000000" w:sz="4"/>
                  </w:tcBorders>
                </w:tc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140元/场</w:t>
                  </w:r>
                </w:p>
              </w:tc>
            </w:tr>
            <w:tr>
              <w:tc>
                <w:tcPr>
                  <w:tcW w:type="dxa" w:w="457"/>
                  <w:vMerge/>
                  <w:tcBorders>
                    <w:top w:val="none" w:color="000000" w:sz="4"/>
                    <w:left w:val="singl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灵堂用长明灯一组</w:t>
                  </w:r>
                </w:p>
              </w:tc>
              <w:tc>
                <w:tcPr>
                  <w:tcW w:type="dxa" w:w="618"/>
                  <w:vMerge/>
                  <w:tcBorders>
                    <w:top w:val="none" w:color="000000" w:sz="4"/>
                    <w:left w:val="none" w:color="000000" w:sz="4"/>
                    <w:bottom w:val="single" w:color="000000" w:sz="4"/>
                    <w:right w:val="single" w:color="000000" w:sz="4"/>
                  </w:tcBorders>
                </w:tc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200元/场</w:t>
                  </w:r>
                </w:p>
              </w:tc>
            </w:tr>
          </w:tbl>
          <w:p/>
        </w:tc>
      </w:tr>
    </w:tbl>
    <w:p>
      <w:pPr>
        <w:pStyle w:val="null3"/>
        <w:outlineLvl w:val="2"/>
      </w:pPr>
      <w:r>
        <w:rPr>
          <w:sz w:val="28"/>
          <w:b/>
        </w:rPr>
        <w:t>3.2.3人员配置要求</w:t>
      </w:r>
    </w:p>
    <w:p>
      <w:pPr>
        <w:pStyle w:val="null3"/>
      </w:pPr>
      <w:r>
        <w:rPr/>
        <w:t>采购包1：</w:t>
      </w:r>
    </w:p>
    <w:p>
      <w:pPr>
        <w:pStyle w:val="null3"/>
      </w:pPr>
      <w:r>
        <w:rPr/>
        <w:t>满足本项目需求</w:t>
      </w:r>
    </w:p>
    <w:p>
      <w:pPr>
        <w:pStyle w:val="null3"/>
        <w:outlineLvl w:val="2"/>
      </w:pPr>
      <w:r>
        <w:rPr>
          <w:sz w:val="28"/>
          <w:b/>
        </w:rPr>
        <w:t>3.2.4设施设备要求</w:t>
      </w:r>
    </w:p>
    <w:p>
      <w:pPr>
        <w:pStyle w:val="null3"/>
      </w:pPr>
      <w:r>
        <w:rPr/>
        <w:t>采购包1：</w:t>
      </w:r>
    </w:p>
    <w:p>
      <w:pPr>
        <w:pStyle w:val="null3"/>
      </w:pPr>
      <w:r>
        <w:rPr/>
        <w:t>满足本项目需求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合同签订后一年或累计结算金额到达采购预算，以先到达者为准</w:t>
      </w:r>
    </w:p>
    <w:p>
      <w:pPr>
        <w:pStyle w:val="null3"/>
        <w:outlineLvl w:val="3"/>
      </w:pPr>
      <w:r>
        <w:rPr>
          <w:sz w:val="24"/>
          <w:b/>
        </w:rPr>
        <w:t>3.3.2服务地点</w:t>
      </w:r>
    </w:p>
    <w:p>
      <w:pPr>
        <w:pStyle w:val="null3"/>
      </w:pPr>
      <w:r>
        <w:rPr/>
        <w:t>采购包1：</w:t>
      </w:r>
    </w:p>
    <w:p>
      <w:pPr>
        <w:pStyle w:val="null3"/>
      </w:pPr>
      <w:r>
        <w:rPr/>
        <w:t>西安市高陵区马北村九支渠旁西安市奉正塬殡仪馆</w:t>
      </w:r>
    </w:p>
    <w:p>
      <w:pPr>
        <w:pStyle w:val="null3"/>
        <w:outlineLvl w:val="3"/>
      </w:pPr>
      <w:r>
        <w:rPr>
          <w:sz w:val="24"/>
          <w:b/>
        </w:rPr>
        <w:t>3.3.3考核（验收）标准和方法</w:t>
      </w:r>
    </w:p>
    <w:p>
      <w:pPr>
        <w:pStyle w:val="null3"/>
      </w:pPr>
      <w:r>
        <w:rPr/>
        <w:t>采购包1：</w:t>
      </w:r>
    </w:p>
    <w:p>
      <w:pPr>
        <w:pStyle w:val="null3"/>
      </w:pPr>
      <w:r>
        <w:rPr/>
        <w:t>按国家及行业相关规定标准及方法执行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本项目服务期内按月据实结算，实际结算金额将按实际服务数量×中标成交单价</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依据《中华人民共和国民法典》、《中华人民共和国政府采购法》、《中华人民共和国政府采购法实施条例》的相关条款和本合同约定，乙方未全面履行合同义务或者乙方提供服务致使甲方或第三人损失，甲方有权终止合同，乙方须赔偿全部损失，支付甲方已支付价款30%的违约金，同时报请政府采购监督管理机关进行相应的行政处罚。 2、争议的解决方式 本合同履行过程中发生争议，由双方协商解决，协商或者调解不成的，按下列第2种方式解决： 1、提交合同签订地仲裁委员会仲裁； 2、依法向甲方所在地人民法院起诉</w:t>
      </w:r>
    </w:p>
    <w:p>
      <w:pPr>
        <w:pStyle w:val="null3"/>
        <w:outlineLvl w:val="2"/>
      </w:pPr>
      <w:r>
        <w:rPr>
          <w:sz w:val="28"/>
          <w:b/>
        </w:rPr>
        <w:t>3.4其他要求</w:t>
      </w:r>
    </w:p>
    <w:p>
      <w:pPr>
        <w:pStyle w:val="null3"/>
      </w:pPr>
      <w:r>
        <w:rPr/>
        <w:t>中标方需提供用于开展服务项目的专用设备设施，负责封棺服务的策划及实施，保证服务项目的正常运营和管理，包括人员配备、员工培训、专用设施设备和商品耗材的购买及修护保养等。 中标方派专业团队驻馆，配合馆方工作时间和封棺、钢琴、长明灯服务业务特点，保证365天此项业务的正常开展。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2、财务状况报告：提供经审计的2023年度的财务报告或提交投标文件截止时间前六个月内其基本账户开户银行出具的资信证明；其他组织和自然人提供银行出具的资信证明或财务报表； 3、税收缴纳证明：提供供应商2023年6月至今已缴纳任意一个月完税凭证或税务机关开具的完税证明（任意税种）；依法免税的应提供相关文件证明； 4、社会保障资金缴纳证明：提供供应商2023年6月至今已缴纳的任意一个月的社会保障资金缴存的完税证明或社保机构开具的社会保险参保缴费情况证明；依法不需要缴纳社会保障资金的应提供相关文件证明；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w:t>
            </w:r>
          </w:p>
        </w:tc>
        <w:tc>
          <w:tcPr>
            <w:tcW w:type="dxa" w:w="1661"/>
          </w:tcPr>
          <w:p>
            <w:pPr>
              <w:pStyle w:val="null3"/>
            </w:pPr>
            <w:r>
              <w:rPr/>
              <w:t>响应函 供应商应提供的资格证明文件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供应商应提供的资格证明文件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“信用中国”及“中国政府采购网”信用记录</w:t>
            </w:r>
          </w:p>
        </w:tc>
        <w:tc>
          <w:tcPr>
            <w:tcW w:type="dxa" w:w="3322"/>
          </w:tcPr>
          <w:p>
            <w:pPr>
              <w:pStyle w:val="null3"/>
            </w:pPr>
            <w:r>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t>响应函 供应商应提供的资格证明文件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响应文件的签署、盖章符合采购文件要求，且无遗漏。</w:t>
            </w:r>
          </w:p>
        </w:tc>
        <w:tc>
          <w:tcPr>
            <w:tcW w:type="dxa" w:w="1661"/>
          </w:tcPr>
          <w:p>
            <w:pPr>
              <w:pStyle w:val="null3"/>
            </w:pPr>
            <w:r>
              <w:rPr/>
              <w:t>响应文件封面 授权委托书 响应函</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符合采购文件要求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法定代表人身份证明书或法定代表人授权委托书</w:t>
            </w:r>
          </w:p>
        </w:tc>
        <w:tc>
          <w:tcPr>
            <w:tcW w:type="dxa" w:w="3322"/>
          </w:tcPr>
          <w:p>
            <w:pPr>
              <w:pStyle w:val="null3"/>
            </w:pPr>
            <w:r>
              <w:rPr/>
              <w:t>符合采购文件要求、合法有效</w:t>
            </w:r>
          </w:p>
        </w:tc>
        <w:tc>
          <w:tcPr>
            <w:tcW w:type="dxa" w:w="1661"/>
          </w:tcPr>
          <w:p>
            <w:pPr>
              <w:pStyle w:val="null3"/>
            </w:pPr>
            <w:r>
              <w:rPr/>
              <w:t>响应文件封面 授权委托书</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同时满足以下条款：（1）报价符合唯一性要求；（2）报价货币符合采购文件要求；（3）未超出采购文件规定的单价最高限价。</w:t>
            </w:r>
          </w:p>
        </w:tc>
        <w:tc>
          <w:tcPr>
            <w:tcW w:type="dxa" w:w="1661"/>
          </w:tcPr>
          <w:p>
            <w:pPr>
              <w:pStyle w:val="null3"/>
            </w:pPr>
            <w:r>
              <w:rPr/>
              <w:t>响应文件封面 分项报价表 服务方案 标的清单</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供应商根据磋商文件内容及要求做出具体响应内容、列出具体服务方案 服务方案内容包括但不限于项目策划及实施、工作思路、工作流程、关键环节把握、工作重点突出等方案内容； 服务方案全面、细致、科学合理、规范，可行性强，完全符合项目需求，得10-15分；服务方案较为全面、合理，可行性一般，基本满足项目需求，得5-9.9分；服务方案较差，不符合实际，部分满足项目需求，得1-4.9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日常管理制度</w:t>
            </w:r>
          </w:p>
        </w:tc>
        <w:tc>
          <w:tcPr>
            <w:tcW w:type="dxa" w:w="2492"/>
          </w:tcPr>
          <w:p>
            <w:pPr>
              <w:pStyle w:val="null3"/>
            </w:pPr>
            <w:r>
              <w:rPr/>
              <w:t>供应商具有健全的工作管理制度，并能针对本项目制定实施计划。 管理制度健全、规范，实施计划详细、可行性强，得7-10分；管理制度简单，实施计划基本可行，得4-6.9分；无明确管理制度，实施计划简单，得1-3.9分。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人员服务质量跟进制度及监督考核方案（管理模式、服务内容、人员的培训等）</w:t>
            </w:r>
          </w:p>
        </w:tc>
        <w:tc>
          <w:tcPr>
            <w:tcW w:type="dxa" w:w="2492"/>
          </w:tcPr>
          <w:p>
            <w:pPr>
              <w:pStyle w:val="null3"/>
            </w:pPr>
            <w:r>
              <w:rPr/>
              <w:t>人员服务质量跟进制度及监督考核方案管理制度健全、规范，实施计划详细、可行性强，得7-10分；管理制度简单，实施计划基本可行，得4-6.9分；无明确管理制度，实施计划简单，得1-3.9分。无方案或方案不符合采购需求得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质量管理措施</w:t>
            </w:r>
          </w:p>
        </w:tc>
        <w:tc>
          <w:tcPr>
            <w:tcW w:type="dxa" w:w="2492"/>
          </w:tcPr>
          <w:p>
            <w:pPr>
              <w:pStyle w:val="null3"/>
            </w:pPr>
            <w:r>
              <w:rPr/>
              <w:t>质量保证措施完善、合理、可行性强，完全满足采购需求，计6-8分；质量目标基本明确、针对性一般、保证措施基本完善、合理、可行性一般，基本满足采购需求，计3-5.9分； 质量目标不明确、保证措施不完善、针对性及可行性较差，部分满足采购需求，计1-2.9分。未提供措施方案，或措施方案无法满足采购需求的不得分。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人员配备</w:t>
            </w:r>
          </w:p>
        </w:tc>
        <w:tc>
          <w:tcPr>
            <w:tcW w:type="dxa" w:w="2492"/>
          </w:tcPr>
          <w:p>
            <w:pPr>
              <w:pStyle w:val="null3"/>
            </w:pPr>
            <w:r>
              <w:rPr/>
              <w:t>有完善的人员配备及管理方案。整个项目的组织实施计划完善、人员配置齐全、分工合理、责任明确，完全满足采购需求，得7-10分；组织实施计划基本完善，人员配置基本齐全，分工及责任基本合理明确，基本满足采购需求的的计4-6.9分；组织实施计划不完善，人员配置缺失，分工不当，责任模糊，部分满足或不满足项目采购需求得0-3.9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应急预案措施</w:t>
            </w:r>
          </w:p>
        </w:tc>
        <w:tc>
          <w:tcPr>
            <w:tcW w:type="dxa" w:w="2492"/>
          </w:tcPr>
          <w:p>
            <w:pPr>
              <w:pStyle w:val="null3"/>
            </w:pPr>
            <w:r>
              <w:rPr/>
              <w:t>应急预案项目丰富、内容完整、考虑周全、针对性强，完全满足采购需求得 6-8分；应急预案措施内容基本完整、针对性一般，基本满足项目需求得3-5.9 分；应急预案项目内容不完整、可行性差，部分满足项目需求得1-2.9 分。未提供措施方案，或措施方案无法满足采购需求的不得分。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提供 2021年1月1日以来的类似业绩，提供合同（以加盖公章的合同复印件为准，弄虚作假者取消其成交资格），每提供一份计2分，最高得10分。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优惠条件及服务承诺</w:t>
            </w:r>
          </w:p>
        </w:tc>
        <w:tc>
          <w:tcPr>
            <w:tcW w:type="dxa" w:w="2492"/>
          </w:tcPr>
          <w:p>
            <w:pPr>
              <w:pStyle w:val="null3"/>
            </w:pPr>
            <w:r>
              <w:rPr/>
              <w:t>1、对供应商服务过程中的质量、进度、安全及与采购人配合程度及后续服务响应情况，进行赋分，按其响应程度计 0-5分。 2、针对本项目提出合理化建议及其他增值服务或其实质性优惠条件，按其响应程度计0-4分。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1、经初审合格的响应文件，通过符合性审查的响应报价为有效报价。2、有效最低报价为基准价得20分。 3、按（有效最低报价/有效投标报价）×20的公式计算其得分。4、响应报价不完整的，不进入评标基准价的计算，本项得0分。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详见附件：授权委托书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详见附件：供应商应提供的资格证明文件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