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46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w:t>
      </w:r>
      <w:r>
        <w:rPr>
          <w:rFonts w:hint="eastAsia" w:ascii="宋体" w:hAnsi="宋体" w:cs="宋体"/>
          <w:color w:val="auto"/>
          <w:sz w:val="24"/>
          <w:szCs w:val="24"/>
          <w:highlight w:val="none"/>
          <w:lang w:eastAsia="zh-CN"/>
        </w:rPr>
        <w:t>提供经审计</w:t>
      </w:r>
      <w:r>
        <w:rPr>
          <w:rFonts w:hint="eastAsia" w:ascii="宋体" w:hAnsi="宋体" w:cs="宋体"/>
          <w:color w:val="auto"/>
          <w:sz w:val="24"/>
          <w:szCs w:val="24"/>
          <w:highlight w:val="none"/>
          <w:lang w:val="en-US" w:eastAsia="zh-CN"/>
        </w:rPr>
        <w:t>的</w:t>
      </w:r>
      <w:r>
        <w:rPr>
          <w:rFonts w:hint="eastAsia" w:ascii="宋体" w:hAnsi="宋体" w:eastAsia="宋体" w:cs="宋体"/>
          <w:color w:val="auto"/>
          <w:sz w:val="24"/>
          <w:szCs w:val="24"/>
          <w:highlight w:val="none"/>
          <w:lang w:val="en-US" w:eastAsia="zh-CN"/>
        </w:rPr>
        <w:t>2023年度</w:t>
      </w:r>
      <w:r>
        <w:rPr>
          <w:rFonts w:hint="eastAsia" w:ascii="宋体" w:hAnsi="宋体" w:eastAsia="宋体" w:cs="宋体"/>
          <w:color w:val="auto"/>
          <w:sz w:val="24"/>
          <w:szCs w:val="24"/>
          <w:highlight w:val="none"/>
        </w:rPr>
        <w:t>的财务报告或提交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截止时间前六个月内其基本账户开户银行出具的资信证明</w:t>
      </w:r>
      <w:r>
        <w:rPr>
          <w:rFonts w:hint="eastAsia" w:ascii="宋体" w:hAnsi="宋体" w:eastAsia="宋体" w:cs="宋体"/>
          <w:color w:val="auto"/>
          <w:sz w:val="24"/>
          <w:szCs w:val="24"/>
          <w:highlight w:val="none"/>
          <w:lang w:val="en-US" w:eastAsia="zh-CN"/>
        </w:rPr>
        <w:t>及基本存款账户信息</w:t>
      </w:r>
      <w:r>
        <w:rPr>
          <w:rFonts w:hint="eastAsia" w:ascii="宋体" w:hAnsi="宋体" w:eastAsia="宋体" w:cs="宋体"/>
          <w:color w:val="auto"/>
          <w:sz w:val="24"/>
          <w:szCs w:val="24"/>
          <w:highlight w:val="none"/>
        </w:rPr>
        <w:t>；其他组织和自然人提供银行出具的资信证明或财务报表；</w:t>
      </w:r>
    </w:p>
    <w:p>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w:t>
      </w:r>
      <w:r>
        <w:rPr>
          <w:rFonts w:hint="eastAsia" w:ascii="宋体" w:hAnsi="宋体" w:eastAsia="宋体" w:cs="宋体"/>
          <w:color w:val="auto"/>
          <w:sz w:val="24"/>
          <w:szCs w:val="24"/>
          <w:highlight w:val="none"/>
          <w:lang w:eastAsia="zh-CN"/>
        </w:rPr>
        <w:t>供应商2023年</w:t>
      </w:r>
      <w:r>
        <w:rPr>
          <w:rFonts w:hint="eastAsia" w:ascii="宋体" w:hAnsi="宋体" w:eastAsia="宋体" w:cs="宋体"/>
          <w:color w:val="auto"/>
          <w:sz w:val="24"/>
          <w:szCs w:val="24"/>
          <w:highlight w:val="none"/>
          <w:lang w:val="en-US" w:eastAsia="zh-CN"/>
        </w:rPr>
        <w:t>6月份</w:t>
      </w:r>
      <w:r>
        <w:rPr>
          <w:rFonts w:hint="eastAsia" w:ascii="宋体" w:hAnsi="宋体" w:eastAsia="宋体" w:cs="宋体"/>
          <w:color w:val="auto"/>
          <w:sz w:val="24"/>
          <w:szCs w:val="24"/>
          <w:highlight w:val="none"/>
          <w:lang w:eastAsia="zh-CN"/>
        </w:rPr>
        <w:t>至今已缴纳任意一个月完税凭证</w:t>
      </w:r>
      <w:r>
        <w:rPr>
          <w:rFonts w:hint="eastAsia" w:ascii="宋体" w:hAnsi="宋体" w:eastAsia="宋体" w:cs="宋体"/>
          <w:color w:val="auto"/>
          <w:sz w:val="24"/>
          <w:szCs w:val="24"/>
          <w:highlight w:val="none"/>
        </w:rPr>
        <w:t xml:space="preserve">或税务机关开具的完税证明（任意税种）；依法免税的应提供相关文件证明； </w:t>
      </w:r>
    </w:p>
    <w:p>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4、社会保障资金缴纳证明：提供供应商2023年6月份至今已缴纳任意一个月的社会保障完税证明或社保机构开具的社会保险参保缴费情况证明；依法不需要缴纳社会保障资金的应提供相关文件证明；</w:t>
      </w:r>
    </w:p>
    <w:p>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pPr>
        <w:keepNext w:val="0"/>
        <w:keepLines w:val="0"/>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pPr>
        <w:keepNext w:val="0"/>
        <w:keepLines w:val="0"/>
        <w:pageBreakBefore w:val="0"/>
        <w:widowControl/>
        <w:kinsoku/>
        <w:wordWrap/>
        <w:overflowPunct/>
        <w:topLinePunct w:val="0"/>
        <w:bidi w:val="0"/>
        <w:adjustRightInd/>
        <w:snapToGrid/>
        <w:spacing w:line="440" w:lineRule="exact"/>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lang w:val="zh-CN"/>
        </w:rPr>
        <w:t>落实政府采购政策需满足的资格要求：</w:t>
      </w:r>
    </w:p>
    <w:p>
      <w:pPr>
        <w:keepNext w:val="0"/>
        <w:keepLines w:val="0"/>
        <w:pageBreakBefore w:val="0"/>
        <w:widowControl/>
        <w:kinsoku/>
        <w:wordWrap/>
        <w:overflowPunct/>
        <w:topLinePunct w:val="0"/>
        <w:bidi w:val="0"/>
        <w:adjustRightInd/>
        <w:snapToGrid/>
        <w:spacing w:line="440" w:lineRule="exact"/>
        <w:ind w:firstLine="480" w:firstLineChars="200"/>
        <w:jc w:val="left"/>
        <w:textAlignment w:val="auto"/>
        <w:rPr>
          <w:rFonts w:hint="eastAsia" w:ascii="宋体" w:hAnsi="宋体" w:eastAsia="宋体" w:cs="宋体"/>
          <w:kern w:val="0"/>
          <w:sz w:val="24"/>
          <w:szCs w:val="24"/>
          <w:shd w:val="clear" w:color="auto" w:fill="FFFFFF"/>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highlight w:val="none"/>
          <w:lang w:val="en-US" w:eastAsia="zh-CN"/>
        </w:rPr>
        <w:t>供应商属于</w:t>
      </w:r>
      <w:r>
        <w:rPr>
          <w:rFonts w:hint="eastAsia" w:ascii="宋体" w:hAnsi="宋体" w:eastAsia="宋体" w:cs="宋体"/>
          <w:kern w:val="0"/>
          <w:sz w:val="24"/>
          <w:szCs w:val="24"/>
          <w:shd w:val="clear" w:color="auto" w:fill="FFFFFF"/>
        </w:rPr>
        <w:t>中小企业或小型、微型企业</w:t>
      </w:r>
      <w:r>
        <w:rPr>
          <w:rFonts w:hint="eastAsia" w:ascii="宋体" w:hAnsi="宋体" w:eastAsia="宋体" w:cs="宋体"/>
          <w:kern w:val="0"/>
          <w:sz w:val="24"/>
          <w:szCs w:val="24"/>
          <w:shd w:val="clear" w:color="auto" w:fill="FFFFFF"/>
          <w:lang w:val="en-US" w:eastAsia="zh-CN"/>
        </w:rPr>
        <w:t>并</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声明</w:t>
      </w:r>
      <w:r>
        <w:rPr>
          <w:rFonts w:hint="eastAsia" w:ascii="宋体" w:hAnsi="宋体" w:eastAsia="宋体" w:cs="宋体"/>
          <w:color w:val="auto"/>
          <w:sz w:val="24"/>
          <w:szCs w:val="24"/>
          <w:highlight w:val="none"/>
          <w:lang w:val="en-US" w:eastAsia="zh-CN"/>
        </w:rPr>
        <w:t>函</w:t>
      </w:r>
      <w:r>
        <w:rPr>
          <w:rFonts w:hint="eastAsia" w:ascii="宋体" w:hAnsi="宋体" w:eastAsia="宋体" w:cs="宋体"/>
          <w:kern w:val="0"/>
          <w:sz w:val="24"/>
          <w:szCs w:val="24"/>
          <w:shd w:val="clear" w:color="auto" w:fill="FFFFFF"/>
        </w:rPr>
        <w:t>。</w:t>
      </w:r>
    </w:p>
    <w:p>
      <w:pPr>
        <w:keepNext w:val="0"/>
        <w:keepLines w:val="0"/>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三、特定资格条件：</w:t>
      </w:r>
      <w:bookmarkStart w:id="37" w:name="_GoBack"/>
      <w:bookmarkEnd w:id="37"/>
    </w:p>
    <w:p>
      <w:pPr>
        <w:widowControl/>
        <w:shd w:val="clear" w:color="auto" w:fill="FFFFFF"/>
        <w:spacing w:line="440" w:lineRule="exact"/>
        <w:ind w:firstLine="480" w:firstLineChars="200"/>
        <w:jc w:val="left"/>
        <w:rPr>
          <w:rFonts w:hint="eastAsia" w:ascii="宋体" w:hAnsi="宋体" w:cs="宋体"/>
          <w:color w:val="auto"/>
          <w:sz w:val="24"/>
        </w:rPr>
      </w:pPr>
      <w:r>
        <w:rPr>
          <w:rFonts w:hint="eastAsia" w:ascii="宋体" w:hAnsi="宋体" w:cs="宋体"/>
          <w:color w:val="auto"/>
          <w:sz w:val="24"/>
          <w:lang w:val="en-US" w:eastAsia="zh-CN"/>
        </w:rPr>
        <w:t>8、</w:t>
      </w:r>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9</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textAlignment w:val="auto"/>
        <w:rPr>
          <w:rFonts w:hint="eastAsia" w:ascii="宋体" w:hAnsi="宋体" w:cs="宋体"/>
          <w:color w:val="auto"/>
          <w:sz w:val="24"/>
        </w:rPr>
      </w:pPr>
    </w:p>
    <w:p>
      <w:pPr>
        <w:pStyle w:val="12"/>
        <w:rPr>
          <w:rFonts w:hint="eastAsia"/>
          <w:color w:val="auto"/>
        </w:rPr>
      </w:pPr>
    </w:p>
    <w:p>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bookmarkStart w:id="1" w:name="_Toc3731"/>
      <w:bookmarkStart w:id="2" w:name="_Toc5736"/>
      <w:r>
        <w:rPr>
          <w:rFonts w:hint="eastAsia" w:ascii="宋体" w:hAnsi="宋体" w:eastAsia="Times New Roman" w:cs="宋体"/>
          <w:color w:val="auto"/>
          <w:sz w:val="24"/>
          <w:lang w:val="en-US" w:eastAsia="zh-CN"/>
        </w:rPr>
        <w:t>格式1</w:t>
      </w:r>
      <w:bookmarkEnd w:id="1"/>
      <w:bookmarkEnd w:id="2"/>
    </w:p>
    <w:p>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pPr>
        <w:pStyle w:val="6"/>
        <w:spacing w:after="0" w:line="400" w:lineRule="exact"/>
        <w:rPr>
          <w:rFonts w:hint="eastAsia" w:ascii="宋体" w:hAnsi="宋体" w:eastAsia="宋体" w:cs="宋体"/>
          <w:color w:val="auto"/>
          <w:highlight w:val="none"/>
          <w:lang w:val="en-US" w:eastAsia="zh-CN"/>
        </w:rPr>
      </w:pPr>
    </w:p>
    <w:p>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28343"/>
      <w:bookmarkStart w:id="4" w:name="_Toc12445"/>
      <w:bookmarkStart w:id="5" w:name="_Toc9094"/>
      <w:bookmarkStart w:id="6" w:name="_Toc30687"/>
      <w:bookmarkStart w:id="7" w:name="_Toc25279"/>
      <w:bookmarkStart w:id="8" w:name="_Toc19234"/>
      <w:bookmarkStart w:id="9" w:name="_Toc13537"/>
      <w:bookmarkStart w:id="10" w:name="_Toc14168"/>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30201"/>
      <w:bookmarkStart w:id="12" w:name="_Toc1421"/>
      <w:bookmarkStart w:id="13" w:name="_Toc29753"/>
      <w:bookmarkStart w:id="14" w:name="_Toc23178"/>
      <w:bookmarkStart w:id="15" w:name="_Toc27929"/>
      <w:bookmarkStart w:id="16" w:name="_Toc11320"/>
      <w:bookmarkStart w:id="17" w:name="_Toc15963"/>
      <w:bookmarkStart w:id="18" w:name="_Toc15744"/>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24124"/>
      <w:bookmarkStart w:id="20" w:name="_Toc3760"/>
      <w:bookmarkStart w:id="21" w:name="_Toc21024"/>
      <w:bookmarkStart w:id="22" w:name="_Toc29019"/>
      <w:bookmarkStart w:id="23" w:name="_Toc15775"/>
      <w:bookmarkStart w:id="24" w:name="_Toc14566"/>
      <w:bookmarkStart w:id="25" w:name="_Toc14359"/>
      <w:bookmarkStart w:id="26" w:name="_Toc12127"/>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7355"/>
      <w:bookmarkStart w:id="28" w:name="_Toc26276"/>
      <w:bookmarkStart w:id="29" w:name="_Toc10366"/>
      <w:bookmarkStart w:id="30" w:name="_Toc17343"/>
      <w:bookmarkStart w:id="31" w:name="_Toc22988"/>
      <w:bookmarkStart w:id="32" w:name="_Toc3602"/>
      <w:bookmarkStart w:id="33" w:name="_Toc28920"/>
      <w:bookmarkStart w:id="34" w:name="_Toc862"/>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5738"/>
      <w:bookmarkStart w:id="36" w:name="_Toc12468"/>
      <w:r>
        <w:rPr>
          <w:rFonts w:hint="eastAsia" w:ascii="宋体" w:hAnsi="宋体" w:cs="宋体"/>
          <w:color w:val="auto"/>
          <w:kern w:val="0"/>
          <w:sz w:val="24"/>
        </w:rPr>
        <w:t>3、其他与本项目有关的利害关系说明：</w:t>
      </w:r>
      <w:bookmarkEnd w:id="35"/>
      <w:bookmarkEnd w:id="36"/>
    </w:p>
    <w:p>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p>
    <w:p>
      <w:pPr>
        <w:widowControl/>
        <w:shd w:val="clear" w:color="auto" w:fill="FFFFFF"/>
        <w:spacing w:before="100" w:beforeAutospacing="1" w:after="100" w:afterAutospacing="1"/>
        <w:jc w:val="center"/>
        <w:rPr>
          <w:rFonts w:ascii="宋体" w:hAnsi="宋体" w:cs="宋体"/>
          <w:color w:val="auto"/>
          <w:kern w:val="0"/>
          <w:sz w:val="24"/>
        </w:rPr>
      </w:pPr>
    </w:p>
    <w:p>
      <w:pPr>
        <w:widowControl/>
        <w:shd w:val="clear" w:color="auto" w:fill="FFFFFF"/>
        <w:spacing w:before="100" w:beforeAutospacing="1" w:after="100" w:afterAutospacing="1"/>
        <w:rPr>
          <w:rFonts w:hint="eastAsia" w:ascii="宋体" w:hAnsi="宋体" w:cs="宋体"/>
          <w:color w:val="auto"/>
          <w:kern w:val="0"/>
          <w:sz w:val="24"/>
        </w:rPr>
      </w:pPr>
    </w:p>
    <w:p>
      <w:pPr>
        <w:widowControl/>
        <w:shd w:val="clear" w:color="auto" w:fill="FFFFFF"/>
        <w:spacing w:line="440" w:lineRule="exact"/>
        <w:jc w:val="left"/>
        <w:rPr>
          <w:rFonts w:hint="eastAsia" w:ascii="宋体" w:hAnsi="宋体" w:cs="宋体"/>
          <w:sz w:val="24"/>
        </w:rPr>
      </w:pPr>
    </w:p>
    <w:p>
      <w:pPr>
        <w:widowControl/>
        <w:shd w:val="clear" w:color="auto" w:fill="FFFFFF"/>
        <w:spacing w:line="440" w:lineRule="exact"/>
        <w:jc w:val="left"/>
        <w:rPr>
          <w:rFonts w:hint="eastAsia" w:ascii="宋体" w:hAnsi="宋体" w:cs="宋体"/>
          <w:sz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1862D8C"/>
    <w:rsid w:val="277114EB"/>
    <w:rsid w:val="278F6D9F"/>
    <w:rsid w:val="2CD86F31"/>
    <w:rsid w:val="30631BDE"/>
    <w:rsid w:val="359017BD"/>
    <w:rsid w:val="3CD64AF3"/>
    <w:rsid w:val="425305CA"/>
    <w:rsid w:val="4A093BF5"/>
    <w:rsid w:val="4B240862"/>
    <w:rsid w:val="5AF60C89"/>
    <w:rsid w:val="5C911CA6"/>
    <w:rsid w:val="5DA12B58"/>
    <w:rsid w:val="633A5F8A"/>
    <w:rsid w:val="64B84A10"/>
    <w:rsid w:val="6A4D5FB5"/>
    <w:rsid w:val="6C36577D"/>
    <w:rsid w:val="6D060F5D"/>
    <w:rsid w:val="6F767A5C"/>
    <w:rsid w:val="70EA20AA"/>
    <w:rsid w:val="74322A2B"/>
    <w:rsid w:val="77CF0681"/>
    <w:rsid w:val="7C364A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unhideWhenUsed/>
    <w:qFormat/>
    <w:uiPriority w:val="0"/>
    <w:pPr>
      <w:keepNext/>
      <w:keepLines/>
      <w:spacing w:before="260" w:beforeLines="0" w:after="260" w:afterLines="0" w:line="413" w:lineRule="auto"/>
      <w:jc w:val="center"/>
      <w:outlineLvl w:val="1"/>
    </w:pPr>
    <w:rPr>
      <w:rFonts w:ascii="Arial" w:hAnsi="Arial" w:eastAsia="黑体" w:cs="Arial"/>
      <w:b/>
      <w:bCs/>
      <w:sz w:val="30"/>
      <w:szCs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
      <w:bCs/>
      <w:sz w:val="30"/>
      <w:szCs w:val="32"/>
    </w:rPr>
  </w:style>
  <w:style w:type="paragraph" w:customStyle="1" w:styleId="12">
    <w:name w:val="HTML Preformatted"/>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1185</Words>
  <Characters>1235</Characters>
  <Lines>0</Lines>
  <Paragraphs>0</Paragraphs>
  <TotalTime>1</TotalTime>
  <ScaleCrop>false</ScaleCrop>
  <LinksUpToDate>false</LinksUpToDate>
  <CharactersWithSpaces>1465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2024-06-25T06:20:27Z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EBBD61623C734BB0984501BB86564759_13</vt:lpwstr>
  </property>
</Properties>
</file>