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8"/>
          <w:rFonts w:hint="eastAsia" w:ascii="Times New Roman" w:hAnsi="Times New Roman" w:eastAsia="宋体" w:cs="Times New Roman"/>
          <w:lang w:val="en-US" w:eastAsia="zh-CN"/>
        </w:rPr>
      </w:pPr>
      <w:bookmarkStart w:id="0" w:name="_Toc6397"/>
      <w:bookmarkStart w:id="1" w:name="_Toc19478"/>
      <w:r>
        <w:rPr>
          <w:rStyle w:val="8"/>
          <w:rFonts w:hint="eastAsia" w:ascii="Times New Roman" w:hAnsi="Times New Roman" w:eastAsia="宋体" w:cs="Times New Roman"/>
          <w:lang w:val="en-US" w:eastAsia="zh-CN"/>
        </w:rPr>
        <w:t>合同条款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8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甲方：</w:t>
      </w:r>
      <w:r>
        <w:rPr>
          <w:rFonts w:hint="eastAsia" w:ascii="宋体" w:hAnsi="宋体" w:cs="宋体"/>
          <w:color w:val="000000"/>
          <w:sz w:val="24"/>
          <w:szCs w:val="24"/>
        </w:rPr>
        <w:t>西安市奉正塬殡仪馆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08" w:lineRule="auto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乙方：</w:t>
      </w:r>
      <w:r>
        <w:rPr>
          <w:rFonts w:hint="eastAsia" w:ascii="宋体" w:hAnsi="宋体" w:eastAsia="宋体" w:cs="宋体"/>
          <w:color w:val="000000"/>
          <w:kern w:val="0"/>
          <w:sz w:val="24"/>
          <w:u w:val="single"/>
          <w:lang w:val="en-US" w:eastAsia="zh-CN" w:bidi="ar"/>
        </w:rPr>
        <w:t xml:space="preserve">                </w:t>
      </w:r>
      <w:bookmarkStart w:id="18" w:name="_GoBack"/>
      <w:bookmarkEnd w:id="18"/>
      <w:r>
        <w:rPr>
          <w:rFonts w:hint="eastAsia" w:ascii="宋体" w:hAnsi="宋体" w:eastAsia="宋体" w:cs="宋体"/>
          <w:color w:val="000000"/>
          <w:kern w:val="0"/>
          <w:sz w:val="24"/>
          <w:u w:val="singl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textAlignment w:val="auto"/>
        <w:rPr>
          <w:rFonts w:hint="eastAsia" w:ascii="宋体" w:hAnsi="宋体" w:cs="宋体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西安市奉正塬殡仪馆长明灯、钢琴、封棺服务项目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u w:val="none"/>
          <w:lang w:val="en-US" w:eastAsia="zh-CN" w:bidi="ar"/>
        </w:rPr>
        <w:t>包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，由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陕西中裕天腾项目管理有限公司组织竞争性磋商，西安市奉正塬殡仪馆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（以下简称甲方）确定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bidi="ar"/>
        </w:rPr>
        <w:t xml:space="preserve"> （</w:t>
      </w:r>
      <w:r>
        <w:rPr>
          <w:rFonts w:hint="eastAsia" w:ascii="宋体" w:hAnsi="宋体" w:cs="宋体"/>
          <w:kern w:val="0"/>
          <w:sz w:val="24"/>
          <w:u w:val="single"/>
        </w:rPr>
        <w:t>中标单位名称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（以下简称乙方）为该项目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成交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单位。依据《中华人民共和国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民法典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》和《中华人民共和国政府采购法》，经甲、乙双方共同协商，按下述条款和条件签署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本合同。</w:t>
      </w: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ascii="宋体" w:hAnsi="宋体" w:cs="宋体"/>
          <w:b/>
          <w:color w:val="000000"/>
          <w:sz w:val="24"/>
          <w:szCs w:val="24"/>
        </w:rPr>
      </w:pPr>
      <w:bookmarkStart w:id="2" w:name="_Toc19706"/>
      <w:bookmarkStart w:id="3" w:name="_Toc29297"/>
      <w:r>
        <w:rPr>
          <w:rFonts w:hint="eastAsia" w:ascii="宋体" w:hAnsi="宋体" w:cs="宋体"/>
          <w:b/>
          <w:color w:val="000000"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服务内容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：</w:t>
      </w:r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1、服务</w:t>
      </w:r>
      <w:r>
        <w:rPr>
          <w:rFonts w:hint="eastAsia" w:ascii="宋体" w:hAnsi="宋体" w:cs="宋体"/>
          <w:color w:val="000000"/>
          <w:sz w:val="24"/>
          <w:szCs w:val="24"/>
        </w:rPr>
        <w:t>地点：西安市奉正塬殡仪馆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color w:val="000000"/>
          <w:sz w:val="24"/>
          <w:szCs w:val="24"/>
        </w:rPr>
        <w:t>服务期：</w:t>
      </w:r>
      <w:r>
        <w:rPr>
          <w:rFonts w:hint="eastAsia" w:ascii="宋体" w:hAnsi="宋体" w:eastAsia="Times New Roman" w:cs="宋体"/>
          <w:color w:val="000000"/>
          <w:sz w:val="24"/>
          <w:szCs w:val="24"/>
          <w:lang w:val="en-US" w:eastAsia="zh-CN"/>
        </w:rPr>
        <w:t>1年或累计结算金额达到采购预算，以先到达者为准。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3、服务</w:t>
      </w:r>
      <w:r>
        <w:rPr>
          <w:rFonts w:hint="eastAsia" w:ascii="宋体" w:hAnsi="宋体" w:cs="宋体"/>
          <w:color w:val="000000"/>
          <w:sz w:val="24"/>
          <w:szCs w:val="24"/>
        </w:rPr>
        <w:t>要求：符合国家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及行业</w:t>
      </w:r>
      <w:r>
        <w:rPr>
          <w:rFonts w:hint="eastAsia" w:ascii="宋体" w:hAnsi="宋体" w:cs="宋体"/>
          <w:color w:val="000000"/>
          <w:sz w:val="24"/>
          <w:szCs w:val="24"/>
        </w:rPr>
        <w:t>相关规定要求。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ascii="宋体" w:hAnsi="宋体" w:cs="宋体"/>
          <w:b/>
          <w:color w:val="000000"/>
          <w:sz w:val="24"/>
          <w:szCs w:val="24"/>
        </w:rPr>
      </w:pPr>
      <w:bookmarkStart w:id="4" w:name="_Toc20489"/>
      <w:bookmarkStart w:id="5" w:name="_Toc6070"/>
      <w:r>
        <w:rPr>
          <w:rFonts w:hint="eastAsia" w:ascii="宋体" w:hAnsi="宋体" w:cs="宋体"/>
          <w:b/>
          <w:color w:val="000000"/>
          <w:sz w:val="24"/>
          <w:szCs w:val="24"/>
        </w:rPr>
        <w:t>二、合同价款</w:t>
      </w:r>
      <w:bookmarkEnd w:id="4"/>
      <w:bookmarkEnd w:id="5"/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8" w:lineRule="auto"/>
        <w:ind w:firstLine="480" w:firstLineChars="200"/>
        <w:textAlignment w:val="auto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1、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单 价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：人民币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元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/次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其中封棺服务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元/次，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小厅、中厅钢琴伴奏服务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场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大厅钢琴伴奏服务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元/场，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礼厅用长明灯五组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元/场，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礼厅用长明灯一组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元/场，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"/>
        </w:rPr>
        <w:t>礼厅用长明灯一组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元/场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8" w:lineRule="auto"/>
        <w:ind w:firstLine="480" w:firstLineChars="200"/>
        <w:textAlignment w:val="auto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2、合同价款包括完成本项目所需的一切费用。本合同价格为固定价格，包括了乙方履行合同全过程产生的所有成本和费用，以及乙方应承担的一切税费。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ascii="宋体" w:hAnsi="宋体" w:cs="宋体"/>
          <w:b/>
          <w:color w:val="000000"/>
          <w:sz w:val="24"/>
          <w:szCs w:val="24"/>
        </w:rPr>
      </w:pPr>
      <w:bookmarkStart w:id="6" w:name="_Toc23606"/>
      <w:bookmarkStart w:id="7" w:name="_Toc29018"/>
      <w:r>
        <w:rPr>
          <w:rFonts w:hint="eastAsia" w:ascii="宋体" w:hAnsi="宋体" w:cs="宋体"/>
          <w:b/>
          <w:color w:val="000000"/>
          <w:sz w:val="24"/>
          <w:szCs w:val="24"/>
        </w:rPr>
        <w:t>三、款项结算</w:t>
      </w:r>
      <w:bookmarkEnd w:id="6"/>
      <w:bookmarkEnd w:id="7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1、本项目服务期内按月据实结算，实际结算金额将按实际服务数量×中标成交单价，成交单价在服务期限内不可改变。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2、支付方式：银行转账。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3、结算方式：验收合格后，乙方持中标通知书、供货合同、发票、政府采购项目验收单，与甲方进行结算。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4、乙方指定收款账号：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开户行：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户  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pStyle w:val="2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账  号：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hint="eastAsia" w:ascii="宋体" w:hAnsi="宋体" w:cs="宋体"/>
          <w:b/>
          <w:color w:val="000000"/>
          <w:sz w:val="24"/>
          <w:szCs w:val="24"/>
        </w:rPr>
      </w:pPr>
      <w:bookmarkStart w:id="8" w:name="_Toc6876"/>
      <w:bookmarkStart w:id="9" w:name="_Toc22074"/>
      <w:r>
        <w:rPr>
          <w:rFonts w:hint="eastAsia" w:ascii="宋体" w:hAnsi="宋体" w:cs="宋体"/>
          <w:b/>
          <w:color w:val="000000"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技术</w:t>
      </w:r>
      <w:r>
        <w:rPr>
          <w:rFonts w:hint="eastAsia" w:ascii="宋体" w:hAnsi="宋体" w:cs="宋体"/>
          <w:b/>
          <w:color w:val="000000"/>
          <w:sz w:val="24"/>
          <w:szCs w:val="24"/>
        </w:rPr>
        <w:t>要求</w:t>
      </w:r>
      <w:bookmarkEnd w:id="8"/>
      <w:bookmarkEnd w:id="9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bookmarkStart w:id="10" w:name="_Toc3482"/>
      <w:bookmarkStart w:id="11" w:name="_Toc21564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1、乙方</w:t>
      </w:r>
      <w:r>
        <w:rPr>
          <w:rFonts w:hint="eastAsia" w:ascii="宋体" w:hAnsi="宋体" w:cs="宋体"/>
          <w:color w:val="000000"/>
          <w:sz w:val="24"/>
          <w:szCs w:val="24"/>
        </w:rPr>
        <w:t>开展服务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派往甲方的人员，系与乙方建立劳动关系或劳务关系的人员，在合同履行期间，该人员及财物发生的任何损伤损失均由乙方承担全部赔偿责任。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2、乙方开展服务需要的一切</w:t>
      </w:r>
      <w:r>
        <w:rPr>
          <w:rFonts w:hint="eastAsia" w:ascii="宋体" w:hAnsi="宋体" w:cs="宋体"/>
          <w:color w:val="000000"/>
          <w:sz w:val="24"/>
          <w:szCs w:val="24"/>
        </w:rPr>
        <w:t>设备设施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均由乙方自行配备，合同履行期间乙方需负责设备设施的保养维护，并保证设备设施的正常使用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3、因甲方</w:t>
      </w:r>
      <w:r>
        <w:rPr>
          <w:rFonts w:hint="eastAsia" w:ascii="宋体" w:hAnsi="宋体" w:cs="宋体"/>
          <w:color w:val="000000"/>
          <w:sz w:val="24"/>
          <w:szCs w:val="24"/>
        </w:rPr>
        <w:t>工作时间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的特殊性，结合乙方提供各项服务的特点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乙方需</w:t>
      </w:r>
      <w:r>
        <w:rPr>
          <w:rFonts w:hint="eastAsia" w:ascii="宋体" w:hAnsi="宋体" w:cs="宋体"/>
          <w:color w:val="000000"/>
          <w:sz w:val="24"/>
          <w:szCs w:val="24"/>
        </w:rPr>
        <w:t>派专业团队驻馆，保证365天此项业务的正常开展。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3、封棺服务要求：①致密性好，不易渗漏；②密封材料对密封表面和所密封的介质具有良好的化学稳定性，即不腐蚀被密封面，不污染所密封的介质；③密封材料环保。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4、钢琴服务要求：单人弹奏（钢琴专业十级证书）每场不少于15分钟，可选择曲目不少于10首。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5、长明灯服务要求：灯饰不少于10组造型（如仙鹤灯、花瓶灯、方柱灯、圆柱灯、怀念灯、龙柱灯、一路走好灯、泣泪滂沱灯、麒麟灯、立柱莲花灯等）。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、运输</w:t>
      </w:r>
      <w:bookmarkEnd w:id="10"/>
      <w:bookmarkEnd w:id="11"/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安装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本合同项下服务项目需要的</w:t>
      </w:r>
      <w:r>
        <w:rPr>
          <w:rFonts w:hint="eastAsia" w:ascii="宋体" w:hAnsi="宋体" w:cs="宋体"/>
          <w:color w:val="000000"/>
          <w:sz w:val="24"/>
          <w:szCs w:val="24"/>
        </w:rPr>
        <w:t>包括从货物供应地点运送至交货地点所含的运输费、装卸费、仓储费、安装费、保险费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税费</w:t>
      </w:r>
      <w:r>
        <w:rPr>
          <w:rFonts w:hint="eastAsia" w:ascii="宋体" w:hAnsi="宋体" w:cs="宋体"/>
          <w:color w:val="000000"/>
          <w:sz w:val="24"/>
          <w:szCs w:val="24"/>
        </w:rPr>
        <w:t>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所有费用均</w:t>
      </w:r>
      <w:r>
        <w:rPr>
          <w:rFonts w:hint="eastAsia" w:ascii="宋体" w:hAnsi="宋体" w:cs="宋体"/>
          <w:color w:val="000000"/>
          <w:sz w:val="24"/>
          <w:szCs w:val="24"/>
        </w:rPr>
        <w:t>由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cs="宋体"/>
          <w:color w:val="000000"/>
          <w:sz w:val="24"/>
          <w:szCs w:val="24"/>
        </w:rPr>
        <w:t>负责，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以上费用</w:t>
      </w:r>
      <w:r>
        <w:rPr>
          <w:rFonts w:hint="eastAsia" w:ascii="宋体" w:hAnsi="宋体" w:cs="宋体"/>
          <w:color w:val="000000"/>
          <w:sz w:val="24"/>
          <w:szCs w:val="24"/>
        </w:rPr>
        <w:t>已包含在合同总价内。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8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</w:pPr>
      <w:bookmarkStart w:id="12" w:name="_Toc22774"/>
      <w:bookmarkStart w:id="13" w:name="_Toc25364"/>
      <w:r>
        <w:rPr>
          <w:rFonts w:hint="eastAsia" w:ascii="宋体" w:hAnsi="宋体" w:eastAsia="宋体" w:cs="宋体"/>
          <w:b/>
          <w:bCs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争议的解决方式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8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本合同履行过程中发生争议，由双方协商解决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协商或者调解不成的，按下列第2种方式解决：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8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</w:pPr>
      <w:r>
        <w:rPr>
          <w:rFonts w:hint="eastAsia" w:ascii="宋体" w:hAnsi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提交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single"/>
          <w:lang w:val="en-US" w:eastAsia="zh-CN"/>
        </w:rPr>
        <w:t>合同签订地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仲裁委员会仲裁；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8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2、依法向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single"/>
          <w:lang w:val="en-US" w:eastAsia="zh-CN"/>
        </w:rPr>
        <w:t>甲方所在地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人民法院起诉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、违约责任</w:t>
      </w:r>
      <w:bookmarkEnd w:id="12"/>
      <w:bookmarkEnd w:id="13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4" w:name="_Toc10161"/>
      <w:bookmarkStart w:id="15" w:name="_Toc1130"/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未全面履行合同义务或者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乙方提供服务致使甲方或第三人损失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有权终止合同，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乙方须赔偿全部损失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支付甲方已支付价款30%的违约金，同时</w:t>
      </w:r>
      <w:r>
        <w:rPr>
          <w:rFonts w:hint="eastAsia" w:ascii="宋体" w:hAnsi="宋体" w:eastAsia="宋体" w:cs="宋体"/>
          <w:sz w:val="24"/>
          <w:szCs w:val="24"/>
        </w:rPr>
        <w:t>报请政府采购监督管理机关进行相应的行政处罚。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jc w:val="left"/>
        <w:textAlignment w:val="auto"/>
        <w:outlineLvl w:val="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、合同</w:t>
      </w:r>
      <w:bookmarkEnd w:id="14"/>
      <w:bookmarkEnd w:id="15"/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生效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8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合同一式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份，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甲乙双方各</w:t>
      </w:r>
      <w:r>
        <w:rPr>
          <w:rFonts w:hint="eastAsia" w:ascii="宋体" w:hAnsi="宋体" w:cs="宋体"/>
          <w:color w:val="000000"/>
          <w:sz w:val="24"/>
          <w:szCs w:val="24"/>
        </w:rPr>
        <w:t>执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2份，</w:t>
      </w:r>
      <w:r>
        <w:rPr>
          <w:rFonts w:hint="eastAsia" w:ascii="宋体" w:hAnsi="宋体" w:cs="宋体"/>
          <w:color w:val="000000"/>
          <w:sz w:val="24"/>
          <w:szCs w:val="24"/>
        </w:rPr>
        <w:t>代理机构执1份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snapToGrid/>
          <w:color w:val="000000"/>
          <w:spacing w:val="0"/>
          <w:w w:val="100"/>
          <w:kern w:val="0"/>
          <w:sz w:val="24"/>
          <w:szCs w:val="24"/>
          <w:u w:val="none"/>
        </w:rPr>
        <w:t>具有同等法律效力，自双方当事人签字或者盖章之日起生效。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textAlignment w:val="auto"/>
        <w:outlineLvl w:val="0"/>
        <w:rPr>
          <w:rFonts w:ascii="宋体" w:hAnsi="宋体" w:cs="宋体"/>
          <w:b/>
          <w:color w:val="000000"/>
          <w:sz w:val="24"/>
          <w:szCs w:val="24"/>
        </w:rPr>
      </w:pPr>
      <w:bookmarkStart w:id="16" w:name="_Toc15104"/>
      <w:bookmarkStart w:id="17" w:name="_Toc18387"/>
      <w:r>
        <w:rPr>
          <w:rFonts w:hint="eastAsia" w:ascii="宋体" w:hAnsi="宋体" w:cs="宋体"/>
          <w:b/>
          <w:color w:val="000000"/>
          <w:sz w:val="24"/>
          <w:szCs w:val="24"/>
        </w:rPr>
        <w:t>十、其他</w:t>
      </w:r>
      <w:bookmarkEnd w:id="16"/>
      <w:bookmarkEnd w:id="17"/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408" w:lineRule="auto"/>
        <w:ind w:firstLine="48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未尽事宜由双方在签订合同时具体明确。</w:t>
      </w:r>
    </w:p>
    <w:tbl>
      <w:tblPr>
        <w:tblStyle w:val="6"/>
        <w:tblpPr w:leftFromText="180" w:rightFromText="180" w:vertAnchor="text" w:horzAnchor="page" w:tblpX="1485" w:tblpY="314"/>
        <w:tblOverlap w:val="never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7"/>
        <w:gridCol w:w="3186"/>
        <w:gridCol w:w="28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867" w:type="dxa"/>
            <w:shd w:val="clear" w:color="auto" w:fill="D7D7D7"/>
            <w:noWrap w:val="0"/>
            <w:vAlign w:val="top"/>
          </w:tcPr>
          <w:p>
            <w:pPr>
              <w:pStyle w:val="10"/>
              <w:tabs>
                <w:tab w:val="left" w:pos="490"/>
              </w:tabs>
              <w:spacing w:before="80"/>
              <w:ind w:left="1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甲</w:t>
            </w:r>
            <w:r>
              <w:rPr>
                <w:rFonts w:hint="eastAsia" w:ascii="宋体" w:hAnsi="宋体" w:cs="宋体"/>
                <w:b/>
                <w:sz w:val="24"/>
              </w:rPr>
              <w:tab/>
            </w:r>
            <w:r>
              <w:rPr>
                <w:rFonts w:hint="eastAsia" w:ascii="宋体" w:hAnsi="宋体" w:cs="宋体"/>
                <w:b/>
                <w:sz w:val="24"/>
              </w:rPr>
              <w:t>方</w:t>
            </w:r>
          </w:p>
        </w:tc>
        <w:tc>
          <w:tcPr>
            <w:tcW w:w="3186" w:type="dxa"/>
            <w:shd w:val="clear" w:color="auto" w:fill="D7D7D7"/>
            <w:noWrap w:val="0"/>
            <w:vAlign w:val="top"/>
          </w:tcPr>
          <w:p>
            <w:pPr>
              <w:pStyle w:val="10"/>
              <w:tabs>
                <w:tab w:val="left" w:pos="490"/>
              </w:tabs>
              <w:spacing w:before="80"/>
              <w:ind w:left="1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乙</w:t>
            </w:r>
            <w:r>
              <w:rPr>
                <w:rFonts w:hint="eastAsia" w:ascii="宋体" w:hAnsi="宋体" w:cs="宋体"/>
                <w:b/>
                <w:sz w:val="24"/>
              </w:rPr>
              <w:tab/>
            </w:r>
            <w:r>
              <w:rPr>
                <w:rFonts w:hint="eastAsia" w:ascii="宋体" w:hAnsi="宋体" w:cs="宋体"/>
                <w:b/>
                <w:sz w:val="24"/>
              </w:rPr>
              <w:t>方</w:t>
            </w:r>
          </w:p>
        </w:tc>
        <w:tc>
          <w:tcPr>
            <w:tcW w:w="2889" w:type="dxa"/>
            <w:shd w:val="clear" w:color="auto" w:fill="D7D7D7"/>
            <w:noWrap w:val="0"/>
            <w:vAlign w:val="top"/>
          </w:tcPr>
          <w:p>
            <w:pPr>
              <w:pStyle w:val="10"/>
              <w:spacing w:before="80"/>
              <w:ind w:left="963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鉴 证 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183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采购人</w:t>
            </w:r>
          </w:p>
          <w:p>
            <w:pPr>
              <w:pStyle w:val="10"/>
              <w:spacing w:before="160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（公章）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183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成交单位</w:t>
            </w:r>
          </w:p>
          <w:p>
            <w:pPr>
              <w:pStyle w:val="10"/>
              <w:spacing w:before="160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（公章）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6"/>
              <w:rPr>
                <w:rFonts w:hint="eastAsia" w:ascii="宋体" w:hAnsi="宋体" w:cs="宋体"/>
                <w:sz w:val="32"/>
              </w:rPr>
            </w:pPr>
          </w:p>
          <w:p>
            <w:pPr>
              <w:pStyle w:val="10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采购代理机构（公章）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0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0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0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0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0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0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2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2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2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1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负责人：（签字）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1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负责人：（签字）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1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负责人：（签字）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1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1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1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spacing w:before="81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1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spacing w:before="81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cs="宋体"/>
              </w:rPr>
            </w:pP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0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cs="宋体"/>
              </w:rPr>
            </w:pP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spacing w:before="80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账号：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7" w:type="dxa"/>
            <w:noWrap w:val="0"/>
            <w:vAlign w:val="top"/>
          </w:tcPr>
          <w:p>
            <w:pPr>
              <w:pStyle w:val="10"/>
              <w:tabs>
                <w:tab w:val="left" w:pos="1186"/>
                <w:tab w:val="left" w:pos="1666"/>
                <w:tab w:val="left" w:pos="2146"/>
              </w:tabs>
              <w:spacing w:before="82"/>
              <w:ind w:left="106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3186" w:type="dxa"/>
            <w:noWrap w:val="0"/>
            <w:vAlign w:val="top"/>
          </w:tcPr>
          <w:p>
            <w:pPr>
              <w:pStyle w:val="10"/>
              <w:tabs>
                <w:tab w:val="left" w:pos="1187"/>
                <w:tab w:val="left" w:pos="1667"/>
                <w:tab w:val="left" w:pos="2147"/>
              </w:tabs>
              <w:spacing w:before="82"/>
              <w:ind w:left="107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2889" w:type="dxa"/>
            <w:noWrap w:val="0"/>
            <w:vAlign w:val="top"/>
          </w:tcPr>
          <w:p>
            <w:pPr>
              <w:pStyle w:val="10"/>
              <w:tabs>
                <w:tab w:val="left" w:pos="1188"/>
                <w:tab w:val="left" w:pos="1668"/>
                <w:tab w:val="left" w:pos="2148"/>
              </w:tabs>
              <w:spacing w:before="82"/>
              <w:ind w:left="10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FEE6031"/>
    <w:rsid w:val="1AC66C13"/>
    <w:rsid w:val="7F74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="Times New Roman" w:hAnsi="Times New Roman"/>
      <w:b/>
      <w:kern w:val="44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link w:val="3"/>
    <w:qFormat/>
    <w:uiPriority w:val="0"/>
    <w:rPr>
      <w:rFonts w:ascii="Times New Roman" w:hAnsi="Times New Roman"/>
      <w:b/>
      <w:kern w:val="44"/>
      <w:sz w:val="32"/>
    </w:rPr>
  </w:style>
  <w:style w:type="paragraph" w:customStyle="1" w:styleId="9">
    <w:name w:val="正文（缩进 2 字符）"/>
    <w:basedOn w:val="1"/>
    <w:qFormat/>
    <w:uiPriority w:val="0"/>
    <w:pPr>
      <w:ind w:firstLine="200" w:firstLineChars="200"/>
    </w:pPr>
  </w:style>
  <w:style w:type="paragraph" w:customStyle="1" w:styleId="10">
    <w:name w:val="Table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0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1453</Words>
  <Characters>1460</Characters>
  <Lines>0</Lines>
  <Paragraphs>0</Paragraphs>
  <TotalTime>47</TotalTime>
  <ScaleCrop>false</ScaleCrop>
  <LinksUpToDate>false</LinksUpToDate>
  <CharactersWithSpaces>1576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2024-06-20T03:26:00Z</dcterms:created>
  <dc:creator>47393</dc:creator>
  <cp:lastModifiedBy>快乐猫</cp:lastModifiedBy>
  <dcterms:modified xsi:type="dcterms:W3CDTF">2024-06-25T06:16:23Z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0A9E49FF8AFC400EA3CF76D5FEEDF6F3_13</vt:lpwstr>
  </property>
</Properties>
</file>