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24"/>
          <w:szCs w:val="24"/>
        </w:rPr>
      </w:pPr>
      <w:bookmarkStart w:id="1" w:name="_GoBack"/>
      <w:bookmarkEnd w:id="1"/>
      <w:r>
        <w:rPr>
          <w:rFonts w:hint="eastAsia" w:ascii="仿宋" w:hAnsi="仿宋" w:eastAsia="仿宋" w:cs="仿宋"/>
          <w:b/>
          <w:bCs/>
          <w:sz w:val="24"/>
          <w:szCs w:val="24"/>
        </w:rPr>
        <w:t>服务内容及要求</w:t>
      </w:r>
    </w:p>
    <w:p>
      <w:pPr>
        <w:spacing w:line="460" w:lineRule="exact"/>
        <w:ind w:firstLine="420"/>
        <w:rPr>
          <w:rFonts w:hint="eastAsia" w:ascii="仿宋" w:hAnsi="仿宋" w:eastAsia="仿宋" w:cs="仿宋"/>
          <w:b/>
          <w:bCs/>
          <w:sz w:val="24"/>
          <w:szCs w:val="24"/>
        </w:rPr>
      </w:pPr>
      <w:r>
        <w:rPr>
          <w:rFonts w:hint="eastAsia" w:ascii="仿宋" w:hAnsi="仿宋" w:eastAsia="仿宋" w:cs="仿宋"/>
          <w:b/>
          <w:bCs/>
          <w:sz w:val="24"/>
          <w:szCs w:val="24"/>
        </w:rPr>
        <w:t>一、项目概况</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西安市不动产登记信息管理平台，为市本级办事大厅和周边区县、开发区提供房屋类不动产登记、档案查询业务等业务。平台部署于西安市电子政务机房，承载全市不动产登记、查询、抵押登记等业务，市各本级大厅、各区县开发区工作窗口通过电子政务内网进行业务办理。为保证数据安全，建有浐灞机房作为备份机房，承载业务系统备份、业务开发、测试业务。不动产登记系统结构复杂，而且业务系统具有数据唯一性，安全级别高，业务压力大，业务不可间断等特点。一旦业务由于某种原因中断、瘫痪或者数据错误所带来的影响，将对广大市民提供的服务和政府的日常工作造成严重的影响，甚至造成不可估量的损失。</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为了保障软硬件及整套系统的正常工作及全市不动产登记业务的可靠性和连续性，需要有专业技术能力及服务经验的运维服务供应商来承担不动产登记信息管理平台基础设施的网络、安全等维护工作，并对云平台、存储、服务器、交换机、杀毒软件、安全设备、UPS空调等相关设备的质保、备件等进行采购。</w:t>
      </w:r>
    </w:p>
    <w:p>
      <w:pPr>
        <w:spacing w:line="460" w:lineRule="exact"/>
        <w:ind w:firstLine="420"/>
        <w:rPr>
          <w:rFonts w:hint="eastAsia" w:ascii="仿宋" w:hAnsi="仿宋" w:eastAsia="仿宋" w:cs="仿宋"/>
          <w:b/>
          <w:bCs/>
          <w:sz w:val="24"/>
          <w:szCs w:val="24"/>
        </w:rPr>
      </w:pPr>
      <w:r>
        <w:rPr>
          <w:rFonts w:hint="eastAsia" w:ascii="仿宋" w:hAnsi="仿宋" w:eastAsia="仿宋" w:cs="仿宋"/>
          <w:b/>
          <w:bCs/>
          <w:sz w:val="24"/>
          <w:szCs w:val="24"/>
        </w:rPr>
        <w:t>二、服务范围</w:t>
      </w:r>
    </w:p>
    <w:p>
      <w:pPr>
        <w:spacing w:line="460" w:lineRule="exact"/>
        <w:ind w:firstLine="420"/>
        <w:rPr>
          <w:rFonts w:hint="eastAsia" w:ascii="仿宋" w:hAnsi="仿宋" w:eastAsia="仿宋" w:cs="仿宋"/>
          <w:sz w:val="24"/>
          <w:szCs w:val="24"/>
          <w:highlight w:val="yellow"/>
        </w:rPr>
      </w:pPr>
      <w:r>
        <w:rPr>
          <w:rFonts w:hint="eastAsia" w:ascii="仿宋" w:hAnsi="仿宋" w:eastAsia="仿宋" w:cs="仿宋"/>
          <w:sz w:val="24"/>
          <w:szCs w:val="24"/>
        </w:rPr>
        <w:t>服务范围包括不动产政务办机房云平台、不动产浐灞机房、重庆备份机房。</w:t>
      </w:r>
    </w:p>
    <w:p>
      <w:pPr>
        <w:jc w:val="center"/>
        <w:rPr>
          <w:rFonts w:hint="eastAsia" w:ascii="仿宋" w:hAnsi="仿宋" w:eastAsia="仿宋" w:cs="仿宋"/>
          <w:b/>
          <w:bCs/>
          <w:sz w:val="24"/>
          <w:szCs w:val="24"/>
        </w:rPr>
      </w:pPr>
      <w:r>
        <w:rPr>
          <w:rFonts w:hint="eastAsia" w:ascii="仿宋" w:hAnsi="仿宋" w:eastAsia="仿宋" w:cs="仿宋"/>
          <w:b/>
          <w:bCs/>
          <w:sz w:val="24"/>
          <w:szCs w:val="24"/>
        </w:rPr>
        <w:t>政务办生产机房云平台运维设备清单</w:t>
      </w:r>
    </w:p>
    <w:p>
      <w:pPr>
        <w:rPr>
          <w:rFonts w:hint="eastAsia" w:ascii="仿宋" w:hAnsi="仿宋" w:eastAsia="仿宋" w:cs="仿宋"/>
          <w:b/>
          <w:bCs/>
          <w:sz w:val="24"/>
          <w:szCs w:val="24"/>
        </w:rPr>
      </w:pPr>
      <w:r>
        <w:rPr>
          <w:rFonts w:hint="eastAsia" w:ascii="仿宋" w:hAnsi="仿宋" w:eastAsia="仿宋" w:cs="仿宋"/>
          <w:b/>
          <w:bCs/>
          <w:sz w:val="24"/>
          <w:szCs w:val="24"/>
        </w:rPr>
        <w:t>（1）政务内网设备清单</w:t>
      </w:r>
    </w:p>
    <w:tbl>
      <w:tblPr>
        <w:tblStyle w:val="4"/>
        <w:tblW w:w="8560" w:type="dxa"/>
        <w:jc w:val="center"/>
        <w:tblLayout w:type="fixed"/>
        <w:tblCellMar>
          <w:top w:w="0" w:type="dxa"/>
          <w:left w:w="108" w:type="dxa"/>
          <w:bottom w:w="0" w:type="dxa"/>
          <w:right w:w="108" w:type="dxa"/>
        </w:tblCellMar>
      </w:tblPr>
      <w:tblGrid>
        <w:gridCol w:w="562"/>
        <w:gridCol w:w="2668"/>
        <w:gridCol w:w="2719"/>
        <w:gridCol w:w="709"/>
        <w:gridCol w:w="708"/>
        <w:gridCol w:w="1194"/>
      </w:tblGrid>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设备名称</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型号</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数量</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质保情况</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华为S7706</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存储（云平台存储）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华为5500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3</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存储（数据库存储）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华为5500 V5</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4</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光纤交换机</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华为SNS2248</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5</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光纤交换机</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华为SNS2124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6</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虚拟化服务器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华为RH5885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7</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7</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控制服务器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华为RH2288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3</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8</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仲裁服务器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华为RH2288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9</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仲裁服务器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华为RH1288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10</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负载均衡</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深信服AD-1000-D620-XS</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11</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防火墙</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深信服AF-9020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12</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入侵防御系统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启明星辰NGIPS8000-S-R</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13</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入侵检测系统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启明星辰NT3000-LT-SRP-L</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3"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漏洞扫描系统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启明星辰TJCS-NS-L</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540"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数据库安全审计系统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启明星辰GE1500ER-GL</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ind w:firstLine="240" w:firstLineChars="100"/>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堡垒机</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启明星辰OSM-3600-S-T</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安全管理平台</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启明星辰TSOC-USM-SW</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主机安全加固</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优炫RS-CDPS</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云平台系统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华为FusionSphere</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归集数据库服务器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华为RH2288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核心数据库服务器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浪潮NF8460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22</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房管交易共享服务器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浪潮NF8465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数据归集数据库服务器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华为RH5885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安全认证网关</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格尔SRJ1505</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数字证书认证系统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格尔SZT0901</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潜伏威胁探针系统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STA 100-B2150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数据库审计系统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闪捷Smart3350-A</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终端安全管理系统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深信服aES</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房管交易共享服务器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/浪潮NF8460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IBM X3650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bl>
    <w:p>
      <w:pPr>
        <w:rPr>
          <w:rFonts w:hint="eastAsia" w:ascii="仿宋" w:hAnsi="仿宋" w:eastAsia="仿宋" w:cs="仿宋"/>
          <w:b/>
          <w:bCs/>
          <w:sz w:val="24"/>
          <w:szCs w:val="24"/>
        </w:rPr>
      </w:pPr>
      <w:r>
        <w:rPr>
          <w:rFonts w:hint="eastAsia" w:ascii="仿宋" w:hAnsi="仿宋" w:eastAsia="仿宋" w:cs="仿宋"/>
          <w:b/>
          <w:bCs/>
          <w:sz w:val="24"/>
          <w:szCs w:val="24"/>
        </w:rPr>
        <w:t>（2）政务外网设备清单</w:t>
      </w:r>
    </w:p>
    <w:tbl>
      <w:tblPr>
        <w:tblStyle w:val="4"/>
        <w:tblW w:w="8571" w:type="dxa"/>
        <w:jc w:val="center"/>
        <w:tblLayout w:type="fixed"/>
        <w:tblCellMar>
          <w:top w:w="0" w:type="dxa"/>
          <w:left w:w="108" w:type="dxa"/>
          <w:bottom w:w="0" w:type="dxa"/>
          <w:right w:w="108" w:type="dxa"/>
        </w:tblCellMar>
      </w:tblPr>
      <w:tblGrid>
        <w:gridCol w:w="555"/>
        <w:gridCol w:w="2624"/>
        <w:gridCol w:w="2765"/>
        <w:gridCol w:w="689"/>
        <w:gridCol w:w="700"/>
        <w:gridCol w:w="1238"/>
      </w:tblGrid>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设备名称</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型号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数量</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质保情况</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外网应用服务器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华为RH2288 V3</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外网光纤交换机</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华为SNS2124</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3</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外网存储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华为5300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4</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外网微信服务器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DELL PowerEdge R730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5</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外网数据库服务器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 RH5885 V3</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6</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外网数据库服务器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 5885H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7</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光纤交换机</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Changhong6505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8</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数据库存储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OceanStor5310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9</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云平台控制节点服务器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Taishan 200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3</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10</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云平台计算节点服务器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华为2288H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6</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11</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分布式存储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华为FusionStorage</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4</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12</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安全感知平台</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深信服SIP 1000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13</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潜伏威胁探针系统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深信服STA 100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云安全服务平台</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深信服</w:t>
            </w:r>
            <w:r>
              <w:rPr>
                <w:rFonts w:hint="eastAsia" w:ascii="仿宋" w:hAnsi="仿宋" w:eastAsia="仿宋" w:cs="仿宋"/>
                <w:color w:val="000000"/>
                <w:sz w:val="24"/>
                <w:szCs w:val="24"/>
              </w:rPr>
              <w:t>SdSec 1000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539"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认证网关</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格尔SRJ1505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数据证书认证系统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格尔SZT0901</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应用交付网关</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深信服AD 1000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边界安全网关</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 2000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数据脱敏</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闪捷DDM5000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服务器接入交换机</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华为S7706</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安全隔离与信息交换系统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启明星辰天清GAP-6000-2650BD</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安全隔离与单向导入系统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天融信FR-82216-RB</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外网房管交易共享服务器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 2288H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外网房管交易共享服务器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 2288H V3</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数据库防火墙</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闪捷 Smart X3350-F</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321"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云平台计算节点服务器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超聚变2288H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分布式存储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AS13000G5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终端安全管理系统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深信服AES</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WEB应用防火墙</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长亭雷池Web应用防火墙</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终端数据防泄漏</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闪捷DLP Server5000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31</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数据库审计系统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安华金和DAS2000A</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bl>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r>
        <w:rPr>
          <w:rFonts w:hint="eastAsia" w:ascii="仿宋" w:hAnsi="仿宋" w:eastAsia="仿宋" w:cs="仿宋"/>
          <w:b/>
          <w:bCs/>
          <w:sz w:val="24"/>
          <w:szCs w:val="24"/>
        </w:rPr>
        <w:t>浐灞备份机房运维清单</w:t>
      </w:r>
    </w:p>
    <w:p>
      <w:pPr>
        <w:rPr>
          <w:rFonts w:hint="eastAsia" w:ascii="仿宋" w:hAnsi="仿宋" w:eastAsia="仿宋" w:cs="仿宋"/>
          <w:b/>
          <w:bCs/>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t>（1）机房设备清单</w:t>
      </w:r>
    </w:p>
    <w:tbl>
      <w:tblPr>
        <w:tblStyle w:val="4"/>
        <w:tblW w:w="8500" w:type="dxa"/>
        <w:jc w:val="center"/>
        <w:tblLayout w:type="fixed"/>
        <w:tblCellMar>
          <w:top w:w="0" w:type="dxa"/>
          <w:left w:w="108" w:type="dxa"/>
          <w:bottom w:w="0" w:type="dxa"/>
          <w:right w:w="108" w:type="dxa"/>
        </w:tblCellMar>
      </w:tblPr>
      <w:tblGrid>
        <w:gridCol w:w="704"/>
        <w:gridCol w:w="2410"/>
        <w:gridCol w:w="2835"/>
        <w:gridCol w:w="709"/>
        <w:gridCol w:w="615"/>
        <w:gridCol w:w="1227"/>
      </w:tblGrid>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货物名称</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质保情况</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核心交换机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华为S7706</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服务器接入交换机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华为S6720-26Q-SI-24S-AC</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办公汇聚交换机（接入）</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华为S5720-28X-SI-24S-AC</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接入交换机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华为S5720-28P-LI-AC</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备份系统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火星舱企业级备份软件</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华为RH2288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政务内网互联安全网关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360网神防火墙系统 (硬件型号：NSG5000-TG30M-Q)</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互联网办公接入防火墙</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360网神防火墙系统  (硬件型号：NSG3000-TE15P-Q)</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入侵检测系统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绿盟网络入侵检测系统（硬件型号：NIDSNX3）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杀毒软件</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360天擎终端安全管理系统</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政务外网互联安全网关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深信服防火墙（硬件型号AF-1000-L4570）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浪潮AS5600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光纤交换机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浪潮FS500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办公汇聚交换机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H3C S7003E</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服务器管理防火墙</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深信服防火墙（硬件型号AF-1000-A400）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测试服务器</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Ibm X3650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动环监测服务器</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Ibm X3650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潜伏威胁探针系统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STA 100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内网安全感知平台</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SIP 1000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深信服防火墙（硬件型号AF-1000-B1600-MH）</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食堂接入交换机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 S5720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视频监控服务器</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身份认证管理平台</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 atrust-1000 B1030M</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备份容灾一体机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闪捷DBU3210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数据备份与恢复系统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闪捷</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政务外网互联安全网关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深信服AF1000-L2200-ZL</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互联网互联安全网关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深信服AF1000-L2200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隔离安全网关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深信服AF1000-L2200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应用交付网关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深信服AD-1000-B1800-LV</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安全隔离与信息交换系统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网御星云SIS-3000-AK</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31</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上网行为管理系统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深信服AC-1000-L1500-LZ</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楼层接入交换机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华为S5720-28P-LI</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bl>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b/>
          <w:bCs/>
          <w:sz w:val="24"/>
          <w:szCs w:val="24"/>
        </w:rPr>
      </w:pPr>
      <w:bookmarkStart w:id="0" w:name="_Toc60917099"/>
      <w:r>
        <w:rPr>
          <w:rFonts w:hint="eastAsia" w:ascii="仿宋" w:hAnsi="仿宋" w:eastAsia="仿宋" w:cs="仿宋"/>
          <w:b/>
          <w:bCs/>
          <w:sz w:val="24"/>
          <w:szCs w:val="24"/>
        </w:rPr>
        <w:t>（2）机房基础设施</w:t>
      </w:r>
      <w:bookmarkEnd w:id="0"/>
      <w:r>
        <w:rPr>
          <w:rFonts w:hint="eastAsia" w:ascii="仿宋" w:hAnsi="仿宋" w:eastAsia="仿宋" w:cs="仿宋"/>
          <w:b/>
          <w:bCs/>
          <w:sz w:val="24"/>
          <w:szCs w:val="24"/>
        </w:rPr>
        <w:t>清单</w:t>
      </w:r>
    </w:p>
    <w:tbl>
      <w:tblPr>
        <w:tblStyle w:val="4"/>
        <w:tblW w:w="8512" w:type="dxa"/>
        <w:tblInd w:w="257" w:type="dxa"/>
        <w:tblLayout w:type="fixed"/>
        <w:tblCellMar>
          <w:top w:w="0" w:type="dxa"/>
          <w:left w:w="108" w:type="dxa"/>
          <w:bottom w:w="0" w:type="dxa"/>
          <w:right w:w="108" w:type="dxa"/>
        </w:tblCellMar>
      </w:tblPr>
      <w:tblGrid>
        <w:gridCol w:w="700"/>
        <w:gridCol w:w="2423"/>
        <w:gridCol w:w="2833"/>
        <w:gridCol w:w="711"/>
        <w:gridCol w:w="611"/>
        <w:gridCol w:w="1234"/>
      </w:tblGrid>
      <w:tr>
        <w:tblPrEx>
          <w:tblCellMar>
            <w:top w:w="0" w:type="dxa"/>
            <w:left w:w="108" w:type="dxa"/>
            <w:bottom w:w="0" w:type="dxa"/>
            <w:right w:w="108" w:type="dxa"/>
          </w:tblCellMar>
        </w:tblPrEx>
        <w:trPr>
          <w:trHeight w:val="320"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货物名称</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规格型号</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数量</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质保情况</w:t>
            </w:r>
          </w:p>
        </w:tc>
      </w:tr>
      <w:tr>
        <w:tblPrEx>
          <w:tblCellMar>
            <w:top w:w="0" w:type="dxa"/>
            <w:left w:w="108" w:type="dxa"/>
            <w:bottom w:w="0" w:type="dxa"/>
            <w:right w:w="108" w:type="dxa"/>
          </w:tblCellMar>
        </w:tblPrEx>
        <w:trPr>
          <w:trHeight w:val="342"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UPS主机</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英威腾RM150</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服务器区列间空调</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英威腾</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网络接入区列间空调</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英威腾</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动力环境监控系统</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英威腾</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消防系统</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海湾</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液晶拼接屏系统</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博创</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视频监控系统</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海康</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bl>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r>
        <w:rPr>
          <w:rFonts w:hint="eastAsia" w:ascii="仿宋" w:hAnsi="仿宋" w:eastAsia="仿宋" w:cs="仿宋"/>
          <w:b/>
          <w:bCs/>
          <w:sz w:val="24"/>
          <w:szCs w:val="24"/>
        </w:rPr>
        <w:t>重庆备份机房运维设备清单</w:t>
      </w:r>
    </w:p>
    <w:p>
      <w:pPr>
        <w:ind w:firstLine="420"/>
        <w:rPr>
          <w:rFonts w:hint="eastAsia" w:ascii="仿宋" w:hAnsi="仿宋" w:eastAsia="仿宋" w:cs="仿宋"/>
          <w:b/>
          <w:bCs/>
          <w:sz w:val="24"/>
          <w:szCs w:val="24"/>
        </w:rPr>
      </w:pPr>
      <w:r>
        <w:rPr>
          <w:rFonts w:hint="eastAsia" w:ascii="仿宋" w:hAnsi="仿宋" w:eastAsia="仿宋" w:cs="仿宋"/>
          <w:b/>
          <w:bCs/>
          <w:sz w:val="24"/>
          <w:szCs w:val="24"/>
        </w:rPr>
        <w:t>设备清单</w:t>
      </w:r>
    </w:p>
    <w:tbl>
      <w:tblPr>
        <w:tblStyle w:val="4"/>
        <w:tblW w:w="8512" w:type="dxa"/>
        <w:tblInd w:w="257" w:type="dxa"/>
        <w:tblLayout w:type="fixed"/>
        <w:tblCellMar>
          <w:top w:w="0" w:type="dxa"/>
          <w:left w:w="108" w:type="dxa"/>
          <w:bottom w:w="0" w:type="dxa"/>
          <w:right w:w="108" w:type="dxa"/>
        </w:tblCellMar>
      </w:tblPr>
      <w:tblGrid>
        <w:gridCol w:w="700"/>
        <w:gridCol w:w="2423"/>
        <w:gridCol w:w="2833"/>
        <w:gridCol w:w="711"/>
        <w:gridCol w:w="611"/>
        <w:gridCol w:w="1234"/>
      </w:tblGrid>
      <w:tr>
        <w:tblPrEx>
          <w:tblCellMar>
            <w:top w:w="0" w:type="dxa"/>
            <w:left w:w="108" w:type="dxa"/>
            <w:bottom w:w="0" w:type="dxa"/>
            <w:right w:w="108" w:type="dxa"/>
          </w:tblCellMar>
        </w:tblPrEx>
        <w:trPr>
          <w:trHeight w:val="320"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货物名称</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规格型号</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数量</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质保情况</w:t>
            </w:r>
          </w:p>
        </w:tc>
      </w:tr>
      <w:tr>
        <w:tblPrEx>
          <w:tblCellMar>
            <w:top w:w="0" w:type="dxa"/>
            <w:left w:w="108" w:type="dxa"/>
            <w:bottom w:w="0" w:type="dxa"/>
            <w:right w:w="108" w:type="dxa"/>
          </w:tblCellMar>
        </w:tblPrEx>
        <w:trPr>
          <w:trHeight w:val="342"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虚拟化服务器</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深信服aServer-R-2105</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深信服AF-1000-B1510</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异地备份软件</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闪捷DBU-SK</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bl>
    <w:p>
      <w:pPr>
        <w:pStyle w:val="6"/>
        <w:rPr>
          <w:rFonts w:hint="eastAsia" w:ascii="仿宋" w:hAnsi="仿宋" w:eastAsia="仿宋" w:cs="仿宋"/>
          <w:sz w:val="24"/>
          <w:szCs w:val="24"/>
        </w:rPr>
      </w:pPr>
    </w:p>
    <w:p>
      <w:pPr>
        <w:numPr>
          <w:ilvl w:val="0"/>
          <w:numId w:val="1"/>
        </w:numPr>
        <w:spacing w:line="460" w:lineRule="exact"/>
        <w:ind w:firstLine="420"/>
        <w:rPr>
          <w:rFonts w:hint="eastAsia" w:ascii="仿宋" w:hAnsi="仿宋" w:eastAsia="仿宋" w:cs="仿宋"/>
          <w:b/>
          <w:bCs/>
          <w:sz w:val="24"/>
          <w:szCs w:val="24"/>
        </w:rPr>
      </w:pPr>
      <w:r>
        <w:rPr>
          <w:rFonts w:hint="eastAsia" w:ascii="仿宋" w:hAnsi="仿宋" w:eastAsia="仿宋" w:cs="仿宋"/>
          <w:b/>
          <w:bCs/>
          <w:sz w:val="24"/>
          <w:szCs w:val="24"/>
        </w:rPr>
        <w:t>质保及备件服务</w:t>
      </w:r>
    </w:p>
    <w:p>
      <w:pPr>
        <w:spacing w:before="156" w:beforeLines="50" w:line="360" w:lineRule="auto"/>
        <w:ind w:firstLine="420"/>
        <w:rPr>
          <w:rFonts w:hint="eastAsia" w:ascii="仿宋" w:hAnsi="仿宋" w:eastAsia="仿宋" w:cs="仿宋"/>
          <w:sz w:val="24"/>
          <w:szCs w:val="24"/>
        </w:rPr>
      </w:pPr>
      <w:r>
        <w:rPr>
          <w:rFonts w:hint="eastAsia" w:ascii="仿宋" w:hAnsi="仿宋" w:eastAsia="仿宋" w:cs="仿宋"/>
          <w:b/>
          <w:bCs/>
          <w:sz w:val="24"/>
          <w:szCs w:val="24"/>
        </w:rPr>
        <w:t>采购质保与备件清单</w:t>
      </w:r>
    </w:p>
    <w:tbl>
      <w:tblPr>
        <w:tblStyle w:val="4"/>
        <w:tblW w:w="9188" w:type="dxa"/>
        <w:tblInd w:w="0" w:type="dxa"/>
        <w:tblLayout w:type="autofit"/>
        <w:tblCellMar>
          <w:top w:w="0" w:type="dxa"/>
          <w:left w:w="108" w:type="dxa"/>
          <w:bottom w:w="0" w:type="dxa"/>
          <w:right w:w="108" w:type="dxa"/>
        </w:tblCellMar>
      </w:tblPr>
      <w:tblGrid>
        <w:gridCol w:w="677"/>
        <w:gridCol w:w="1666"/>
        <w:gridCol w:w="2736"/>
        <w:gridCol w:w="786"/>
        <w:gridCol w:w="779"/>
        <w:gridCol w:w="2544"/>
      </w:tblGrid>
      <w:tr>
        <w:tblPrEx>
          <w:tblCellMar>
            <w:top w:w="0" w:type="dxa"/>
            <w:left w:w="108" w:type="dxa"/>
            <w:bottom w:w="0" w:type="dxa"/>
            <w:right w:w="108" w:type="dxa"/>
          </w:tblCellMar>
        </w:tblPrEx>
        <w:trPr>
          <w:trHeight w:val="288" w:hRule="atLeast"/>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66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货物名称</w:t>
            </w:r>
          </w:p>
        </w:tc>
        <w:tc>
          <w:tcPr>
            <w:tcW w:w="273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规格型号</w:t>
            </w: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c>
          <w:tcPr>
            <w:tcW w:w="779"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254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存储控制框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华为5500 V3</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存储硬盘框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华为5500 V3</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存储控制框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华为5500 V5</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存储硬盘框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华为5500 V5</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存储控制框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华为5300 V5</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存储硬盘框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华为5300 V5</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存储控制框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华为5310 V5</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分布式存储</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FusionStorage块节点</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云平台软件</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华为FusionSphere</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处理器</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IaaS云套件标准版1年软件订阅与保障</w:t>
            </w:r>
          </w:p>
        </w:tc>
      </w:tr>
      <w:tr>
        <w:tblPrEx>
          <w:tblCellMar>
            <w:top w:w="0" w:type="dxa"/>
            <w:left w:w="108" w:type="dxa"/>
            <w:bottom w:w="0" w:type="dxa"/>
            <w:right w:w="108" w:type="dxa"/>
          </w:tblCellMar>
        </w:tblPrEx>
        <w:trPr>
          <w:trHeight w:val="1620"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态势感知平台</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深信服SIP1000-B400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软件升级服务12个月、安全感知系统平台系统特征库升级服务12个月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华为S7706</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华为TaiShan 200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AF-9020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深信服云智订阅软件12个月</w:t>
            </w:r>
          </w:p>
        </w:tc>
      </w:tr>
      <w:tr>
        <w:tblPrEx>
          <w:tblCellMar>
            <w:top w:w="0" w:type="dxa"/>
            <w:left w:w="108" w:type="dxa"/>
            <w:bottom w:w="0" w:type="dxa"/>
            <w:right w:w="108" w:type="dxa"/>
          </w:tblCellMar>
        </w:tblPrEx>
        <w:trPr>
          <w:trHeight w:val="67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AF-1000-A400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深信服云智订阅软件12个月</w:t>
            </w:r>
          </w:p>
        </w:tc>
      </w:tr>
      <w:tr>
        <w:tblPrEx>
          <w:tblCellMar>
            <w:top w:w="0" w:type="dxa"/>
            <w:left w:w="108" w:type="dxa"/>
            <w:bottom w:w="0" w:type="dxa"/>
            <w:right w:w="108" w:type="dxa"/>
          </w:tblCellMar>
        </w:tblPrEx>
        <w:trPr>
          <w:trHeight w:val="86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AF-2000-B2200-MH</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深信服云智订阅软件12个月</w:t>
            </w:r>
          </w:p>
        </w:tc>
      </w:tr>
      <w:tr>
        <w:tblPrEx>
          <w:tblCellMar>
            <w:top w:w="0" w:type="dxa"/>
            <w:left w:w="108" w:type="dxa"/>
            <w:bottom w:w="0" w:type="dxa"/>
            <w:right w:w="108" w:type="dxa"/>
          </w:tblCellMar>
        </w:tblPrEx>
        <w:trPr>
          <w:trHeight w:val="1560"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潜伏威胁探针</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STA 100-B440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软件升级服务12个月、</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安全感知系统探针特征库升级服务12个月</w:t>
            </w:r>
          </w:p>
        </w:tc>
      </w:tr>
      <w:tr>
        <w:tblPrEx>
          <w:tblCellMar>
            <w:top w:w="0" w:type="dxa"/>
            <w:left w:w="108" w:type="dxa"/>
            <w:bottom w:w="0" w:type="dxa"/>
            <w:right w:w="108" w:type="dxa"/>
          </w:tblCellMar>
        </w:tblPrEx>
        <w:trPr>
          <w:trHeight w:val="1560"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潜伏威胁探针</w:t>
            </w:r>
          </w:p>
        </w:tc>
        <w:tc>
          <w:tcPr>
            <w:tcW w:w="2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STA-100-B2100</w:t>
            </w:r>
          </w:p>
        </w:tc>
        <w:tc>
          <w:tcPr>
            <w:tcW w:w="786"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软件升级服务12个月、</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安全感知系统探针特征库升级服务12个月</w:t>
            </w:r>
          </w:p>
        </w:tc>
      </w:tr>
      <w:tr>
        <w:tblPrEx>
          <w:tblCellMar>
            <w:top w:w="0" w:type="dxa"/>
            <w:left w:w="108" w:type="dxa"/>
            <w:bottom w:w="0" w:type="dxa"/>
            <w:right w:w="108" w:type="dxa"/>
          </w:tblCellMar>
        </w:tblPrEx>
        <w:trPr>
          <w:trHeight w:val="67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应用交付网关</w:t>
            </w:r>
          </w:p>
        </w:tc>
        <w:tc>
          <w:tcPr>
            <w:tcW w:w="273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AD 1000-B1800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平台升级服务12个月</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杀毒软件安全能力更新</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网神云锁服务器安全管理系统</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点位</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网神云锁服务器安全管理系统更新服务12个月</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杀毒软件安全能力更新</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网神云锁服务器安全管理系统</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点位</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网神云锁服务器安全管理系统更新服务12个月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杀毒软件安全能力更新</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360天擎</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点位</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360天擎更新服务12个月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杀毒软件安全能力更新</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360天擎</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点位</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500</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360天擎更新服务12个月</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UPS系统</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英威腾</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整机维护12个月</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精密空调</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INCR035C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整机维护12个月</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精密空调</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INCR025C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整机维护12个月</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空调滤网更换</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INCR035C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滤网更换2次</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空调滤网更换</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INCR025C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滤网更换2次</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加湿罐更换</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INCR035C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加湿罐更换1次</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加湿罐更换</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INCR025C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加湿罐更换1次</w:t>
            </w:r>
          </w:p>
        </w:tc>
      </w:tr>
      <w:tr>
        <w:tblPrEx>
          <w:tblCellMar>
            <w:top w:w="0" w:type="dxa"/>
            <w:left w:w="108" w:type="dxa"/>
            <w:bottom w:w="0" w:type="dxa"/>
            <w:right w:w="108" w:type="dxa"/>
          </w:tblCellMar>
        </w:tblPrEx>
        <w:trPr>
          <w:trHeight w:val="624" w:hRule="atLeast"/>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166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七氟丙烷半固体装置</w:t>
            </w:r>
          </w:p>
        </w:tc>
        <w:tc>
          <w:tcPr>
            <w:tcW w:w="273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GQQ180</w:t>
            </w: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79"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整机质保维护</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31</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七氟丙烷半固体装置</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GQQ70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整机质保维护</w:t>
            </w:r>
          </w:p>
        </w:tc>
      </w:tr>
      <w:tr>
        <w:tblPrEx>
          <w:tblCellMar>
            <w:top w:w="0" w:type="dxa"/>
            <w:left w:w="108" w:type="dxa"/>
            <w:bottom w:w="0" w:type="dxa"/>
            <w:right w:w="108" w:type="dxa"/>
          </w:tblCellMar>
        </w:tblPrEx>
        <w:trPr>
          <w:trHeight w:val="936" w:hRule="atLeast"/>
        </w:trPr>
        <w:tc>
          <w:tcPr>
            <w:tcW w:w="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1666"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华为RH5885 V3</w:t>
            </w:r>
          </w:p>
        </w:tc>
        <w:tc>
          <w:tcPr>
            <w:tcW w:w="786"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2544"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HBA卡、网卡、硬盘、内存、电源模块等质保</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33</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华为RH2288 V3</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HBA卡、网卡、硬盘、内存、电源模块等质保</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34</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华为RH1288 V3</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硬盘、网卡、内存、电源模块等质保</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35</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浪潮NF8460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HBA卡、网卡、硬盘、内存、电源模块等质保</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浪潮NF8465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HBA卡、网卡、硬盘、内存、电源模块等质保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37</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华为5885H V5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38</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华为2288H V5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39</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超聚变2288H V5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40</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华为2288H V3</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HBA卡、网卡、硬盘、内存、电源模块等质保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41</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华为SNS2124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42</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华为SNS2248</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43</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Changhong6505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44</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负载均衡</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深信服AD-1000-D620-XS</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45</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格尔安全认证网关</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SRJ1505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46</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格尔数字证书认证系统</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SZT0901</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47</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深信服AF-9020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48</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潜伏威胁探针系统</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STA 100-B2150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49</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安全感知平台</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深信服SIP 1000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安全感知平台</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深信服SIP 1000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51</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应用交付网关</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深信服AD 1000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52</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 2000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53</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360网神NSG5000-TG30M-Q</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54</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身份认证管理平台</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 atrust-1000 B1030M</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55</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光模块</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华为80公里光模块</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56</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浪潮NF8460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57</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电源模块</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浪潮NF8460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58</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浪潮NF8465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59</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电源模块</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浪潮NF8465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60</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S6720-26Q-SI-24S-AC</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61</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S5720-28X-SI-24S-AC</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62</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H3C S7003E</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63</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H3C-S5120V2-28P-PWR</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64</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H3C-S5120V2-52P-LI</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65</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华为SNS2124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66</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华为SNS2248</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67</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Changhong6505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68</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身份认证管理平台</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深信服aTrust-1000-B1030M-MH</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69</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网络分流器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派网PATAP-8T8D-NW</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bl>
    <w:p>
      <w:pPr>
        <w:pStyle w:val="6"/>
        <w:ind w:firstLine="420"/>
        <w:rPr>
          <w:rFonts w:hint="eastAsia" w:ascii="仿宋" w:hAnsi="仿宋" w:eastAsia="仿宋" w:cs="仿宋"/>
          <w:sz w:val="24"/>
          <w:szCs w:val="24"/>
        </w:rPr>
      </w:pPr>
    </w:p>
    <w:p>
      <w:pPr>
        <w:pStyle w:val="6"/>
        <w:ind w:firstLine="420"/>
        <w:rPr>
          <w:rFonts w:hint="eastAsia" w:ascii="仿宋" w:hAnsi="仿宋" w:eastAsia="仿宋" w:cs="仿宋"/>
          <w:sz w:val="24"/>
          <w:szCs w:val="24"/>
        </w:rPr>
      </w:pPr>
      <w:r>
        <w:rPr>
          <w:rFonts w:hint="eastAsia" w:ascii="仿宋" w:hAnsi="仿宋" w:eastAsia="仿宋" w:cs="仿宋"/>
          <w:sz w:val="24"/>
          <w:szCs w:val="24"/>
        </w:rPr>
        <w:t>原厂服务采购后需出具原厂证明，授权类服务需在产品页面或官网可查询到相关信息。</w:t>
      </w:r>
    </w:p>
    <w:p>
      <w:pPr>
        <w:pStyle w:val="6"/>
        <w:ind w:firstLine="420"/>
        <w:rPr>
          <w:rFonts w:hint="eastAsia" w:ascii="仿宋" w:hAnsi="仿宋" w:eastAsia="仿宋" w:cs="仿宋"/>
          <w:sz w:val="24"/>
          <w:szCs w:val="24"/>
        </w:rPr>
      </w:pPr>
      <w:r>
        <w:rPr>
          <w:rFonts w:hint="eastAsia" w:ascii="仿宋" w:hAnsi="仿宋" w:eastAsia="仿宋" w:cs="仿宋"/>
          <w:sz w:val="24"/>
          <w:szCs w:val="24"/>
        </w:rPr>
        <w:t>备件需存放至西安市不动产信息档案管理中心指定地点，在设备发生故障无法排障时第一时间进行更换。</w:t>
      </w:r>
    </w:p>
    <w:p>
      <w:pPr>
        <w:pStyle w:val="6"/>
        <w:ind w:firstLine="420"/>
        <w:rPr>
          <w:rFonts w:hint="eastAsia" w:ascii="仿宋" w:hAnsi="仿宋" w:eastAsia="仿宋" w:cs="仿宋"/>
          <w:sz w:val="24"/>
          <w:szCs w:val="24"/>
        </w:rPr>
      </w:pPr>
      <w:r>
        <w:rPr>
          <w:rFonts w:hint="eastAsia" w:ascii="仿宋" w:hAnsi="仿宋" w:eastAsia="仿宋" w:cs="仿宋"/>
          <w:sz w:val="24"/>
          <w:szCs w:val="24"/>
        </w:rPr>
        <w:t>质保产品在运维期间出现软硬件故障时，服务商需立即对设备进行维修或更换，并将处理结果生成故障处理报告，保证不动产业务系统健康平稳运行。</w:t>
      </w:r>
    </w:p>
    <w:p>
      <w:pPr>
        <w:spacing w:line="460" w:lineRule="exact"/>
        <w:rPr>
          <w:rFonts w:hint="eastAsia" w:ascii="仿宋" w:hAnsi="仿宋" w:eastAsia="仿宋" w:cs="仿宋"/>
          <w:b/>
          <w:bCs/>
          <w:sz w:val="24"/>
          <w:szCs w:val="24"/>
        </w:rPr>
      </w:pPr>
      <w:r>
        <w:rPr>
          <w:rFonts w:hint="eastAsia" w:ascii="仿宋" w:hAnsi="仿宋" w:eastAsia="仿宋" w:cs="仿宋"/>
          <w:b/>
          <w:bCs/>
          <w:sz w:val="24"/>
          <w:szCs w:val="24"/>
        </w:rPr>
        <w:t>四、服务内容</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（一）故障恢复类</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1、7×24小时响应支持</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的技术支持人员和故障保修热线以及项目经理、项目协调人和一线工程师手机全天候开通，为用户提供7×24小时电话技术支持。支持范围包括产品的功能、配置、安装、调试、客户化以及使用中遇到的各种技术问题的一般性咨询，并随时准备处理各种突发事件。</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2、故障解决服务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服务商提供硬件的故障诊断支持服务，在故障发生后，在最短时间判断出故障的原因，然后进行有针对性的维修，可缩短故障修复时间，缩短业务中断时间。</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（二）技术服务类</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1、管理制度梳理</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需与西安市不动产信息档案管理中心沟通，人员入场前针对各系统制定管理计划于管理制度。管理计划分阶段进行优化，在每次定期汇报交流后修改管理计划，形成下一阶段的管理计划，使管理计划与时俱进，更符合系统当前的需求。</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2、资产配置建档服务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需向西安市不动产信息档案管理中心提交详细的系统硬件维护服务档案，内容包括有系统配置（包括硬件配置、系统配置、磁盘阵列等）、双方人员信息、系统维护记录等信息。并根据需方的实际需要，制定详细的服务支持计划，随时更新硬件系统信息。并根据调研设备的运行记录进行评估。</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定期巡检</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需安排工程师每月对电子政务机房云平台设备、浐灞机房现场进行定期的例行巡检和预防性维护，每周对电子政务机房进行硬件运行状态检查。工程师定期对服务范围内的硬件和操作系统、性能进行诊断，分析系统运行情况，查看系统日志，根据结果调整系统参数，使系统始终在良好状态下运行。对可能出现的问题提供科学预测，提供预防整改措施，在授权的情况下必要的预防和补救措施，防患于未然。</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（三）专业化服务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1、常规作业服务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服务商为西安市不动产信息档案管理中心提供硬件、机房环境的常规作业服务，包括设备上下架、安装部署、授权操作、策略配置、病毒库、安全规则库升级、数据/配置备份、设备除尘等。</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2、网络性能优化服务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根据招标方需求对网络进行系统优化，对网络环境进行配置整理，根据整理结果提出优化建议，并实施配置优化。</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3、安全支持服务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结合现网软硬件环境，按需对网络安全做例行巡检、策略优化、规则库升级等工作。</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4、保障服务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配合平台开发单位、其他运维单位工作，做好硬件，软件，网络等技术支持及保障服务。</w:t>
      </w:r>
    </w:p>
    <w:p>
      <w:pPr>
        <w:numPr>
          <w:ilvl w:val="0"/>
          <w:numId w:val="2"/>
        </w:num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异地备份系统运维</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保障现网异地备份系统软硬件的正常运行，保证备份状态正常、备份数据完整，对备份文件定期进行还原验证等。每年不少于4次现场巡检。</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6、其他服务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确保该系统正常运行的其他临时性工作。</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服务要求</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服务期：12个月。</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服务人数</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服务期间需提供3名工程师作为一线工程师5×8小时（工作日）驻场服务，完成日常维护和故障解决，现场工程师解决不了，服务商需提供二线工程师协助解决，半小时响应，1小时到场，保证系统的运行稳定。服务商签订合同同时，需与采购人签订该项目保密协议。根据采购人要求，不得将采购人的保密信息泄露。服务商需要向采购人提供驻场人员及项目经理在公安机关开具的无犯罪记录的证明文件。</w:t>
      </w:r>
    </w:p>
    <w:p>
      <w:pPr>
        <w:spacing w:line="460" w:lineRule="exact"/>
        <w:rPr>
          <w:rFonts w:hint="eastAsia" w:ascii="仿宋" w:hAnsi="仿宋" w:eastAsia="仿宋" w:cs="仿宋"/>
          <w:b/>
          <w:bCs/>
          <w:sz w:val="24"/>
          <w:szCs w:val="24"/>
        </w:rPr>
      </w:pPr>
      <w:r>
        <w:rPr>
          <w:rFonts w:hint="eastAsia" w:ascii="仿宋" w:hAnsi="仿宋" w:eastAsia="仿宋" w:cs="仿宋"/>
          <w:b/>
          <w:bCs/>
          <w:sz w:val="24"/>
          <w:szCs w:val="24"/>
        </w:rPr>
        <w:t>五、考核要求</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（一）考核指标</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1、服务商的一线驻场必须与招标现场提供驻场工程师的人员信息相符合。</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2、合同期内服务商应确保人员稳定，驻场人员应与采购人签订保密协议，服务商及驻场人员不得泄露采购人秘密。</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3、服务商保证采购人设备（硬件、软件）系统安全、稳定、高效运行。</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4、服务商对于故障处理应有详细的报告记录，包含故障原因、响应时间、解决方案以及合理建议等。</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5、服务商在服务期间应履行好职责，提高服务质量，杜绝推诿扯皮、无故怠工，力争达到服务对象零投诉。</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6、在运维期间，应注重环境卫生，维持现场干净整洁，不得将资产进行外借或转移，保证采购人的资产安全。</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（二）考核措施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服务商在服务期间如违反考核指标中任何一条，根据服务商违反考核指标的条数每次对服务商给予以合同总金额3%/条的处罚（处罚金额总和不超过合同总金额的50%）；同一问题两次违反，经采购人提醒后拒不纠正的，采购人可视情节的严重性提出立即终止合同。</w:t>
      </w:r>
    </w:p>
    <w:p>
      <w:pPr>
        <w:pStyle w:val="7"/>
        <w:spacing w:after="0" w:line="520" w:lineRule="exact"/>
        <w:ind w:left="0" w:leftChars="0" w:firstLine="0" w:firstLineChars="0"/>
        <w:jc w:val="both"/>
        <w:outlineLvl w:val="0"/>
        <w:rPr>
          <w:rFonts w:hint="eastAsia" w:ascii="仿宋" w:hAnsi="仿宋" w:eastAsia="仿宋" w:cs="仿宋"/>
          <w:b/>
          <w:bCs/>
          <w:color w:val="auto"/>
          <w:kern w:val="44"/>
          <w:sz w:val="44"/>
          <w:szCs w:val="44"/>
          <w:highlight w:val="none"/>
          <w:lang w:val="en-US" w:bidi="ar-SA"/>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95B99"/>
    <w:multiLevelType w:val="singleLevel"/>
    <w:tmpl w:val="EA795B99"/>
    <w:lvl w:ilvl="0" w:tentative="0">
      <w:start w:val="5"/>
      <w:numFmt w:val="decimal"/>
      <w:suff w:val="nothing"/>
      <w:lvlText w:val="%1、"/>
      <w:lvlJc w:val="left"/>
    </w:lvl>
  </w:abstractNum>
  <w:abstractNum w:abstractNumId="1">
    <w:nsid w:val="277534F4"/>
    <w:multiLevelType w:val="singleLevel"/>
    <w:tmpl w:val="277534F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MzFiYTQ1ZDU5NDI4MTYyNDk1MzJjYjQ5ZDA5YmQifQ=="/>
  </w:docVars>
  <w:rsids>
    <w:rsidRoot w:val="00000000"/>
    <w:rsid w:val="2B89765A"/>
    <w:rsid w:val="4B18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rFonts w:ascii="Tahoma" w:hAnsi="Tahoma" w:eastAsia="宋体" w:cs="Times New Roman"/>
      <w:sz w:val="18"/>
      <w:szCs w:val="18"/>
    </w:rPr>
  </w:style>
  <w:style w:type="paragraph" w:styleId="3">
    <w:name w:val="Body Text"/>
    <w:basedOn w:val="1"/>
    <w:next w:val="1"/>
    <w:qFormat/>
    <w:uiPriority w:val="0"/>
    <w:pPr>
      <w:spacing w:after="120" w:afterLines="0"/>
    </w:pPr>
    <w:rPr>
      <w:rFonts w:ascii="Tahoma" w:hAnsi="Tahoma" w:eastAsia="宋体" w:cs="Times New Roman"/>
      <w:sz w:val="21"/>
      <w:szCs w:val="24"/>
    </w:rPr>
  </w:style>
  <w:style w:type="paragraph" w:customStyle="1" w:styleId="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正文文本1"/>
    <w:basedOn w:val="1"/>
    <w:qFormat/>
    <w:uiPriority w:val="0"/>
    <w:pPr>
      <w:spacing w:after="130" w:line="324" w:lineRule="auto"/>
      <w:ind w:firstLine="400"/>
      <w:jc w:val="left"/>
    </w:pPr>
    <w:rPr>
      <w:rFonts w:ascii="宋体" w:hAnsi="宋体" w:eastAsia="宋体" w:cs="宋体"/>
      <w:color w:val="E47A6E"/>
      <w:kern w:val="0"/>
      <w:sz w:val="20"/>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7654</Words>
  <Characters>9202</Characters>
  <Lines>0</Lines>
  <Paragraphs>0</Paragraphs>
  <TotalTime>0</TotalTime>
  <ScaleCrop>false</ScaleCrop>
  <LinksUpToDate>false</LinksUpToDate>
  <CharactersWithSpaces>9286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2024-05-31T06:59:00Z</dcterms:created>
  <dc:creator>Administrator</dc:creator>
  <cp:lastModifiedBy>®lucky</cp:lastModifiedBy>
  <dcterms:modified xsi:type="dcterms:W3CDTF">2024-06-28T02:07:49Z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E9F5FFB966FC48CCAC0EFC549AB831DD_12</vt:lpwstr>
  </property>
</Properties>
</file>