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便民服务运营项目</w:t>
      </w:r>
    </w:p>
    <w:p>
      <w:pPr>
        <w:pStyle w:val="null3"/>
        <w:jc w:val="center"/>
        <w:outlineLvl w:val="2"/>
      </w:pPr>
      <w:r>
        <w:rPr>
          <w:sz w:val="28"/>
          <w:b/>
        </w:rPr>
        <w:t>采购项目编号：</w:t>
      </w:r>
      <w:r>
        <w:rPr>
          <w:sz w:val="28"/>
          <w:b/>
        </w:rPr>
        <w:t>SDZC2024-124</w:t>
      </w:r>
      <w:r>
        <w:br/>
      </w:r>
      <w:r>
        <w:br/>
      </w:r>
      <w:r>
        <w:br/>
      </w:r>
    </w:p>
    <w:p>
      <w:pPr>
        <w:pStyle w:val="null3"/>
        <w:jc w:val="center"/>
        <w:outlineLvl w:val="2"/>
      </w:pPr>
      <w:r>
        <w:rPr>
          <w:sz w:val="28"/>
          <w:b/>
        </w:rPr>
        <w:t>西安市公安局交通警察支队</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2024年06月13日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西安市公安局交通警察支队</w:t>
      </w:r>
      <w:r>
        <w:rPr/>
        <w:t>委托，拟对</w:t>
      </w:r>
      <w:r>
        <w:rPr/>
        <w:t>便民服务运营项目</w:t>
      </w:r>
      <w:r>
        <w:rPr/>
        <w:t>采用竞争性磋商采购方式进行采购，兹邀请供应商参加本项目的竞争性磋商。</w:t>
      </w:r>
    </w:p>
    <w:p>
      <w:pPr>
        <w:pStyle w:val="null3"/>
        <w:outlineLvl w:val="2"/>
      </w:pPr>
      <w:r>
        <w:rPr>
          <w:sz w:val="28"/>
          <w:b/>
        </w:rPr>
        <w:t>一、项目编号：</w:t>
      </w:r>
      <w:r>
        <w:rPr>
          <w:sz w:val="28"/>
          <w:b/>
        </w:rPr>
        <w:t>SDZC2024-124</w:t>
      </w:r>
    </w:p>
    <w:p>
      <w:pPr>
        <w:pStyle w:val="null3"/>
        <w:outlineLvl w:val="2"/>
      </w:pPr>
      <w:r>
        <w:rPr>
          <w:sz w:val="28"/>
          <w:b/>
        </w:rPr>
        <w:t>二、项目名称：</w:t>
      </w:r>
      <w:r>
        <w:rPr>
          <w:sz w:val="28"/>
          <w:b/>
        </w:rPr>
        <w:t>便民服务运营项目</w:t>
      </w:r>
    </w:p>
    <w:p>
      <w:pPr>
        <w:pStyle w:val="null3"/>
        <w:outlineLvl w:val="2"/>
      </w:pPr>
      <w:r>
        <w:rPr>
          <w:sz w:val="28"/>
          <w:b/>
        </w:rPr>
        <w:t>三、磋商项目简介</w:t>
      </w:r>
    </w:p>
    <w:p>
      <w:pPr>
        <w:pStyle w:val="null3"/>
        <w:ind w:firstLine="480"/>
      </w:pPr>
      <w:r>
        <w:rPr/>
        <w:t>便民服务运营项目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采购包1（便民服务运营项目）：属于专门面向中小企业采购。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 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8、信用信息查询：不得为“信用中国”网站(http://www.creditchina.gov.cn)列入“失信被执行人、重大税收违法 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9、单位负责人为同一人或者存在直接控股、管理关系的不同供应商，不得参加同一合同项下的政府采购活动：单位负责人为同一人或者存在直接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西安市公安局交通警察支队</w:t>
      </w:r>
    </w:p>
    <w:p>
      <w:pPr>
        <w:pStyle w:val="null3"/>
      </w:pPr>
      <w:r>
        <w:rPr/>
        <w:t xml:space="preserve"> 地址： </w:t>
      </w:r>
      <w:r>
        <w:rPr/>
        <w:t>西安市太白南路222号</w:t>
      </w:r>
    </w:p>
    <w:p>
      <w:pPr>
        <w:pStyle w:val="null3"/>
      </w:pPr>
      <w:r>
        <w:rPr/>
        <w:t xml:space="preserve"> 邮编： </w:t>
      </w:r>
      <w:r>
        <w:rPr/>
        <w:t>710000</w:t>
      </w:r>
    </w:p>
    <w:p>
      <w:pPr>
        <w:pStyle w:val="null3"/>
      </w:pPr>
      <w:r>
        <w:rPr/>
        <w:t xml:space="preserve"> 联系人： </w:t>
      </w:r>
      <w:r>
        <w:rPr/>
        <w:t>王警官</w:t>
      </w:r>
    </w:p>
    <w:p>
      <w:pPr>
        <w:pStyle w:val="null3"/>
      </w:pPr>
      <w:r>
        <w:rPr/>
        <w:t xml:space="preserve"> 联系电话： </w:t>
      </w:r>
      <w:r>
        <w:rPr/>
        <w:t>029-86755037</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029-86518381、029-89299829、029-89293231 转8011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采购包1：1,979,560.00元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西安市公安局交通警察支队</w:t>
      </w:r>
      <w:r>
        <w:rPr/>
        <w:t>和</w:t>
      </w:r>
      <w:r>
        <w:rPr/>
        <w:t>陕西上德招标有限公司</w:t>
      </w:r>
      <w:r>
        <w:rPr/>
        <w:t>享有。对磋商文件中供应商参加本次政府采购活动应当具备的条件，磋商项目技术、服务、商务及其他要求，评审细则及标准由</w:t>
      </w:r>
      <w:r>
        <w:rPr/>
        <w:t>西安市公安局交通警察支队</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西安市公安局交通警察支队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验收合格后，填写验收单，双方签字生效</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联系人：宋芳芳(11号工位)</w:t>
      </w:r>
    </w:p>
    <w:p>
      <w:pPr>
        <w:pStyle w:val="null3"/>
      </w:pPr>
      <w:r>
        <w:rPr/>
        <w:t>联系电话：029-86673953、029-86518381、029-89299829、029-89293231 转8011</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便民服务运营</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1,979,560.00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便民服务运营</w:t>
            </w:r>
          </w:p>
        </w:tc>
        <w:tc>
          <w:tcPr>
            <w:tcW w:type="dxa" w:w="831"/>
          </w:tcPr>
          <w:p>
            <w:pPr>
              <w:pStyle w:val="null3"/>
              <w:jc w:val="right"/>
            </w:pPr>
            <w:r>
              <w:rPr/>
              <w:t>1.00</w:t>
            </w:r>
          </w:p>
        </w:tc>
        <w:tc>
          <w:tcPr>
            <w:tcW w:type="dxa" w:w="831"/>
          </w:tcPr>
          <w:p>
            <w:pPr>
              <w:pStyle w:val="null3"/>
              <w:jc w:val="right"/>
            </w:pPr>
            <w:r>
              <w:rPr/>
              <w:t>1,979,560.00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标的名称：便民服务运营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一、项目概况</w:t>
            </w:r>
          </w:p>
          <w:p>
            <w:pPr>
              <w:pStyle w:val="null3"/>
              <w:ind w:firstLine="640"/>
              <w:jc w:val="left"/>
            </w:pPr>
            <w:r>
              <w:rPr>
                <w:rFonts w:ascii="宋体" w:hAnsi="宋体" w:cs="宋体" w:eastAsia="宋体"/>
                <w:sz w:val="24"/>
              </w:rPr>
              <w:t>提升政务服务水平，通过优化西安交警微信服务号和支付宝生活号功能、系统运维及内容运营，提供便捷的数字化服务平台，平台可以为群众提供车驾管业务办理预约、发布交通新政、安全宣教等内容，提升市民交通安全意识、提升用户体验，通过优化系统和内容，增强用户满意度、利用用户数据进行分析，优化交通管理策略、建立互动机制，促进警民合作，加强社会治安综合治理，共创安全出行环境。通过信息技术手段，实现便民高效的交通管理与服务模式，支持公安交警使命，创造安全便捷的交通环境。</w:t>
            </w:r>
          </w:p>
          <w:p>
            <w:pPr>
              <w:pStyle w:val="null3"/>
              <w:jc w:val="left"/>
            </w:pPr>
            <w:r>
              <w:rPr>
                <w:rFonts w:ascii="宋体" w:hAnsi="宋体" w:cs="宋体" w:eastAsia="宋体"/>
                <w:sz w:val="24"/>
              </w:rPr>
              <w:t>二、服务内容（包括工作区域、工作内容等）</w:t>
            </w:r>
          </w:p>
          <w:p>
            <w:pPr>
              <w:pStyle w:val="null3"/>
              <w:jc w:val="left"/>
            </w:pPr>
            <w:r>
              <w:rPr>
                <w:rFonts w:ascii="宋体" w:hAnsi="宋体" w:cs="宋体" w:eastAsia="宋体"/>
                <w:sz w:val="24"/>
              </w:rPr>
              <w:t xml:space="preserve">    </w:t>
            </w:r>
            <w:r>
              <w:rPr>
                <w:rFonts w:ascii="宋体" w:hAnsi="宋体" w:cs="宋体" w:eastAsia="宋体"/>
                <w:sz w:val="24"/>
              </w:rPr>
              <w:t>项目主要建设内容包含平台运营、软件开发以及配套支持</w:t>
            </w:r>
            <w:r>
              <w:rPr>
                <w:rFonts w:ascii="宋体" w:hAnsi="宋体" w:cs="宋体" w:eastAsia="宋体"/>
                <w:sz w:val="24"/>
              </w:rPr>
              <w:t>3大类13项服务。其中运营9项（1.建立行人、非机动车用户画像数据库；2.预约业务信息通知；3.交通安全宣教系统；4.车驾管业务预约叫号协同系统；5.智能回复小助手接口集成；6.平台运营；7.信息发布功能；8.活动策划积分兑换；9.信息服务）、技术开发2项（1.社会化车驾管服务机构备案系统；2.积分兑换商城）以及配套服务2项（1.硬件</w:t>
            </w:r>
            <w:r>
              <w:rPr>
                <w:rFonts w:ascii="宋体" w:hAnsi="宋体" w:cs="宋体" w:eastAsia="宋体"/>
                <w:sz w:val="24"/>
              </w:rPr>
              <w:t>保障</w:t>
            </w:r>
            <w:r>
              <w:rPr>
                <w:rFonts w:ascii="宋体" w:hAnsi="宋体" w:cs="宋体" w:eastAsia="宋体"/>
                <w:sz w:val="24"/>
              </w:rPr>
              <w:t>；</w:t>
            </w:r>
            <w:r>
              <w:rPr>
                <w:rFonts w:ascii="宋体" w:hAnsi="宋体" w:cs="宋体" w:eastAsia="宋体"/>
                <w:sz w:val="24"/>
              </w:rPr>
              <w:t>2.物料印刷）。</w:t>
            </w:r>
          </w:p>
          <w:p>
            <w:pPr>
              <w:pStyle w:val="null3"/>
            </w:pPr>
            <w:r>
              <w:rPr>
                <w:rFonts w:ascii="宋体" w:hAnsi="宋体" w:cs="宋体" w:eastAsia="宋体"/>
                <w:sz w:val="24"/>
              </w:rPr>
              <w:t>服务内容：</w:t>
            </w:r>
          </w:p>
          <w:tbl>
            <w:tblPr>
              <w:tblBorders>
                <w:top w:val="none" w:color="000000" w:sz="4"/>
                <w:left w:val="none" w:color="000000" w:sz="4"/>
                <w:bottom w:val="none" w:color="000000" w:sz="4"/>
                <w:right w:val="none" w:color="000000" w:sz="4"/>
                <w:insideH w:val="none"/>
                <w:insideV w:val="none"/>
              </w:tblBorders>
            </w:tblPr>
            <w:tblGrid>
              <w:gridCol w:w="128"/>
              <w:gridCol w:w="153"/>
              <w:gridCol w:w="400"/>
              <w:gridCol w:w="1871"/>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类型</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服务项目</w:t>
                  </w:r>
                </w:p>
              </w:tc>
              <w:tc>
                <w:tcPr>
                  <w:tcW w:type="dxa" w:w="1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建设内容</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建立行人、非机动车用户画像数据库</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1.与“行人非机动车安全教育学习”小程序对接，获取用户身份信息和学习数据；</w:t>
                  </w:r>
                </w:p>
                <w:p>
                  <w:pPr>
                    <w:pStyle w:val="null3"/>
                    <w:jc w:val="both"/>
                  </w:pPr>
                  <w:r>
                    <w:rPr>
                      <w:rFonts w:ascii="宋体" w:hAnsi="宋体" w:cs="宋体" w:eastAsia="宋体"/>
                      <w:sz w:val="24"/>
                    </w:rPr>
                    <w:t>2.对用户信息进行实名判定分析打标，进行画像定位；</w:t>
                  </w:r>
                </w:p>
                <w:p>
                  <w:pPr>
                    <w:pStyle w:val="null3"/>
                    <w:jc w:val="both"/>
                  </w:pPr>
                  <w:r>
                    <w:rPr>
                      <w:rFonts w:ascii="宋体" w:hAnsi="宋体" w:cs="宋体" w:eastAsia="宋体"/>
                      <w:sz w:val="24"/>
                    </w:rPr>
                    <w:t>3.对用户信息进行应用、推送信息。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预约业务信息通知</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1.车管所全预约功能中大宗业务预约信息通知；</w:t>
                  </w:r>
                </w:p>
                <w:p>
                  <w:pPr>
                    <w:pStyle w:val="null3"/>
                    <w:jc w:val="both"/>
                  </w:pPr>
                  <w:r>
                    <w:rPr>
                      <w:rFonts w:ascii="宋体" w:hAnsi="宋体" w:cs="宋体" w:eastAsia="宋体"/>
                      <w:sz w:val="24"/>
                    </w:rPr>
                    <w:t>2.将用户预约数据推送至各网点民警微信端，以站内信形式推送给业务办理民警；</w:t>
                  </w:r>
                </w:p>
                <w:p>
                  <w:pPr>
                    <w:pStyle w:val="null3"/>
                    <w:jc w:val="both"/>
                  </w:pPr>
                  <w:r>
                    <w:rPr>
                      <w:rFonts w:ascii="宋体" w:hAnsi="宋体" w:cs="宋体" w:eastAsia="宋体"/>
                      <w:sz w:val="24"/>
                    </w:rPr>
                    <w:t>3.加入网点业务提醒人设置，绑定民警微信openid进行消息接收。</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交通安全宣教系统</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该系统包括三大类宣教功能，一是面向</w:t>
                  </w:r>
                  <w:r>
                    <w:rPr>
                      <w:rFonts w:ascii="宋体" w:hAnsi="宋体" w:cs="宋体" w:eastAsia="宋体"/>
                      <w:sz w:val="24"/>
                    </w:rPr>
                    <w:t>“西安交警微信服务号”的全量用户研发“交通安全知识有奖问答系统”，二是升级面向清运行业驾驶人群体的“清运行业宣教系统 V2.0”，三是升级“大中型客货车违法处理前学习教育（V2.0）”。</w:t>
                  </w:r>
                </w:p>
                <w:p>
                  <w:pPr>
                    <w:pStyle w:val="null3"/>
                    <w:jc w:val="both"/>
                  </w:pPr>
                  <w:r>
                    <w:rPr>
                      <w:rFonts w:ascii="宋体" w:hAnsi="宋体" w:cs="宋体" w:eastAsia="宋体"/>
                      <w:sz w:val="24"/>
                    </w:rPr>
                    <w:t>1.“交通安全知识有奖问答系统”面向“西安交警微信服务号”全量用户（行人、非机动车、摩托车驾驶人、小型汽车驾驶人、非清运行业的专业运输驾驶人等）开放，设置、研发不同主题题库，用趣味问答、游戏等形式，通过答题得绿色交通文明积分的形式，引导用户主动参与答题、学习交通安全知识。该系统将集成多媒体资源，包括视频教育、交通安全提示、知识答题等，以帮助用户更好地了解交通规则、提高交通安全意识，加入积分制可以提高用户学习交通安全知识的积极性。</w:t>
                  </w:r>
                </w:p>
                <w:p>
                  <w:pPr>
                    <w:pStyle w:val="null3"/>
                    <w:jc w:val="both"/>
                  </w:pPr>
                  <w:r>
                    <w:rPr>
                      <w:rFonts w:ascii="宋体" w:hAnsi="宋体" w:cs="宋体" w:eastAsia="宋体"/>
                      <w:sz w:val="24"/>
                    </w:rPr>
                    <w:t>2.对目前清运行业宣教系统进行优化迭代，增加上传视频时长， 视频长度30 分钟以内视频均可上传；显示违法类型，有违法状态的信息进行违法类型细化，明确具体是什么违法以及划分大队；优化补学板块，可修改学习记录、补学次数；对接备案驾驶人基本信息表，查看驾驶人登录情况，筛查对应登录未登录的用户；并增加答题模块；视频类型分类上传，对上传视频做分类管理；对系统中所有数据统计的表格增加下载功能；增加批量导入功能；对为学习驾驶人进行备案信息变更，并推送消息提醒。</w:t>
                  </w:r>
                </w:p>
                <w:p>
                  <w:pPr>
                    <w:pStyle w:val="null3"/>
                    <w:jc w:val="both"/>
                  </w:pPr>
                  <w:r>
                    <w:rPr>
                      <w:rFonts w:ascii="宋体" w:hAnsi="宋体" w:cs="宋体" w:eastAsia="宋体"/>
                      <w:sz w:val="24"/>
                    </w:rPr>
                    <w:t>3.学习合格的大中型客货车违法行为人将自动获取具有唯一性标识的学习合格凭证。该凭证信息将与秩序处每日交通违法处理数据进行比对，筛查出有学习合格凭证未处理违法的数据和无学习合格凭证却已处理违法的数据，从而分别提醒当事人办理学习业务、督导涉事违法处理窗口单位核查回复，联动支队大监督系统、违法处理双监督系统打击非法中介和买分卖分。同时，后台建立数据信息库，对已学习用户、已处理违法用户、违法处理比对后的数据进行详情展示。后续安监民警将数据进行导出应用，返给秩序进行管理监督。在使用程序前加入用户信息填写，精准区分学习用户的身份（普通货物、危化品运输、校车、建筑垃圾清运等），根据用户填写信息进行校验。</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车驾管业务预约叫号协同系统</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基于现有的大厅线上预约系统及交管类大厅到场取号时的人员身份核验痛点，提升产品体验实现能力升级，对接警务大厅及车管所大厅的取号机，通过结合支付宝的人脸核验能力，打通用户线下取号的最后一步，真正做到用户线上可预约、到场刷脸核验可取号、取号进度可感知，办理后进度可查询、服务可评价的全流程闭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智能回复小助手接口集成</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交管大模型是一个智能助手，它通过接入科技处开发的</w:t>
                  </w:r>
                  <w:r>
                    <w:rPr>
                      <w:rFonts w:ascii="宋体" w:hAnsi="宋体" w:cs="宋体" w:eastAsia="宋体"/>
                      <w:sz w:val="24"/>
                    </w:rPr>
                    <w:t>“交管AI大模型”功能接口，经过AI知识库的补充和训练，可以为用户提供智能的问题回答服务。</w:t>
                  </w:r>
                </w:p>
                <w:p>
                  <w:pPr>
                    <w:pStyle w:val="null3"/>
                    <w:jc w:val="both"/>
                  </w:pPr>
                  <w:r>
                    <w:rPr>
                      <w:rFonts w:ascii="宋体" w:hAnsi="宋体" w:cs="宋体" w:eastAsia="宋体"/>
                      <w:sz w:val="24"/>
                    </w:rPr>
                    <w:t>1.接口集成与访问权限管理: 实现对“交管 AI 大模型”接口的集成。</w:t>
                  </w:r>
                </w:p>
                <w:p>
                  <w:pPr>
                    <w:pStyle w:val="null3"/>
                    <w:jc w:val="both"/>
                  </w:pPr>
                  <w:r>
                    <w:rPr>
                      <w:rFonts w:ascii="宋体" w:hAnsi="宋体" w:cs="宋体" w:eastAsia="宋体"/>
                      <w:sz w:val="24"/>
                    </w:rPr>
                    <w:t>2.AI知识库的补充和训练: 提供功能来补充和训练AI知识库。这使得接口能够在新的问题或情境下提供准确的回答。</w:t>
                  </w:r>
                </w:p>
                <w:p>
                  <w:pPr>
                    <w:pStyle w:val="null3"/>
                    <w:jc w:val="both"/>
                  </w:pPr>
                  <w:r>
                    <w:rPr>
                      <w:rFonts w:ascii="宋体" w:hAnsi="宋体" w:cs="宋体" w:eastAsia="宋体"/>
                      <w:sz w:val="24"/>
                    </w:rPr>
                    <w:t>3.用户问题分析与处理: 将用户提出的问题传递给大模型，进行分析和处理，以便找到最佳的答案。</w:t>
                  </w:r>
                </w:p>
                <w:p>
                  <w:pPr>
                    <w:pStyle w:val="null3"/>
                    <w:jc w:val="both"/>
                  </w:pPr>
                  <w:r>
                    <w:rPr>
                      <w:rFonts w:ascii="宋体" w:hAnsi="宋体" w:cs="宋体" w:eastAsia="宋体"/>
                      <w:sz w:val="24"/>
                    </w:rPr>
                    <w:t>4.错误处理与意外情况应对: 处理不清晰的问题，尝试猜测用户的意图，或在模型无法回答时提供相应处理。这可能包括将问题重新定向给人工操作员或提供其他支持。</w:t>
                  </w:r>
                </w:p>
                <w:p>
                  <w:pPr>
                    <w:pStyle w:val="null3"/>
                    <w:jc w:val="both"/>
                  </w:pPr>
                  <w:r>
                    <w:rPr>
                      <w:rFonts w:ascii="宋体" w:hAnsi="宋体" w:cs="宋体" w:eastAsia="宋体"/>
                      <w:sz w:val="24"/>
                    </w:rPr>
                    <w:t>5.性能和稳定性: 确保接口在高负载下运行良好，能够快速响应用户的问题，并保持稳定性。</w:t>
                  </w:r>
                </w:p>
                <w:p>
                  <w:pPr>
                    <w:pStyle w:val="null3"/>
                    <w:jc w:val="both"/>
                  </w:pPr>
                  <w:r>
                    <w:rPr>
                      <w:rFonts w:ascii="宋体" w:hAnsi="宋体" w:cs="宋体" w:eastAsia="宋体"/>
                      <w:sz w:val="24"/>
                    </w:rPr>
                    <w:t>6.数据隐私与安全性: 保护用户提供的数据和交互的隐私，确保不会泄露敏感信息。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平台运营</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主要分为</w:t>
                  </w:r>
                  <w:r>
                    <w:rPr>
                      <w:rFonts w:ascii="宋体" w:hAnsi="宋体" w:cs="宋体" w:eastAsia="宋体"/>
                      <w:sz w:val="24"/>
                    </w:rPr>
                    <w:t>2大类：“功能运营”、“数据安全运营”。</w:t>
                  </w:r>
                </w:p>
                <w:p>
                  <w:pPr>
                    <w:pStyle w:val="null3"/>
                    <w:jc w:val="both"/>
                  </w:pPr>
                  <w:r>
                    <w:rPr>
                      <w:rFonts w:ascii="宋体" w:hAnsi="宋体" w:cs="宋体" w:eastAsia="宋体"/>
                      <w:sz w:val="24"/>
                    </w:rPr>
                    <w:t>1.【功能运营】功能支持与问题解决：在各个功能管理群内，提供针对服务号功能的解答和支持；业务功能巡检与数据分析： 针对重点业务，进行每日巡检，监控功能运行情况，定期进行数据汇总与分析，提供有关用户使用情况、反馈和活跃度等方面的报告，以支持业务决策和改进；用户培训和支持： 为管理员提供培训和支持，确保他们能够熟练使用微信服务号的各项功能，及时解决问题，提高用户满意度；配备人工电话问题解答与指导：专业客服人员将耐心听取用户问题，提供准确的问题解答和操作指导，帮助用户克服使用难题。</w:t>
                  </w:r>
                </w:p>
                <w:p>
                  <w:pPr>
                    <w:pStyle w:val="null3"/>
                    <w:jc w:val="both"/>
                  </w:pPr>
                  <w:r>
                    <w:rPr>
                      <w:rFonts w:ascii="宋体" w:hAnsi="宋体" w:cs="宋体" w:eastAsia="宋体"/>
                      <w:sz w:val="24"/>
                    </w:rPr>
                    <w:t>2.【数据安全运营】线上网络环境日常巡检、系统监控、对告警问题进行日常分析、处理；业务系统、运行环境问题日常运维维护调整；程序问题收集，对收集的程序问题日志协助开发人员处理；处理程序发布、升级、完善自动部署平台；配合开发配置软件环境，调整程序的配置、路由关系等；业务系统数据的备份和恢复，编写脚本制定自动备份机制；数据库数据恢复的日常演练，及数据的保全；对新业务、新功能上线所需系统、环境进行调整，架构优化。</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信息发布功能</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1.宣传推文撰写与发布：撰写高质量的宣传推文，确保内容准确、易懂，并符合品牌形象。</w:t>
                  </w:r>
                </w:p>
                <w:p>
                  <w:pPr>
                    <w:pStyle w:val="null3"/>
                    <w:jc w:val="both"/>
                  </w:pPr>
                  <w:r>
                    <w:rPr>
                      <w:rFonts w:ascii="宋体" w:hAnsi="宋体" w:cs="宋体" w:eastAsia="宋体"/>
                      <w:sz w:val="24"/>
                    </w:rPr>
                    <w:t>制定发布计划，按照每周</w:t>
                  </w:r>
                  <w:r>
                    <w:rPr>
                      <w:rFonts w:ascii="宋体" w:hAnsi="宋体" w:cs="宋体" w:eastAsia="宋体"/>
                      <w:sz w:val="24"/>
                    </w:rPr>
                    <w:t>8篇的频率，全年共发布384篇推文。并针对不同主题和活动，灵活调整发布时间和内容。</w:t>
                  </w:r>
                </w:p>
                <w:p>
                  <w:pPr>
                    <w:pStyle w:val="null3"/>
                    <w:jc w:val="both"/>
                  </w:pPr>
                  <w:r>
                    <w:rPr>
                      <w:rFonts w:ascii="宋体" w:hAnsi="宋体" w:cs="宋体" w:eastAsia="宋体"/>
                      <w:sz w:val="24"/>
                    </w:rPr>
                    <w:t>2.多元内容覆盖：设计多样化的内容分类，包括功能宣传推广、驾管信息、违法曝光、交通行车知识、新闻报道、新政发布等。</w:t>
                  </w:r>
                </w:p>
                <w:p>
                  <w:pPr>
                    <w:pStyle w:val="null3"/>
                    <w:jc w:val="both"/>
                  </w:pPr>
                  <w:r>
                    <w:rPr>
                      <w:rFonts w:ascii="宋体" w:hAnsi="宋体" w:cs="宋体" w:eastAsia="宋体"/>
                      <w:sz w:val="24"/>
                    </w:rPr>
                    <w:t>确保内容丰富多彩，既能传递实用信息，又能吸引读者兴趣。</w:t>
                  </w:r>
                </w:p>
                <w:p>
                  <w:pPr>
                    <w:pStyle w:val="null3"/>
                    <w:jc w:val="both"/>
                  </w:pPr>
                  <w:r>
                    <w:rPr>
                      <w:rFonts w:ascii="宋体" w:hAnsi="宋体" w:cs="宋体" w:eastAsia="宋体"/>
                      <w:sz w:val="24"/>
                    </w:rPr>
                    <w:t>3.内容创意与视觉设计：确保推文内容有创意，能够引起读者兴趣，促使互动和分享。配合视觉设计团队，设计吸引眼球的图文排版，提升推文的可读性和美感。</w:t>
                  </w:r>
                </w:p>
                <w:p>
                  <w:pPr>
                    <w:pStyle w:val="null3"/>
                    <w:jc w:val="both"/>
                  </w:pPr>
                  <w:r>
                    <w:rPr>
                      <w:rFonts w:ascii="宋体" w:hAnsi="宋体" w:cs="宋体" w:eastAsia="宋体"/>
                      <w:sz w:val="24"/>
                    </w:rPr>
                    <w:t>4.信息准确性与权威性：严格核实所发布信息的准确性和真实性，确保读者获得可信赖的信息。</w:t>
                  </w:r>
                </w:p>
                <w:p>
                  <w:pPr>
                    <w:pStyle w:val="null3"/>
                    <w:jc w:val="both"/>
                  </w:pPr>
                  <w:r>
                    <w:rPr>
                      <w:rFonts w:ascii="宋体" w:hAnsi="宋体" w:cs="宋体" w:eastAsia="宋体"/>
                      <w:sz w:val="24"/>
                    </w:rPr>
                    <w:t>对驾管信息、新政发布等内容，特别注意权威渠道的信息核实，以保证发布内容的权威性。</w:t>
                  </w:r>
                </w:p>
                <w:p>
                  <w:pPr>
                    <w:pStyle w:val="null3"/>
                    <w:jc w:val="both"/>
                  </w:pPr>
                  <w:r>
                    <w:rPr>
                      <w:rFonts w:ascii="宋体" w:hAnsi="宋体" w:cs="宋体" w:eastAsia="宋体"/>
                      <w:sz w:val="24"/>
                    </w:rPr>
                    <w:t>5.互动与回应：鼓励读者进行评论、点赞和分享，提高内容的互动性和传播效果。及时回应读者提问，解答疑惑，增强用户与平台的互动体验。</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活动策划积分兑换</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1.活动策划：我们将设计多样化的线上活动，可通过交通安全知识竞赛、交规答题挑战、分享交通经验等，吸引用户积极参与。活动将兼顾趣味性和教育性，确保用户在参与中获得乐趣和实用知识。</w:t>
                  </w:r>
                </w:p>
                <w:p>
                  <w:pPr>
                    <w:pStyle w:val="null3"/>
                    <w:jc w:val="both"/>
                  </w:pPr>
                  <w:r>
                    <w:rPr>
                      <w:rFonts w:ascii="宋体" w:hAnsi="宋体" w:cs="宋体" w:eastAsia="宋体"/>
                      <w:sz w:val="24"/>
                    </w:rPr>
                    <w:t>2.绿色积分应用：我们将对现有的绿色积分系统进行优化，确保用户在参与活动后能够获得积分奖励，积分将作为用户参与活动、分享内容、互动评论的回馈，激励用户更频繁地参与平台活动。</w:t>
                  </w:r>
                </w:p>
                <w:p>
                  <w:pPr>
                    <w:pStyle w:val="null3"/>
                    <w:jc w:val="both"/>
                  </w:pPr>
                  <w:r>
                    <w:rPr>
                      <w:rFonts w:ascii="宋体" w:hAnsi="宋体" w:cs="宋体" w:eastAsia="宋体"/>
                      <w:sz w:val="24"/>
                    </w:rPr>
                    <w:t>3.活动推广与宣传：我们将精心制定活动推广计划，通过自媒体平台、社交媒体、官方渠道进行宣传，吸引更多用户参与活动。同时，活动的主题、奖励等将与平台的定位和用户需求紧密结合，提高活动吸引力。</w:t>
                  </w:r>
                </w:p>
                <w:p>
                  <w:pPr>
                    <w:pStyle w:val="null3"/>
                    <w:jc w:val="both"/>
                  </w:pPr>
                  <w:r>
                    <w:rPr>
                      <w:rFonts w:ascii="宋体" w:hAnsi="宋体" w:cs="宋体" w:eastAsia="宋体"/>
                      <w:sz w:val="24"/>
                    </w:rPr>
                    <w:t>4.奖励机制与兑换商城：我们将建立积分奖励机制，设立积分兑换商城，用户可以使用绿色积分兑换各类实物奖励、折扣券、交通安全教育课程等，增强用户积极参与的动力和兑换的价值感。</w:t>
                  </w:r>
                </w:p>
                <w:p>
                  <w:pPr>
                    <w:pStyle w:val="null3"/>
                    <w:jc w:val="both"/>
                  </w:pPr>
                  <w:r>
                    <w:rPr>
                      <w:rFonts w:ascii="宋体" w:hAnsi="宋体" w:cs="宋体" w:eastAsia="宋体"/>
                      <w:sz w:val="24"/>
                    </w:rPr>
                    <w:t>5.数据分析与持续改进：我们将通过数据分析，了解用户参与活动的情况、积分兑换的趋势等，为后续活动策划和奖励机制的优化提供有力支持，不断提升用户满意度和平台价值。</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运营</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信息服务</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1.配备网络安全专员驻场提供网络信息监测服务。</w:t>
                  </w:r>
                </w:p>
                <w:p>
                  <w:pPr>
                    <w:pStyle w:val="null3"/>
                    <w:jc w:val="both"/>
                  </w:pPr>
                  <w:r>
                    <w:rPr>
                      <w:rFonts w:ascii="宋体" w:hAnsi="宋体" w:cs="宋体" w:eastAsia="宋体"/>
                      <w:sz w:val="24"/>
                    </w:rPr>
                    <w:t>2.实时搜集整理涉警信息，分类推送并提供处置建议。定期出具网络信息服务监测分析报告，并根据甲方需求提供专项工作、任意时段的专题</w:t>
                  </w:r>
                  <w:r>
                    <w:rPr>
                      <w:rFonts w:ascii="宋体" w:hAnsi="宋体" w:cs="宋体" w:eastAsia="宋体"/>
                      <w:sz w:val="24"/>
                    </w:rPr>
                    <w:t>网络信息服务</w:t>
                  </w:r>
                  <w:r>
                    <w:rPr>
                      <w:rFonts w:ascii="宋体" w:hAnsi="宋体" w:cs="宋体" w:eastAsia="宋体"/>
                      <w:sz w:val="24"/>
                    </w:rPr>
                    <w:t>监测分析报告，配合做好</w:t>
                  </w:r>
                  <w:r>
                    <w:rPr>
                      <w:rFonts w:ascii="宋体" w:hAnsi="宋体" w:cs="宋体" w:eastAsia="宋体"/>
                      <w:sz w:val="24"/>
                    </w:rPr>
                    <w:t>网络信息服务</w:t>
                  </w:r>
                  <w:r>
                    <w:rPr>
                      <w:rFonts w:ascii="宋体" w:hAnsi="宋体" w:cs="宋体" w:eastAsia="宋体"/>
                      <w:sz w:val="24"/>
                    </w:rPr>
                    <w:t>处理及业务信息数据整合、汇报。</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技术开发</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社会化车驾管服务机构备案系统</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1.本系统面向社会化力量承办的驾驶人体检站、机动车登记服务站、机动车安全技术检验机构、驾驶人考场、机动车抵押登记服务站备案；</w:t>
                  </w:r>
                </w:p>
                <w:p>
                  <w:pPr>
                    <w:pStyle w:val="null3"/>
                    <w:jc w:val="both"/>
                  </w:pPr>
                  <w:r>
                    <w:rPr>
                      <w:rFonts w:ascii="宋体" w:hAnsi="宋体" w:cs="宋体" w:eastAsia="宋体"/>
                      <w:sz w:val="24"/>
                    </w:rPr>
                    <w:t>2.服务机构在pc后台系统填写申请信息并提交相关资料发起备案申请；</w:t>
                  </w:r>
                </w:p>
                <w:p>
                  <w:pPr>
                    <w:pStyle w:val="null3"/>
                    <w:jc w:val="both"/>
                  </w:pPr>
                  <w:r>
                    <w:rPr>
                      <w:rFonts w:ascii="宋体" w:hAnsi="宋体" w:cs="宋体" w:eastAsia="宋体"/>
                      <w:sz w:val="24"/>
                    </w:rPr>
                    <w:t>3.由车管所进行资料受理，资料不完整退回申请；</w:t>
                  </w:r>
                </w:p>
                <w:p>
                  <w:pPr>
                    <w:pStyle w:val="null3"/>
                    <w:jc w:val="both"/>
                  </w:pPr>
                  <w:r>
                    <w:rPr>
                      <w:rFonts w:ascii="宋体" w:hAnsi="宋体" w:cs="宋体" w:eastAsia="宋体"/>
                      <w:sz w:val="24"/>
                    </w:rPr>
                    <w:t>4.资料初审，资料通过上传模式提交并分发给涉及业务科室；</w:t>
                  </w:r>
                </w:p>
                <w:p>
                  <w:pPr>
                    <w:pStyle w:val="null3"/>
                    <w:jc w:val="both"/>
                  </w:pPr>
                  <w:r>
                    <w:rPr>
                      <w:rFonts w:ascii="宋体" w:hAnsi="宋体" w:cs="宋体" w:eastAsia="宋体"/>
                      <w:sz w:val="24"/>
                    </w:rPr>
                    <w:t>5.现场勘验，业务科室对服务机构备案申请进行审核，并上传现场勘验报告；</w:t>
                  </w:r>
                </w:p>
                <w:p>
                  <w:pPr>
                    <w:pStyle w:val="null3"/>
                    <w:jc w:val="both"/>
                  </w:pPr>
                  <w:r>
                    <w:rPr>
                      <w:rFonts w:ascii="宋体" w:hAnsi="宋体" w:cs="宋体" w:eastAsia="宋体"/>
                      <w:sz w:val="24"/>
                    </w:rPr>
                    <w:t>6.业务流转，支队领导对服务机构备案申请进行审批；</w:t>
                  </w:r>
                </w:p>
                <w:p>
                  <w:pPr>
                    <w:pStyle w:val="null3"/>
                    <w:jc w:val="both"/>
                  </w:pPr>
                  <w:r>
                    <w:rPr>
                      <w:rFonts w:ascii="宋体" w:hAnsi="宋体" w:cs="宋体" w:eastAsia="宋体"/>
                      <w:sz w:val="24"/>
                    </w:rPr>
                    <w:t>7.竣工申请与验收，业务科室对竣工验收申请进行审批，并上传验收结果报告；</w:t>
                  </w:r>
                </w:p>
                <w:p>
                  <w:pPr>
                    <w:pStyle w:val="null3"/>
                    <w:jc w:val="both"/>
                  </w:pPr>
                  <w:r>
                    <w:rPr>
                      <w:rFonts w:ascii="宋体" w:hAnsi="宋体" w:cs="宋体" w:eastAsia="宋体"/>
                      <w:sz w:val="24"/>
                    </w:rPr>
                    <w:t>8.业务管理，系统管理员可设置服务机构类型，并可以为服务机构类型维护备案所需上传资料清单；</w:t>
                  </w:r>
                </w:p>
                <w:p>
                  <w:pPr>
                    <w:pStyle w:val="null3"/>
                    <w:jc w:val="both"/>
                  </w:pPr>
                  <w:r>
                    <w:rPr>
                      <w:rFonts w:ascii="宋体" w:hAnsi="宋体" w:cs="宋体" w:eastAsia="宋体"/>
                      <w:sz w:val="24"/>
                    </w:rPr>
                    <w:t>9.预警功能，系统自动预警超过时限未完结的环节，待该环节完成审批后预警撤销；</w:t>
                  </w:r>
                </w:p>
                <w:p>
                  <w:pPr>
                    <w:pStyle w:val="null3"/>
                    <w:jc w:val="both"/>
                  </w:pPr>
                  <w:r>
                    <w:rPr>
                      <w:rFonts w:ascii="宋体" w:hAnsi="宋体" w:cs="宋体" w:eastAsia="宋体"/>
                      <w:sz w:val="24"/>
                    </w:rPr>
                    <w:t>10.业务分析统计功能，可按业务类型、申请时间、业务当前流转状态，对业务数据进行分析数据统计；</w:t>
                  </w:r>
                </w:p>
                <w:p>
                  <w:pPr>
                    <w:pStyle w:val="null3"/>
                    <w:jc w:val="both"/>
                  </w:pPr>
                  <w:r>
                    <w:rPr>
                      <w:rFonts w:ascii="宋体" w:hAnsi="宋体" w:cs="宋体" w:eastAsia="宋体"/>
                      <w:sz w:val="24"/>
                    </w:rPr>
                    <w:t>11.信息推送，对业务受理的整个流程进行信息推送；</w:t>
                  </w:r>
                </w:p>
                <w:p>
                  <w:pPr>
                    <w:pStyle w:val="null3"/>
                    <w:jc w:val="both"/>
                  </w:pPr>
                  <w:r>
                    <w:rPr>
                      <w:rFonts w:ascii="宋体" w:hAnsi="宋体" w:cs="宋体" w:eastAsia="宋体"/>
                      <w:sz w:val="24"/>
                    </w:rPr>
                    <w:t>12.角色管理，对不同角色权限管理员设置不同的功能权限。</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技术开发</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积分兑换商城</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1.建设积分兑换商城入口；</w:t>
                  </w:r>
                </w:p>
                <w:p>
                  <w:pPr>
                    <w:pStyle w:val="null3"/>
                    <w:jc w:val="both"/>
                  </w:pPr>
                  <w:r>
                    <w:rPr>
                      <w:rFonts w:ascii="宋体" w:hAnsi="宋体" w:cs="宋体" w:eastAsia="宋体"/>
                      <w:sz w:val="24"/>
                    </w:rPr>
                    <w:t>2.调取用户积分接口，对用户积分进行识别智能筛选；</w:t>
                  </w:r>
                </w:p>
                <w:p>
                  <w:pPr>
                    <w:pStyle w:val="null3"/>
                    <w:jc w:val="both"/>
                  </w:pPr>
                  <w:r>
                    <w:rPr>
                      <w:rFonts w:ascii="宋体" w:hAnsi="宋体" w:cs="宋体" w:eastAsia="宋体"/>
                      <w:sz w:val="24"/>
                    </w:rPr>
                    <w:t>3.积分兑换核减功能；</w:t>
                  </w:r>
                </w:p>
                <w:p>
                  <w:pPr>
                    <w:pStyle w:val="null3"/>
                    <w:jc w:val="both"/>
                  </w:pPr>
                  <w:r>
                    <w:rPr>
                      <w:rFonts w:ascii="宋体" w:hAnsi="宋体" w:cs="宋体" w:eastAsia="宋体"/>
                      <w:sz w:val="24"/>
                    </w:rPr>
                    <w:t>4.微信后台建立积分商城，通过上传兑换商品、兑换积分数、名称等编辑内容；</w:t>
                  </w:r>
                </w:p>
                <w:p>
                  <w:pPr>
                    <w:pStyle w:val="null3"/>
                    <w:jc w:val="both"/>
                  </w:pPr>
                  <w:r>
                    <w:rPr>
                      <w:rFonts w:ascii="宋体" w:hAnsi="宋体" w:cs="宋体" w:eastAsia="宋体"/>
                      <w:sz w:val="24"/>
                    </w:rPr>
                    <w:t>5.对后台商品进行增加删除选项；</w:t>
                  </w:r>
                </w:p>
                <w:p>
                  <w:pPr>
                    <w:pStyle w:val="null3"/>
                    <w:jc w:val="both"/>
                  </w:pPr>
                  <w:r>
                    <w:rPr>
                      <w:rFonts w:ascii="宋体" w:hAnsi="宋体" w:cs="宋体" w:eastAsia="宋体"/>
                      <w:sz w:val="24"/>
                    </w:rPr>
                    <w:t>6.兑换用户数据信息展示；</w:t>
                  </w:r>
                </w:p>
                <w:p>
                  <w:pPr>
                    <w:pStyle w:val="null3"/>
                    <w:jc w:val="both"/>
                  </w:pPr>
                  <w:r>
                    <w:rPr>
                      <w:rFonts w:ascii="宋体" w:hAnsi="宋体" w:cs="宋体" w:eastAsia="宋体"/>
                      <w:sz w:val="24"/>
                    </w:rPr>
                    <w:t>7.快递地址信息收集及商品发送（由第三方公司完成）；</w:t>
                  </w:r>
                </w:p>
                <w:p>
                  <w:pPr>
                    <w:pStyle w:val="null3"/>
                    <w:jc w:val="both"/>
                  </w:pPr>
                  <w:r>
                    <w:rPr>
                      <w:rFonts w:ascii="宋体" w:hAnsi="宋体" w:cs="宋体" w:eastAsia="宋体"/>
                      <w:sz w:val="24"/>
                    </w:rPr>
                    <w:t>8.信息推送，对用户兑换信息、状态进行实时推送；</w:t>
                  </w:r>
                </w:p>
                <w:p>
                  <w:pPr>
                    <w:pStyle w:val="null3"/>
                    <w:jc w:val="both"/>
                  </w:pPr>
                  <w:r>
                    <w:rPr>
                      <w:rFonts w:ascii="宋体" w:hAnsi="宋体" w:cs="宋体" w:eastAsia="宋体"/>
                      <w:sz w:val="24"/>
                    </w:rPr>
                    <w:t>9.建立商城积分兑换机制。</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配套服务</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硬件</w:t>
                  </w:r>
                  <w:r>
                    <w:rPr>
                      <w:rFonts w:ascii="宋体" w:hAnsi="宋体" w:cs="宋体" w:eastAsia="宋体"/>
                      <w:sz w:val="24"/>
                    </w:rPr>
                    <w:t>保障</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摄像机（索尼</w:t>
                  </w:r>
                  <w:r>
                    <w:rPr>
                      <w:rFonts w:ascii="宋体" w:hAnsi="宋体" w:cs="宋体" w:eastAsia="宋体"/>
                      <w:sz w:val="24"/>
                    </w:rPr>
                    <w:t>ILME-FX3）、镜头（索尼SEL2470GM）FE 24-70mm F2.8 GM、存储卡（索尼SF-G128T(128G)300m/s)128G 300m/s、电脑主机、显示器（明基PD3205U）、键盘（罗技K845）、鼠标（罗技G502 HERO）、笔记本电脑（华硕15.6英寸 i5-12500H 16G 512G）</w:t>
                  </w:r>
                  <w:r>
                    <w:rPr>
                      <w:rFonts w:ascii="宋体" w:hAnsi="宋体" w:cs="宋体" w:eastAsia="宋体"/>
                      <w:sz w:val="24"/>
                    </w:rPr>
                    <w:t>，</w:t>
                  </w:r>
                  <w:r>
                    <w:rPr>
                      <w:rFonts w:ascii="宋体" w:hAnsi="宋体" w:cs="宋体" w:eastAsia="宋体"/>
                      <w:sz w:val="24"/>
                    </w:rPr>
                    <w:t>需按照需求提供以上设备（或性能同等及以上）供甲方使用。</w:t>
                  </w:r>
                </w:p>
                <w:p>
                  <w:pPr>
                    <w:pStyle w:val="null3"/>
                    <w:jc w:val="both"/>
                  </w:pPr>
                  <w:r>
                    <w:rPr>
                      <w:rFonts w:ascii="宋体" w:hAnsi="宋体" w:cs="宋体" w:eastAsia="宋体"/>
                      <w:sz w:val="24"/>
                    </w:rPr>
                    <w:t>注：具体</w:t>
                  </w:r>
                  <w:r>
                    <w:rPr>
                      <w:rFonts w:ascii="宋体" w:hAnsi="宋体" w:cs="宋体" w:eastAsia="宋体"/>
                      <w:sz w:val="24"/>
                    </w:rPr>
                    <w:t>保障</w:t>
                  </w:r>
                  <w:r>
                    <w:rPr>
                      <w:rFonts w:ascii="宋体" w:hAnsi="宋体" w:cs="宋体" w:eastAsia="宋体"/>
                      <w:sz w:val="24"/>
                    </w:rPr>
                    <w:t>设备参数根据设备更新迭代情况进行合理调整</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配套服务</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物料印刷</w:t>
                  </w:r>
                </w:p>
              </w:tc>
              <w:tc>
                <w:tcPr>
                  <w:tcW w:type="dxa" w:w="1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1.物料需求：与相关部门（如宣法处、项目团队等）沟通，确认物料的具体需求和规格，包括展板尺寸、海报内容等。</w:t>
                  </w:r>
                </w:p>
                <w:p>
                  <w:pPr>
                    <w:pStyle w:val="null3"/>
                    <w:jc w:val="both"/>
                  </w:pPr>
                  <w:r>
                    <w:rPr>
                      <w:rFonts w:ascii="宋体" w:hAnsi="宋体" w:cs="宋体" w:eastAsia="宋体"/>
                      <w:sz w:val="24"/>
                    </w:rPr>
                    <w:t>2.设计与创意策划：协助设计团队进行物料设计，制作吸引人的展板和海报，确保视觉效果与项目定位相符，能够吸引目标受众的注意。</w:t>
                  </w:r>
                </w:p>
                <w:p>
                  <w:pPr>
                    <w:pStyle w:val="null3"/>
                    <w:jc w:val="both"/>
                  </w:pPr>
                  <w:r>
                    <w:rPr>
                      <w:rFonts w:ascii="宋体" w:hAnsi="宋体" w:cs="宋体" w:eastAsia="宋体"/>
                      <w:sz w:val="24"/>
                    </w:rPr>
                    <w:t>3.内容编排与信息传达：确保展板和海报内容准确、简洁地传达项目的信息、功能使用方法或活动详情，使观众能够迅速理解和获取所需信息。</w:t>
                  </w:r>
                </w:p>
                <w:p>
                  <w:pPr>
                    <w:pStyle w:val="null3"/>
                    <w:jc w:val="both"/>
                  </w:pPr>
                  <w:r>
                    <w:rPr>
                      <w:rFonts w:ascii="宋体" w:hAnsi="宋体" w:cs="宋体" w:eastAsia="宋体"/>
                      <w:sz w:val="24"/>
                    </w:rPr>
                    <w:t>4.活动支持与推广：制作活动宣传海报，将重要活动的时间、地点、内容等信息传达给目标受众，提高活动的知名度和参与度。</w:t>
                  </w:r>
                </w:p>
                <w:p>
                  <w:pPr>
                    <w:pStyle w:val="null3"/>
                    <w:jc w:val="both"/>
                  </w:pPr>
                  <w:r>
                    <w:rPr>
                      <w:rFonts w:ascii="宋体" w:hAnsi="宋体" w:cs="宋体" w:eastAsia="宋体"/>
                      <w:sz w:val="24"/>
                    </w:rPr>
                    <w:t>5.门型展架20 个（100*200cm 金属外框+KT板画面350元/套）、易拉宝 10 个（80*200cm 铝型材外框+PVC硬片画面——130元/套）</w:t>
                  </w:r>
                </w:p>
              </w:tc>
            </w:tr>
          </w:tbl>
          <w:p>
            <w:pPr>
              <w:pStyle w:val="null3"/>
              <w:jc w:val="both"/>
            </w:pPr>
            <w:r>
              <w:rPr>
                <w:rFonts w:ascii="宋体" w:hAnsi="宋体" w:cs="宋体" w:eastAsia="宋体"/>
                <w:sz w:val="24"/>
              </w:rPr>
              <w:t>三、技术要求</w:t>
            </w:r>
          </w:p>
          <w:p>
            <w:pPr>
              <w:pStyle w:val="null3"/>
              <w:jc w:val="both"/>
            </w:pPr>
            <w:r>
              <w:rPr>
                <w:rFonts w:ascii="宋体" w:hAnsi="宋体" w:cs="宋体" w:eastAsia="宋体"/>
                <w:sz w:val="24"/>
              </w:rPr>
              <w:t>（一）开发技术要求：</w:t>
            </w:r>
          </w:p>
          <w:p>
            <w:pPr>
              <w:pStyle w:val="null3"/>
              <w:jc w:val="both"/>
            </w:pPr>
            <w:r>
              <w:rPr>
                <w:rFonts w:ascii="宋体" w:hAnsi="宋体" w:cs="宋体" w:eastAsia="宋体"/>
                <w:sz w:val="24"/>
              </w:rPr>
              <w:t>软件分析及设计方法：采用面向对象的分析</w:t>
            </w:r>
            <w:r>
              <w:rPr>
                <w:rFonts w:ascii="宋体" w:hAnsi="宋体" w:cs="宋体" w:eastAsia="宋体"/>
                <w:sz w:val="24"/>
              </w:rPr>
              <w:t>/设计方法。</w:t>
            </w:r>
          </w:p>
          <w:p>
            <w:pPr>
              <w:pStyle w:val="null3"/>
              <w:jc w:val="both"/>
            </w:pPr>
            <w:r>
              <w:rPr>
                <w:rFonts w:ascii="宋体" w:hAnsi="宋体" w:cs="宋体" w:eastAsia="宋体"/>
                <w:sz w:val="24"/>
              </w:rPr>
              <w:t>开发语言：适用于大型企业级应用程序和跨平台开发语言。</w:t>
            </w:r>
          </w:p>
          <w:p>
            <w:pPr>
              <w:pStyle w:val="null3"/>
              <w:jc w:val="both"/>
            </w:pPr>
            <w:r>
              <w:rPr>
                <w:rFonts w:ascii="宋体" w:hAnsi="宋体" w:cs="宋体" w:eastAsia="宋体"/>
                <w:sz w:val="24"/>
              </w:rPr>
              <w:t>开发框架：企业级开发框架，以简化开发、提高效率并遵循业界标准。</w:t>
            </w:r>
          </w:p>
          <w:p>
            <w:pPr>
              <w:pStyle w:val="null3"/>
              <w:jc w:val="both"/>
            </w:pPr>
            <w:r>
              <w:rPr>
                <w:rFonts w:ascii="宋体" w:hAnsi="宋体" w:cs="宋体" w:eastAsia="宋体"/>
                <w:sz w:val="24"/>
              </w:rPr>
              <w:t>编码规范：遵循一定的编码规范，确保代码的可读性、可维护性。</w:t>
            </w:r>
          </w:p>
          <w:p>
            <w:pPr>
              <w:pStyle w:val="null3"/>
              <w:jc w:val="both"/>
            </w:pPr>
            <w:r>
              <w:rPr>
                <w:rFonts w:ascii="宋体" w:hAnsi="宋体" w:cs="宋体" w:eastAsia="宋体"/>
                <w:sz w:val="24"/>
              </w:rPr>
              <w:t>SQL：结构化查询语言。</w:t>
            </w:r>
          </w:p>
          <w:p>
            <w:pPr>
              <w:pStyle w:val="null3"/>
              <w:jc w:val="left"/>
            </w:pPr>
            <w:r>
              <w:rPr>
                <w:rFonts w:ascii="宋体" w:hAnsi="宋体" w:cs="宋体" w:eastAsia="宋体"/>
                <w:sz w:val="24"/>
              </w:rPr>
              <w:t>运维技术要求：</w:t>
            </w:r>
          </w:p>
          <w:p>
            <w:pPr>
              <w:pStyle w:val="null3"/>
              <w:jc w:val="left"/>
            </w:pPr>
            <w:r>
              <w:rPr>
                <w:rFonts w:ascii="宋体" w:hAnsi="宋体" w:cs="宋体" w:eastAsia="宋体"/>
                <w:sz w:val="24"/>
              </w:rPr>
              <w:t>熟悉</w:t>
            </w:r>
            <w:r>
              <w:rPr>
                <w:rFonts w:ascii="宋体" w:hAnsi="宋体" w:cs="宋体" w:eastAsia="宋体"/>
                <w:sz w:val="24"/>
              </w:rPr>
              <w:t>Linux 操作系统，了解简单的网络知识，熟练使用 Nginx、Tomcat、Redis 等中间件，熟悉 MySQL 的高可用部署和数据备份/恢复方法，并且会简单的 SQL 语句，熟悉 Zabbix/Nightingale 监控系统的使用。</w:t>
            </w:r>
          </w:p>
          <w:p>
            <w:pPr>
              <w:pStyle w:val="null3"/>
              <w:jc w:val="both"/>
            </w:pPr>
            <w:r>
              <w:rPr>
                <w:rFonts w:ascii="宋体" w:hAnsi="宋体" w:cs="宋体" w:eastAsia="宋体"/>
                <w:sz w:val="24"/>
              </w:rPr>
              <w:t>（二）故障技术要求</w:t>
            </w:r>
          </w:p>
          <w:p>
            <w:pPr>
              <w:pStyle w:val="null3"/>
              <w:jc w:val="both"/>
            </w:pPr>
            <w:r>
              <w:rPr>
                <w:rFonts w:ascii="宋体" w:hAnsi="宋体" w:cs="宋体" w:eastAsia="宋体"/>
                <w:sz w:val="24"/>
              </w:rPr>
              <w:t>及时发现故障：系统故障处理技术要求能够及时发现系统故障，避免故障对系统运行造成严重影响。</w:t>
            </w:r>
          </w:p>
          <w:p>
            <w:pPr>
              <w:pStyle w:val="null3"/>
              <w:jc w:val="both"/>
            </w:pPr>
            <w:r>
              <w:rPr>
                <w:rFonts w:ascii="宋体" w:hAnsi="宋体" w:cs="宋体" w:eastAsia="宋体"/>
                <w:sz w:val="24"/>
              </w:rPr>
              <w:t>快速定位问题：在发现系统故障后，需要快速定位问题的根本原因，找出故障点，以便进行有效的修复。</w:t>
            </w:r>
          </w:p>
          <w:p>
            <w:pPr>
              <w:pStyle w:val="null3"/>
              <w:jc w:val="both"/>
            </w:pPr>
            <w:r>
              <w:rPr>
                <w:rFonts w:ascii="宋体" w:hAnsi="宋体" w:cs="宋体" w:eastAsia="宋体"/>
                <w:sz w:val="24"/>
              </w:rPr>
              <w:t>高效修复故障：系统故障处理技术要求能够高效修复故障，缩短系统停机时间，减少对业务的影响。</w:t>
            </w:r>
          </w:p>
          <w:p>
            <w:pPr>
              <w:pStyle w:val="null3"/>
              <w:jc w:val="both"/>
            </w:pPr>
            <w:r>
              <w:rPr>
                <w:rFonts w:ascii="宋体" w:hAnsi="宋体" w:cs="宋体" w:eastAsia="宋体"/>
                <w:sz w:val="24"/>
              </w:rPr>
              <w:t>预防故障再次发生：除了修复故障，系统故障处理技术还要求能够分析故障原因，采取措施预防类似故障再次发生。</w:t>
            </w:r>
          </w:p>
          <w:p>
            <w:pPr>
              <w:pStyle w:val="null3"/>
              <w:jc w:val="both"/>
            </w:pPr>
            <w:r>
              <w:rPr>
                <w:rFonts w:ascii="宋体" w:hAnsi="宋体" w:cs="宋体" w:eastAsia="宋体"/>
                <w:sz w:val="24"/>
              </w:rPr>
              <w:t>完善的故障处理流程：系统故障处理技术要求有完善的故障处理流程，确保故障处理有条不紊。</w:t>
            </w:r>
          </w:p>
          <w:p>
            <w:pPr>
              <w:pStyle w:val="null3"/>
              <w:jc w:val="left"/>
            </w:pPr>
            <w:r>
              <w:rPr>
                <w:rFonts w:ascii="宋体" w:hAnsi="宋体" w:cs="宋体" w:eastAsia="宋体"/>
                <w:sz w:val="24"/>
              </w:rPr>
              <w:t>多样化的故障处理手段：系统故障处理技术要求能够灵活运用各种故障处理手段，包括人工干预、自动化工具、远程监控等，以应对不同类型的系统故障。</w:t>
            </w:r>
          </w:p>
          <w:p>
            <w:pPr>
              <w:pStyle w:val="null3"/>
              <w:jc w:val="left"/>
            </w:pPr>
            <w:r>
              <w:rPr>
                <w:rFonts w:ascii="宋体" w:hAnsi="宋体" w:cs="宋体" w:eastAsia="宋体"/>
                <w:sz w:val="24"/>
              </w:rPr>
              <w:t>四、服务要求（如对人员配置、专业设备、服务标准等）</w:t>
            </w:r>
          </w:p>
          <w:tbl>
            <w:tblPr>
              <w:tblBorders>
                <w:top w:val="none" w:color="000000" w:sz="4"/>
                <w:left w:val="none" w:color="000000" w:sz="4"/>
                <w:bottom w:val="none" w:color="000000" w:sz="4"/>
                <w:right w:val="none" w:color="000000" w:sz="4"/>
                <w:insideH w:val="none"/>
                <w:insideV w:val="none"/>
              </w:tblBorders>
            </w:tblPr>
            <w:tblGrid>
              <w:gridCol w:w="287"/>
              <w:gridCol w:w="686"/>
              <w:gridCol w:w="370"/>
              <w:gridCol w:w="2479"/>
            </w:tblGrid>
            <w:tr>
              <w:tc>
                <w:tcPr>
                  <w:tcW w:type="dxa" w:w="287"/>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宋体" w:hAnsi="宋体" w:cs="宋体" w:eastAsia="宋体"/>
                      <w:sz w:val="24"/>
                    </w:rPr>
                    <w:t>组织</w:t>
                  </w:r>
                </w:p>
              </w:tc>
              <w:tc>
                <w:tcPr>
                  <w:tcW w:type="dxa" w:w="686"/>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宋体" w:hAnsi="宋体" w:cs="宋体" w:eastAsia="宋体"/>
                      <w:sz w:val="24"/>
                    </w:rPr>
                    <w:t>角</w:t>
                  </w:r>
                  <w:r>
                    <w:rPr>
                      <w:rFonts w:ascii="宋体" w:hAnsi="宋体" w:cs="宋体" w:eastAsia="宋体"/>
                      <w:sz w:val="24"/>
                    </w:rPr>
                    <w:t>色</w:t>
                  </w:r>
                </w:p>
              </w:tc>
              <w:tc>
                <w:tcPr>
                  <w:tcW w:type="dxa" w:w="370"/>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宋体" w:hAnsi="宋体" w:cs="宋体" w:eastAsia="宋体"/>
                      <w:sz w:val="24"/>
                    </w:rPr>
                    <w:t>驻场</w:t>
                  </w:r>
                </w:p>
              </w:tc>
              <w:tc>
                <w:tcPr>
                  <w:tcW w:type="dxa" w:w="2479"/>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宋体" w:hAnsi="宋体" w:cs="宋体" w:eastAsia="宋体"/>
                      <w:sz w:val="24"/>
                    </w:rPr>
                    <w:t>职</w:t>
                  </w:r>
                  <w:r>
                    <w:rPr>
                      <w:rFonts w:ascii="宋体" w:hAnsi="宋体" w:cs="宋体" w:eastAsia="宋体"/>
                      <w:sz w:val="24"/>
                    </w:rPr>
                    <w:t xml:space="preserve">    </w:t>
                  </w:r>
                  <w:r>
                    <w:rPr>
                      <w:rFonts w:ascii="宋体" w:hAnsi="宋体" w:cs="宋体" w:eastAsia="宋体"/>
                      <w:sz w:val="24"/>
                    </w:rPr>
                    <w:t>责</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项目管理</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项目经理</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制定项目里程碑、项目总体计划、实施策略及评价考核标准；</w:t>
                  </w:r>
                </w:p>
                <w:p>
                  <w:pPr>
                    <w:pStyle w:val="null3"/>
                    <w:jc w:val="left"/>
                  </w:pPr>
                  <w:r>
                    <w:rPr>
                      <w:rFonts w:ascii="宋体" w:hAnsi="宋体" w:cs="宋体" w:eastAsia="宋体"/>
                      <w:sz w:val="24"/>
                    </w:rPr>
                    <w:t>进行项目资源管理，协调各业务部门之间的关系，协调解决项目实施小组无法独立解决的各种问题；</w:t>
                  </w:r>
                </w:p>
                <w:p>
                  <w:pPr>
                    <w:pStyle w:val="null3"/>
                    <w:jc w:val="left"/>
                  </w:pPr>
                  <w:r>
                    <w:rPr>
                      <w:rFonts w:ascii="宋体" w:hAnsi="宋体" w:cs="宋体" w:eastAsia="宋体"/>
                      <w:sz w:val="24"/>
                    </w:rPr>
                    <w:t>进行项目计划、进度、质量及风险控制</w:t>
                  </w:r>
                  <w:r>
                    <w:rPr>
                      <w:rFonts w:ascii="宋体" w:hAnsi="宋体" w:cs="宋体" w:eastAsia="宋体"/>
                      <w:sz w:val="24"/>
                    </w:rPr>
                    <w:t>,组织召开与项目有关的重要会议；</w:t>
                  </w:r>
                </w:p>
              </w:tc>
            </w:tr>
            <w:tr>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开发小组</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产品经理</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负责项目中功能开发部分的前期调研、需求收集、流程及设计交互原型，对接</w:t>
                  </w:r>
                  <w:r>
                    <w:rPr>
                      <w:rFonts w:ascii="宋体" w:hAnsi="宋体" w:cs="宋体" w:eastAsia="宋体"/>
                      <w:sz w:val="24"/>
                    </w:rPr>
                    <w:t>UI及开发人员，对产品功能进行跟踪及交付</w:t>
                  </w:r>
                </w:p>
                <w:p>
                  <w:pPr>
                    <w:pStyle w:val="null3"/>
                    <w:jc w:val="left"/>
                  </w:pPr>
                  <w:r>
                    <w:rPr>
                      <w:rFonts w:ascii="宋体" w:hAnsi="宋体" w:cs="宋体" w:eastAsia="宋体"/>
                      <w:sz w:val="24"/>
                    </w:rPr>
                    <w:t>负责定制产品范围的讨论与确定</w:t>
                  </w:r>
                </w:p>
                <w:p>
                  <w:pPr>
                    <w:pStyle w:val="null3"/>
                    <w:jc w:val="left"/>
                  </w:pPr>
                  <w:r>
                    <w:rPr>
                      <w:rFonts w:ascii="宋体" w:hAnsi="宋体" w:cs="宋体" w:eastAsia="宋体"/>
                      <w:sz w:val="24"/>
                    </w:rPr>
                    <w:t>负责定制产品功能的详细计划制定与进度跟踪</w:t>
                  </w:r>
                </w:p>
              </w:tc>
            </w:tr>
            <w:tr>
              <w:tc>
                <w:tcPr>
                  <w:tcW w:type="dxa" w:w="287"/>
                  <w:vMerge/>
                  <w:tcBorders>
                    <w:top w:val="none" w:color="000000" w:sz="4"/>
                    <w:left w:val="single" w:color="000000" w:sz="4"/>
                    <w:bottom w:val="single" w:color="000000" w:sz="4"/>
                    <w:right w:val="single" w:color="000000" w:sz="4"/>
                  </w:tcBorders>
                </w:tc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开发经理</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负责定制开发范围的讨论与确定</w:t>
                  </w:r>
                </w:p>
                <w:p>
                  <w:pPr>
                    <w:pStyle w:val="null3"/>
                    <w:jc w:val="left"/>
                  </w:pPr>
                  <w:r>
                    <w:rPr>
                      <w:rFonts w:ascii="宋体" w:hAnsi="宋体" w:cs="宋体" w:eastAsia="宋体"/>
                      <w:sz w:val="24"/>
                    </w:rPr>
                    <w:t>负责定制开发部分的技术平台的评估</w:t>
                  </w:r>
                </w:p>
                <w:p>
                  <w:pPr>
                    <w:pStyle w:val="null3"/>
                    <w:jc w:val="left"/>
                  </w:pPr>
                  <w:r>
                    <w:rPr>
                      <w:rFonts w:ascii="宋体" w:hAnsi="宋体" w:cs="宋体" w:eastAsia="宋体"/>
                      <w:sz w:val="24"/>
                    </w:rPr>
                    <w:t>负责定制开发工作的详细计划的制定与进度控制</w:t>
                  </w:r>
                </w:p>
                <w:p>
                  <w:pPr>
                    <w:pStyle w:val="null3"/>
                    <w:jc w:val="left"/>
                  </w:pPr>
                  <w:r>
                    <w:rPr>
                      <w:rFonts w:ascii="宋体" w:hAnsi="宋体" w:cs="宋体" w:eastAsia="宋体"/>
                      <w:sz w:val="24"/>
                    </w:rPr>
                    <w:t>负责产品开发内容的质量</w:t>
                  </w:r>
                </w:p>
              </w:tc>
            </w:tr>
            <w:tr>
              <w:tc>
                <w:tcPr>
                  <w:tcW w:type="dxa" w:w="287"/>
                  <w:vMerge/>
                  <w:tcBorders>
                    <w:top w:val="none" w:color="000000" w:sz="4"/>
                    <w:left w:val="single" w:color="000000" w:sz="4"/>
                    <w:bottom w:val="single" w:color="000000" w:sz="4"/>
                    <w:right w:val="single" w:color="000000" w:sz="4"/>
                  </w:tcBorders>
                </w:tc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UI设计师</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根据客户提供的主页面</w:t>
                  </w:r>
                  <w:r>
                    <w:rPr>
                      <w:rFonts w:ascii="宋体" w:hAnsi="宋体" w:cs="宋体" w:eastAsia="宋体"/>
                      <w:sz w:val="24"/>
                    </w:rPr>
                    <w:t>,完善细节页面，并配合前端工程师切图处理</w:t>
                  </w:r>
                </w:p>
              </w:tc>
            </w:tr>
            <w:tr>
              <w:tc>
                <w:tcPr>
                  <w:tcW w:type="dxa" w:w="287"/>
                  <w:vMerge/>
                  <w:tcBorders>
                    <w:top w:val="none" w:color="000000" w:sz="4"/>
                    <w:left w:val="single" w:color="000000" w:sz="4"/>
                    <w:bottom w:val="single" w:color="000000" w:sz="4"/>
                    <w:right w:val="single" w:color="000000" w:sz="4"/>
                  </w:tcBorders>
                </w:tc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前端开发工程师</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根据客户提供的主页面</w:t>
                  </w:r>
                  <w:r>
                    <w:rPr>
                      <w:rFonts w:ascii="宋体" w:hAnsi="宋体" w:cs="宋体" w:eastAsia="宋体"/>
                      <w:sz w:val="24"/>
                    </w:rPr>
                    <w:t>,完善细节页面，并配合前端工程师切图处理</w:t>
                  </w:r>
                </w:p>
              </w:tc>
            </w:tr>
            <w:tr>
              <w:tc>
                <w:tcPr>
                  <w:tcW w:type="dxa" w:w="287"/>
                  <w:vMerge/>
                  <w:tcBorders>
                    <w:top w:val="none" w:color="000000" w:sz="4"/>
                    <w:left w:val="single" w:color="000000" w:sz="4"/>
                    <w:bottom w:val="single" w:color="000000" w:sz="4"/>
                    <w:right w:val="single" w:color="000000" w:sz="4"/>
                  </w:tcBorders>
                </w:tc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后台开发工程师</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根据甲方提供的产品规划和页面功能，编写后端代码，实现功能组件</w:t>
                  </w:r>
                </w:p>
              </w:tc>
            </w:tr>
            <w:tr>
              <w:tc>
                <w:tcPr>
                  <w:tcW w:type="dxa" w:w="287"/>
                  <w:vMerge/>
                  <w:tcBorders>
                    <w:top w:val="none" w:color="000000" w:sz="4"/>
                    <w:left w:val="single" w:color="000000" w:sz="4"/>
                    <w:bottom w:val="single" w:color="000000" w:sz="4"/>
                    <w:right w:val="single" w:color="000000" w:sz="4"/>
                  </w:tcBorders>
                </w:tc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数据库工程师</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配合前端、后台工程师</w:t>
                  </w:r>
                  <w:r>
                    <w:rPr>
                      <w:rFonts w:ascii="宋体" w:hAnsi="宋体" w:cs="宋体" w:eastAsia="宋体"/>
                      <w:sz w:val="24"/>
                    </w:rPr>
                    <w:t>,完成数据逻辑编写和后期数据迁移</w:t>
                  </w:r>
                </w:p>
              </w:tc>
            </w:tr>
            <w:tr>
              <w:tc>
                <w:tcPr>
                  <w:tcW w:type="dxa" w:w="2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运营小组</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产品运营</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为需求方解决服务号上功能相关问题及服务号信息更新、数据统计分析</w:t>
                  </w:r>
                </w:p>
              </w:tc>
            </w:tr>
            <w:tr>
              <w:tc>
                <w:tcPr>
                  <w:tcW w:type="dxa" w:w="287"/>
                  <w:vMerge/>
                  <w:tcBorders>
                    <w:top w:val="none" w:color="000000" w:sz="4"/>
                    <w:left w:val="single" w:color="000000" w:sz="4"/>
                    <w:bottom w:val="single" w:color="000000" w:sz="4"/>
                    <w:right w:val="single" w:color="000000" w:sz="4"/>
                  </w:tcBorders>
                </w:tcP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内容运营</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2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文章撰写与推送、根据服务内容进行维护通稿输出</w:t>
                  </w:r>
                </w:p>
              </w:tc>
            </w:tr>
          </w:tbl>
          <w:p>
            <w:pPr>
              <w:pStyle w:val="null3"/>
              <w:jc w:val="left"/>
            </w:pPr>
            <w:r>
              <w:rPr>
                <w:rFonts w:ascii="宋体" w:hAnsi="宋体" w:cs="宋体" w:eastAsia="宋体"/>
                <w:sz w:val="24"/>
              </w:rPr>
              <w:t>项目所需</w:t>
            </w:r>
            <w:r>
              <w:rPr>
                <w:rFonts w:ascii="宋体" w:hAnsi="宋体" w:cs="宋体" w:eastAsia="宋体"/>
                <w:sz w:val="24"/>
              </w:rPr>
              <w:t>5</w:t>
            </w:r>
            <w:r>
              <w:rPr>
                <w:rFonts w:ascii="宋体" w:hAnsi="宋体" w:cs="宋体" w:eastAsia="宋体"/>
                <w:sz w:val="24"/>
              </w:rPr>
              <w:t>人，所有项目人员需要通过采购人面试考核，不合格需及时更换。</w:t>
            </w:r>
            <w:r>
              <w:rPr>
                <w:rFonts w:ascii="宋体" w:hAnsi="宋体" w:cs="宋体" w:eastAsia="宋体"/>
                <w:sz w:val="24"/>
              </w:rPr>
              <w:t>其中，驻场人数：</w:t>
            </w:r>
            <w:r>
              <w:rPr>
                <w:rFonts w:ascii="宋体" w:hAnsi="宋体" w:cs="宋体" w:eastAsia="宋体"/>
                <w:sz w:val="24"/>
              </w:rPr>
              <w:t>5人（项目经理1人、产品运营1人、内容运营1人、前端开发工程师1人、后端开发工程师1人）</w:t>
            </w:r>
            <w:r>
              <w:rPr>
                <w:rFonts w:ascii="宋体" w:hAnsi="宋体" w:cs="宋体" w:eastAsia="宋体"/>
                <w:sz w:val="24"/>
              </w:rPr>
              <w:t>。</w:t>
            </w:r>
            <w:r>
              <w:rPr>
                <w:rFonts w:ascii="宋体" w:hAnsi="宋体" w:cs="宋体" w:eastAsia="宋体"/>
                <w:sz w:val="24"/>
              </w:rPr>
              <w:t>在项目执行确有需求时，需按照甲方要求临时合理增加服务人数，确保项目按时完成。作为项</w:t>
            </w:r>
            <w:r>
              <w:rPr>
                <w:rFonts w:ascii="宋体" w:hAnsi="宋体" w:cs="宋体" w:eastAsia="宋体"/>
                <w:sz w:val="24"/>
              </w:rPr>
              <w:t>驻场时间：每周不少于</w:t>
            </w:r>
            <w:r>
              <w:rPr>
                <w:rFonts w:ascii="宋体" w:hAnsi="宋体" w:cs="宋体" w:eastAsia="宋体"/>
                <w:sz w:val="24"/>
              </w:rPr>
              <w:t>5天，每天不低于8小时，并根据西安交警支队工作需求，安排人员开展工作。</w:t>
            </w:r>
            <w:r>
              <w:rPr>
                <w:rFonts w:ascii="宋体" w:hAnsi="宋体" w:cs="宋体" w:eastAsia="宋体"/>
                <w:sz w:val="24"/>
              </w:rPr>
              <w:t>为保证项目按计划实施，项目组定期向宣传法制处项目负责人和项目指导委员会报告项目进展情况。</w:t>
            </w:r>
          </w:p>
          <w:p>
            <w:pPr>
              <w:pStyle w:val="null3"/>
              <w:jc w:val="left"/>
            </w:pPr>
            <w:r>
              <w:rPr>
                <w:rFonts w:ascii="宋体" w:hAnsi="宋体" w:cs="宋体" w:eastAsia="宋体"/>
                <w:sz w:val="24"/>
              </w:rPr>
              <w:t>下表为建议的报告内容</w:t>
            </w:r>
            <w:r>
              <w:rPr>
                <w:rFonts w:ascii="宋体" w:hAnsi="宋体" w:cs="宋体" w:eastAsia="宋体"/>
                <w:sz w:val="24"/>
              </w:rPr>
              <w:t xml:space="preserve"> </w:t>
            </w:r>
          </w:p>
          <w:tbl>
            <w:tblPr>
              <w:tblBorders>
                <w:top w:val="none" w:color="000000" w:sz="4"/>
                <w:left w:val="none" w:color="000000" w:sz="4"/>
                <w:bottom w:val="none" w:color="000000" w:sz="4"/>
                <w:right w:val="none" w:color="000000" w:sz="4"/>
                <w:insideH w:val="none"/>
                <w:insideV w:val="none"/>
              </w:tblBorders>
            </w:tblPr>
            <w:tblGrid>
              <w:gridCol w:w="848"/>
              <w:gridCol w:w="890"/>
              <w:gridCol w:w="1250"/>
              <w:gridCol w:w="835"/>
            </w:tblGrid>
            <w:tr>
              <w:tc>
                <w:tcPr>
                  <w:tcW w:type="dxa" w:w="848"/>
                  <w:tcBorders>
                    <w:top w:val="single" w:color="000000" w:sz="8"/>
                    <w:left w:val="single" w:color="000000" w:sz="8"/>
                    <w:bottom w:val="single" w:color="000000" w:sz="4"/>
                    <w:right w:val="single" w:color="000000" w:sz="4"/>
                  </w:tcBorders>
                  <w:shd w:fill="F3F3F3"/>
                  <w:tcMar>
                    <w:top w:type="dxa" w:w="0"/>
                    <w:left w:type="dxa" w:w="105"/>
                    <w:bottom w:type="dxa" w:w="0"/>
                    <w:right w:type="dxa" w:w="105"/>
                  </w:tcMar>
                  <w:vAlign w:val="top"/>
                </w:tcPr>
                <w:p>
                  <w:pPr>
                    <w:pStyle w:val="null3"/>
                    <w:jc w:val="center"/>
                  </w:pPr>
                  <w:r>
                    <w:rPr>
                      <w:rFonts w:ascii="宋体" w:hAnsi="宋体" w:cs="宋体" w:eastAsia="宋体"/>
                      <w:sz w:val="24"/>
                    </w:rPr>
                    <w:t>报告名称</w:t>
                  </w:r>
                </w:p>
              </w:tc>
              <w:tc>
                <w:tcPr>
                  <w:tcW w:type="dxa" w:w="890"/>
                  <w:tcBorders>
                    <w:top w:val="single" w:color="000000" w:sz="8"/>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rFonts w:ascii="宋体" w:hAnsi="宋体" w:cs="宋体" w:eastAsia="宋体"/>
                      <w:sz w:val="24"/>
                    </w:rPr>
                    <w:t>发送者</w:t>
                  </w:r>
                </w:p>
              </w:tc>
              <w:tc>
                <w:tcPr>
                  <w:tcW w:type="dxa" w:w="1250"/>
                  <w:tcBorders>
                    <w:top w:val="single" w:color="000000" w:sz="8"/>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rFonts w:ascii="宋体" w:hAnsi="宋体" w:cs="宋体" w:eastAsia="宋体"/>
                      <w:sz w:val="24"/>
                    </w:rPr>
                    <w:t>接收者</w:t>
                  </w:r>
                </w:p>
              </w:tc>
              <w:tc>
                <w:tcPr>
                  <w:tcW w:type="dxa" w:w="835"/>
                  <w:tcBorders>
                    <w:top w:val="single" w:color="000000" w:sz="8"/>
                    <w:left w:val="single" w:color="000000" w:sz="4"/>
                    <w:bottom w:val="single" w:color="000000" w:sz="4"/>
                    <w:right w:val="single" w:color="000000" w:sz="8"/>
                  </w:tcBorders>
                  <w:shd w:fill="F3F3F3"/>
                  <w:tcMar>
                    <w:top w:type="dxa" w:w="0"/>
                    <w:left w:type="dxa" w:w="105"/>
                    <w:bottom w:type="dxa" w:w="0"/>
                    <w:right w:type="dxa" w:w="105"/>
                  </w:tcMar>
                  <w:vAlign w:val="top"/>
                </w:tcPr>
                <w:p>
                  <w:pPr>
                    <w:pStyle w:val="null3"/>
                    <w:jc w:val="center"/>
                  </w:pPr>
                  <w:r>
                    <w:rPr>
                      <w:rFonts w:ascii="宋体" w:hAnsi="宋体" w:cs="宋体" w:eastAsia="宋体"/>
                      <w:sz w:val="24"/>
                    </w:rPr>
                    <w:t>频率</w:t>
                  </w:r>
                </w:p>
              </w:tc>
            </w:tr>
            <w:tr>
              <w:tc>
                <w:tcPr>
                  <w:tcW w:type="dxa" w:w="8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项目进展报告</w:t>
                  </w:r>
                </w:p>
                <w:p>
                  <w:pPr>
                    <w:pStyle w:val="null3"/>
                    <w:jc w:val="center"/>
                  </w:pPr>
                  <w:r>
                    <w:rPr>
                      <w:rFonts w:ascii="宋体" w:hAnsi="宋体" w:cs="宋体" w:eastAsia="宋体"/>
                      <w:sz w:val="24"/>
                    </w:rPr>
                    <w:t>风险评估报告</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三方项目经理</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项目指导委员会成员</w:t>
                  </w:r>
                </w:p>
                <w:p>
                  <w:pPr>
                    <w:pStyle w:val="null3"/>
                    <w:jc w:val="center"/>
                  </w:pPr>
                  <w:r>
                    <w:rPr>
                      <w:rFonts w:ascii="宋体" w:hAnsi="宋体" w:cs="宋体" w:eastAsia="宋体"/>
                      <w:sz w:val="24"/>
                    </w:rPr>
                    <w:t>公司项目管理部</w:t>
                  </w:r>
                </w:p>
              </w:tc>
              <w:tc>
                <w:tcPr>
                  <w:tcW w:type="dxa" w:w="8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每月一次</w:t>
                  </w:r>
                </w:p>
              </w:tc>
            </w:tr>
            <w:tr>
              <w:tc>
                <w:tcPr>
                  <w:tcW w:type="dxa" w:w="8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项目周报</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三方项目经理</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项目指导委员会成员</w:t>
                  </w:r>
                </w:p>
                <w:p>
                  <w:pPr>
                    <w:pStyle w:val="null3"/>
                    <w:jc w:val="center"/>
                  </w:pPr>
                  <w:r>
                    <w:rPr>
                      <w:rFonts w:ascii="宋体" w:hAnsi="宋体" w:cs="宋体" w:eastAsia="宋体"/>
                      <w:sz w:val="24"/>
                    </w:rPr>
                    <w:t>公司项目管理部</w:t>
                  </w:r>
                </w:p>
              </w:tc>
              <w:tc>
                <w:tcPr>
                  <w:tcW w:type="dxa" w:w="8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每周一次</w:t>
                  </w:r>
                </w:p>
              </w:tc>
            </w:tr>
            <w:tr>
              <w:tc>
                <w:tcPr>
                  <w:tcW w:type="dxa" w:w="84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会议纪要</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三方项目经理</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项目指导委员会成员</w:t>
                  </w:r>
                </w:p>
                <w:p>
                  <w:pPr>
                    <w:pStyle w:val="null3"/>
                    <w:jc w:val="center"/>
                  </w:pPr>
                  <w:r>
                    <w:rPr>
                      <w:rFonts w:ascii="宋体" w:hAnsi="宋体" w:cs="宋体" w:eastAsia="宋体"/>
                      <w:sz w:val="24"/>
                    </w:rPr>
                    <w:t>公司项目管理部</w:t>
                  </w:r>
                </w:p>
              </w:tc>
              <w:tc>
                <w:tcPr>
                  <w:tcW w:type="dxa" w:w="83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发生时</w:t>
                  </w:r>
                </w:p>
              </w:tc>
            </w:tr>
            <w:tr>
              <w:tc>
                <w:tcPr>
                  <w:tcW w:type="dxa" w:w="848"/>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问题记录</w:t>
                  </w:r>
                </w:p>
              </w:tc>
              <w:tc>
                <w:tcPr>
                  <w:tcW w:type="dxa" w:w="89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三方项目经理</w:t>
                  </w:r>
                </w:p>
              </w:tc>
              <w:tc>
                <w:tcPr>
                  <w:tcW w:type="dxa" w:w="12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项目指导委员会成员</w:t>
                  </w:r>
                </w:p>
                <w:p>
                  <w:pPr>
                    <w:pStyle w:val="null3"/>
                    <w:jc w:val="center"/>
                  </w:pPr>
                  <w:r>
                    <w:rPr>
                      <w:rFonts w:ascii="宋体" w:hAnsi="宋体" w:cs="宋体" w:eastAsia="宋体"/>
                      <w:sz w:val="24"/>
                    </w:rPr>
                    <w:t>公司项目管理部</w:t>
                  </w:r>
                </w:p>
              </w:tc>
              <w:tc>
                <w:tcPr>
                  <w:tcW w:type="dxa" w:w="83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4"/>
                    </w:rPr>
                    <w:t>每周一次</w:t>
                  </w:r>
                </w:p>
              </w:tc>
            </w:tr>
          </w:tbl>
          <w:p>
            <w:pPr>
              <w:pStyle w:val="null3"/>
              <w:jc w:val="both"/>
            </w:pPr>
          </w:p>
        </w:tc>
      </w:tr>
    </w:tbl>
    <w:p>
      <w:pPr>
        <w:pStyle w:val="null3"/>
        <w:outlineLvl w:val="2"/>
      </w:pPr>
      <w:r>
        <w:rPr>
          <w:sz w:val="28"/>
          <w:b/>
        </w:rPr>
        <w:t>3.2.3人员配置要求</w:t>
      </w:r>
    </w:p>
    <w:p>
      <w:pPr>
        <w:pStyle w:val="null3"/>
      </w:pPr>
      <w:r>
        <w:rPr/>
        <w:t>采购包1：</w:t>
      </w:r>
    </w:p>
    <w:p>
      <w:pPr>
        <w:pStyle w:val="null3"/>
      </w:pPr>
      <w:r>
        <w:rPr/>
        <w:t>根据项目进行配备</w:t>
      </w:r>
    </w:p>
    <w:p>
      <w:pPr>
        <w:pStyle w:val="null3"/>
        <w:outlineLvl w:val="2"/>
      </w:pPr>
      <w:r>
        <w:rPr>
          <w:sz w:val="28"/>
          <w:b/>
        </w:rPr>
        <w:t>3.2.4设施设备要求</w:t>
      </w:r>
    </w:p>
    <w:p>
      <w:pPr>
        <w:pStyle w:val="null3"/>
      </w:pPr>
      <w:r>
        <w:rPr/>
        <w:t>采购包1：</w:t>
      </w:r>
    </w:p>
    <w:p>
      <w:pPr>
        <w:pStyle w:val="null3"/>
      </w:pPr>
      <w:r>
        <w:rPr/>
        <w:t>根据项目进行配备</w:t>
      </w:r>
    </w:p>
    <w:p>
      <w:pPr>
        <w:pStyle w:val="null3"/>
        <w:outlineLvl w:val="2"/>
      </w:pPr>
      <w:r>
        <w:rPr>
          <w:sz w:val="28"/>
          <w:b/>
        </w:rPr>
        <w:t>3.2.5其他要求</w:t>
      </w:r>
    </w:p>
    <w:p>
      <w:pPr>
        <w:pStyle w:val="null3"/>
      </w:pPr>
      <w:r>
        <w:rPr/>
        <w:t>采购包1：</w:t>
      </w:r>
    </w:p>
    <w:p>
      <w:pPr>
        <w:pStyle w:val="null3"/>
      </w:pPr>
      <w:r>
        <w:rPr/>
        <w:t>廉政要求 1.中标方不得以任何不正当手段（如向采购方领导或经办人行贿、给回扣、提供免费旅游或其他消费娱乐等）谋求采购方同意签订合同。 2.采购方领导或经办人不得以任何借口要求中标方为个人提供金钱、物品、免费旅游或其他消费娱乐等不正当利益。如发现有上达行为事实，中标方应向采购方纪检监察部门如实举报，纪检监察部门应依纪依法予以追究查处，并向本单位领导汇报，以便采取措施，维护中标方正当的市场销售权益。</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自合同签订之日起一年内，具体服务起止日期以签署协议日期为准。</w:t>
      </w:r>
    </w:p>
    <w:p>
      <w:pPr>
        <w:pStyle w:val="null3"/>
        <w:outlineLvl w:val="3"/>
      </w:pPr>
      <w:r>
        <w:rPr>
          <w:sz w:val="24"/>
          <w:b/>
        </w:rPr>
        <w:t>3.3.2服务地点</w:t>
      </w:r>
    </w:p>
    <w:p>
      <w:pPr>
        <w:pStyle w:val="null3"/>
      </w:pPr>
      <w:r>
        <w:rPr/>
        <w:t>采购包1：</w:t>
      </w:r>
    </w:p>
    <w:p>
      <w:pPr>
        <w:pStyle w:val="null3"/>
      </w:pPr>
      <w:r>
        <w:rPr/>
        <w:t>西安市公安局交通警察支队</w:t>
      </w:r>
    </w:p>
    <w:p>
      <w:pPr>
        <w:pStyle w:val="null3"/>
        <w:outlineLvl w:val="3"/>
      </w:pPr>
      <w:r>
        <w:rPr>
          <w:sz w:val="24"/>
          <w:b/>
        </w:rPr>
        <w:t>3.3.3考核（验收）标准和方法</w:t>
      </w:r>
    </w:p>
    <w:p>
      <w:pPr>
        <w:pStyle w:val="null3"/>
      </w:pPr>
      <w:r>
        <w:rPr/>
        <w:t>采购包1：</w:t>
      </w:r>
    </w:p>
    <w:p>
      <w:pPr>
        <w:pStyle w:val="null3"/>
      </w:pPr>
      <w:r>
        <w:rPr/>
        <w:t>1.本项目由采购人定期对项目进行阶段性验收。 2.验收标准：按磋商文件、磋商响应文件及澄清函、项目检查情况等综合指标进行验收。各项指标均应符合验收标准及要求。 3.验收合格后，填写验收单，双方签字生效。 4.验收依据： 4.1合同文本； 4.2磋商文件及澄清函、磋商响应文件； 4.3国家和行业制定的相应的标准和规范； 4.4验收清单。</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合同签订及备案完成后，采购人支付合同总价款的50%作为预付款</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而后视项目进度，采购人支付不高于总价款40%的进度款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成果交付验收合格后，支付尾款</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 xml:space="preserve"> 1.服务期内服务内容等指标与合同有任何一项不符，甲方将以书面形式向乙方提出索赔。同时应向政府采购管理部门报告。合同约定项目如未按期交付将按照要求每天扣除该功能费用的1%，最高不超过该功能总费用的20%，如因不可抗力导致功能无法按期交付，甲乙双方协商解决。 2.如果乙方在收到通知后，没有在合同条款中规定的时限内及时补正，甲方可采取必要的补救措施，可以委托第三方代为补正提供售后服务，产生的所有费用和风险，由乙方承担，甲方根据合同规定对乙方行使的其它权力不受影响。甲方亦可从尾款中扣回索赔金额。 3.供应商因自身经营问题对本项目执行进度、质量等带来不良影响或者现实损失的，采购人有权优先支配项目款用于消除不良影响或者补偿现实损失，包括但不限于优先支付项目服务团队人员薪资等。供应商经采购人书面提醒仍未消除不良影响或者未补偿采购人现实损失的，视为违约。采购人有权解除合同，由此给供应商造成损失的，供应商应当予以赔偿。</w:t>
      </w:r>
    </w:p>
    <w:p>
      <w:pPr>
        <w:pStyle w:val="null3"/>
        <w:outlineLvl w:val="2"/>
      </w:pPr>
      <w:r>
        <w:rPr>
          <w:sz w:val="28"/>
          <w:b/>
        </w:rPr>
        <w:t>3.4其他要求</w:t>
      </w:r>
    </w:p>
    <w:p>
      <w:pPr>
        <w:pStyle w:val="null3"/>
      </w:pPr>
      <w:r>
        <w:rPr/>
        <w:t>成交人在领取成交通知书时提供一正两副纸质版响应文件。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 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 法定代表人授权书</w:t>
            </w:r>
          </w:p>
        </w:tc>
      </w:tr>
      <w:tr>
        <w:tc>
          <w:tcPr>
            <w:tcW w:type="dxa" w:w="831"/>
          </w:tcPr>
          <w:p>
            <w:pPr>
              <w:pStyle w:val="null3"/>
            </w:pPr>
            <w:r>
              <w:rPr/>
              <w:t>8</w:t>
            </w:r>
          </w:p>
        </w:tc>
        <w:tc>
          <w:tcPr>
            <w:tcW w:type="dxa" w:w="2492"/>
          </w:tcPr>
          <w:p>
            <w:pPr>
              <w:pStyle w:val="null3"/>
            </w:pPr>
            <w:r>
              <w:rPr/>
              <w:t>信用信息查询</w:t>
            </w:r>
          </w:p>
        </w:tc>
        <w:tc>
          <w:tcPr>
            <w:tcW w:type="dxa" w:w="3322"/>
          </w:tcPr>
          <w:p>
            <w:pPr>
              <w:pStyle w:val="null3"/>
            </w:pPr>
            <w:r>
              <w:rPr/>
              <w:t>不得为“信用中国”网站(http://www.creditchina.gov.cn)列入“失信被执行人、重大税收违法 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供应商参与政府采购活动的承诺函 服务承诺 服务方案 标的清单 报价表 供应商认为有必要补充说明的事宜 响应函</w:t>
            </w:r>
          </w:p>
        </w:tc>
      </w:tr>
      <w:tr>
        <w:tc>
          <w:tcPr>
            <w:tcW w:type="dxa" w:w="831"/>
          </w:tcPr>
          <w:p>
            <w:pPr>
              <w:pStyle w:val="null3"/>
            </w:pPr>
            <w:r>
              <w:rPr/>
              <w:t>2</w:t>
            </w:r>
          </w:p>
        </w:tc>
        <w:tc>
          <w:tcPr>
            <w:tcW w:type="dxa" w:w="2492"/>
          </w:tcPr>
          <w:p>
            <w:pPr>
              <w:pStyle w:val="null3"/>
            </w:pPr>
            <w:r>
              <w:rPr/>
              <w:t>格式编制</w:t>
            </w:r>
          </w:p>
        </w:tc>
        <w:tc>
          <w:tcPr>
            <w:tcW w:type="dxa" w:w="3322"/>
          </w:tcPr>
          <w:p>
            <w:pPr>
              <w:pStyle w:val="null3"/>
            </w:pPr>
            <w:r>
              <w:rPr/>
              <w:t>除明确允许供应商可以自行编写的外，磋商响应文件按照磋商文件给定的格式编制；</w:t>
            </w:r>
          </w:p>
        </w:tc>
        <w:tc>
          <w:tcPr>
            <w:tcW w:type="dxa" w:w="1661"/>
          </w:tcPr>
          <w:p>
            <w:pPr>
              <w:pStyle w:val="null3"/>
            </w:pPr>
            <w:r>
              <w:rPr/>
              <w:t>响应文件封面 服务条款响应偏离表 中小企业声明函 《拒绝政府采购领域商业贿赂承诺书》 响应函 法定代表人授权书 商务条款响应偏离表</w:t>
            </w:r>
          </w:p>
        </w:tc>
      </w:tr>
      <w:tr>
        <w:tc>
          <w:tcPr>
            <w:tcW w:type="dxa" w:w="831"/>
          </w:tcPr>
          <w:p>
            <w:pPr>
              <w:pStyle w:val="null3"/>
            </w:pPr>
            <w:r>
              <w:rPr/>
              <w:t>3</w:t>
            </w:r>
          </w:p>
        </w:tc>
        <w:tc>
          <w:tcPr>
            <w:tcW w:type="dxa" w:w="2492"/>
          </w:tcPr>
          <w:p>
            <w:pPr>
              <w:pStyle w:val="null3"/>
            </w:pPr>
            <w:r>
              <w:rPr/>
              <w:t>盖章签字</w:t>
            </w:r>
          </w:p>
        </w:tc>
        <w:tc>
          <w:tcPr>
            <w:tcW w:type="dxa" w:w="3322"/>
          </w:tcPr>
          <w:p>
            <w:pPr>
              <w:pStyle w:val="null3"/>
            </w:pPr>
            <w:r>
              <w:rPr/>
              <w:t>磋商响应文件按照磋商文件的要求盖章签字</w:t>
            </w:r>
          </w:p>
        </w:tc>
        <w:tc>
          <w:tcPr>
            <w:tcW w:type="dxa" w:w="1661"/>
          </w:tcPr>
          <w:p>
            <w:pPr>
              <w:pStyle w:val="null3"/>
            </w:pPr>
            <w:r>
              <w:rPr/>
              <w:t>服务条款响应偏离表 供应商参与政府采购活动的承诺函 中小企业声明函 法定代表人授权书 商务条款响应偏离表 响应文件封面 资格证明文件 分项报价 残疾人福利性单位声明函 标的清单 《拒绝政府采购领域商业贿赂承诺书》 响应函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磋商报价未超过采购预算</w:t>
            </w:r>
          </w:p>
        </w:tc>
        <w:tc>
          <w:tcPr>
            <w:tcW w:type="dxa" w:w="1661"/>
          </w:tcPr>
          <w:p>
            <w:pPr>
              <w:pStyle w:val="null3"/>
            </w:pPr>
            <w:r>
              <w:rPr/>
              <w:t>响应文件封面 分项报价 响应函</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对磋商文件商务要求技术要求，作出明确且实质性响应；对不得偏离的技术要求作了实质性响应；</w:t>
            </w:r>
          </w:p>
        </w:tc>
        <w:tc>
          <w:tcPr>
            <w:tcW w:type="dxa" w:w="3322"/>
          </w:tcPr>
          <w:p>
            <w:pPr>
              <w:pStyle w:val="null3"/>
            </w:pPr>
            <w:r>
              <w:rPr/>
              <w:t>对磋商文件商务要求技术要求，作出明确且实质性响应；对不得偏离的技术要求作了实质性响应；</w:t>
            </w:r>
          </w:p>
        </w:tc>
        <w:tc>
          <w:tcPr>
            <w:tcW w:type="dxa" w:w="1661"/>
          </w:tcPr>
          <w:p>
            <w:pPr>
              <w:pStyle w:val="null3"/>
            </w:pPr>
            <w:r>
              <w:rPr/>
              <w:t>服务条款响应偏离表 响应文件封面 商务条款响应偏离表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整体服务方案：针对本项目提供完整的服务方案，包括平台运营、软件开发以及配套支持3大类13项服务的具体实施方案、工作流程、能实现用户各项功能要求及对项目的理解、建设目标等。 ①整体服务方案详实、贴合实际、实用性强。服务方案可行、合理、详细全面的计10分； ②整体服务方案内容欠缺或者内容条理不清晰的计7分； ③整体服务方案内容只有框架无实质性内容的计3分； ④整体服务方案内容简单，不切合实际情况，不具有操作性或内容有缺项的计1分； ⑤未提供相关内容的不计分；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项目需求、重点、难点分析：供应商能够充分理解本项目需求，对项目重点难点进行分析并提供技术建议。 ①对项目需求、重点、难点的分析透彻合理科学，能提供有效的技术建议的计10分； ②提供的技术建议条理不清晰或对本项目建设目标理解不透彻或欠缺的计7分； ③对项目需求、重点、难点分析理解不透彻，不能提供有效建议的计3分。 ④只有框架，无实质性内容或只有简单概括的计1分； ⑤未提供相关内容的不计分。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根据所提供的服务进度、计划的安排方案和控制措施是否紧密有效、详尽完善且安排合理等方面综合评审。 ①内容详细全面，进度、计划、措施安排合理的计10分； ②服务进度及安排的方案内容不详细或无合理性的计7分； ③进度、计划、控制措施条理不清晰、无针对性的计3分； ④只有框架，无实质性内容的或只有简单叙述的计1分； ⑤未提供相关内容的不计分。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服务方案4</w:t>
            </w:r>
          </w:p>
        </w:tc>
        <w:tc>
          <w:tcPr>
            <w:tcW w:type="dxa" w:w="2492"/>
          </w:tcPr>
          <w:p>
            <w:pPr>
              <w:pStyle w:val="null3"/>
            </w:pPr>
            <w:r>
              <w:rPr/>
              <w:t>保密管理措施及能力：供应商提供项目实施过程及项目任务的保密管理制度和信息安全详细解决方案，确保项目的发展计划、策略、客户资料及其他重要的方案能有效保密，避免信息外泄。 ①具有科学、合理且详细的保密管理制度的计10分； ②保密管理制度无条理性，解决方案不具体的计7分； ③内容不具有针对性，未切合本项目实际情况的计3分； ④只有框架，无实质性内容的或只有简单叙述的或内容欠缺计1分； ⑤未提供相关内容的不计分。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服务方案5</w:t>
            </w:r>
          </w:p>
        </w:tc>
        <w:tc>
          <w:tcPr>
            <w:tcW w:type="dxa" w:w="2492"/>
          </w:tcPr>
          <w:p>
            <w:pPr>
              <w:pStyle w:val="null3"/>
            </w:pPr>
            <w:r>
              <w:rPr/>
              <w:t>针对本项目提供详细的驻场运维服务方案，保证项目按计划实施，并能及时向使用部门汇报项目进展情况。 ①驻场运维方案内容详细、全面，具有针对性，切合本项目情况的计10分； ②方案内容条理不清晰的或内容宽泛的计7分； ③内容不具有针对性，未切合本项目实际情况的计3分； ④只有框架，无实质性内容的或只有简单叙述的或内容欠缺计1分；⑤未提供相关内容的不计分。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服务方案6</w:t>
            </w:r>
          </w:p>
        </w:tc>
        <w:tc>
          <w:tcPr>
            <w:tcW w:type="dxa" w:w="2492"/>
          </w:tcPr>
          <w:p>
            <w:pPr>
              <w:pStyle w:val="null3"/>
            </w:pPr>
            <w:r>
              <w:rPr/>
              <w:t>能及时发现系统故障、故障后，能及时找到原因并能做到及时处理、有效修复，预防再次发生，针对本项目提供详细的故障预防措施、故障处理流程及有效的解决方案。 ①内容详细、全面，具有针对性，切合本项目情况的计10分； ②方案内容条理不清晰的或内容宽泛的计7分； ③内容不具有针对性，未切合本项目实际情况的计3分； ④只有框架，无实质性内容的或只有简单叙述的或内容欠缺计1分；⑤未提供相关内容的不计分。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拟派项目人员1</w:t>
            </w:r>
          </w:p>
        </w:tc>
        <w:tc>
          <w:tcPr>
            <w:tcW w:type="dxa" w:w="2492"/>
          </w:tcPr>
          <w:p>
            <w:pPr>
              <w:pStyle w:val="null3"/>
            </w:pPr>
            <w:r>
              <w:rPr/>
              <w:t>项目组织管理机构设置及人员分工安排合理、职责划分明确的计5分，管理机构设置不合理或职责划分不明确的计2分，未提供的不计分。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拟派项目组人员</w:t>
            </w:r>
          </w:p>
        </w:tc>
      </w:tr>
      <w:tr>
        <w:tc>
          <w:tcPr>
            <w:tcW w:type="dxa" w:w="831"/>
            <w:vMerge/>
          </w:tcPr>
          <w:p/>
        </w:tc>
        <w:tc>
          <w:tcPr>
            <w:tcW w:type="dxa" w:w="1661"/>
          </w:tcPr>
          <w:p>
            <w:pPr>
              <w:pStyle w:val="null3"/>
            </w:pPr>
            <w:r>
              <w:rPr/>
              <w:t>拟派项目组人员2</w:t>
            </w:r>
          </w:p>
        </w:tc>
        <w:tc>
          <w:tcPr>
            <w:tcW w:type="dxa" w:w="2492"/>
          </w:tcPr>
          <w:p>
            <w:pPr>
              <w:pStyle w:val="null3"/>
            </w:pPr>
            <w:r>
              <w:rPr/>
              <w:t>项目负责人及项目团队人员数量、资质能力，结合从业年限、工作经验及业绩等因素，资质优良、经验丰富的计5分，从业年限短或工作经验不足的或人员数量不足，不能满足本项目服务需求的计2分，未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拟派项目组人员</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详细具体可行的服务措施承诺及详尽可行的售后服务实施计划，服务网点的设定、配有稳定的技术服务队伍，能提供及时快速的响应、日常维护，质量保证范围、培训方式、时间、地点、人员、培训内容。 ①方案内容具体、完整、详细、全面的计12分； ②服务措施及实施计划不具体，条理性、逻辑性不清晰的计8分； ③响应时间或质量保证的范围不明确的计4分； ④内容只有框架，无实质性内容的或简单概括的计1分； ⑤未提供方案不得分。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以合同形式提供供应商2021年1月至今同类项目业绩,每提供一份得2分，满分8分。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w:t>
            </w:r>
          </w:p>
          <w:p>
            <w:pPr>
              <w:pStyle w:val="null3"/>
            </w:pPr>
            <w:r>
              <w:rPr/>
              <w:t>报价表</w:t>
            </w:r>
          </w:p>
          <w:p>
            <w:pPr>
              <w:pStyle w:val="null3"/>
            </w:pPr>
            <w:r>
              <w:rPr/>
              <w:t>标的清单</w:t>
            </w:r>
          </w:p>
          <w:p>
            <w:pPr>
              <w:pStyle w:val="null3"/>
            </w:pPr>
            <w:r>
              <w:rPr/>
              <w:t>响应函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详见附件：《拒绝政府采购领域商业贿赂承诺书》</w:t>
      </w:r>
    </w:p>
    <w:p>
      <w:pPr>
        <w:pStyle w:val="null3"/>
        <w:ind w:firstLine="960"/>
      </w:pPr>
      <w:r>
        <w:rPr/>
        <w:t>详见附件：法定代表人授权书</w:t>
      </w:r>
    </w:p>
    <w:p>
      <w:pPr>
        <w:pStyle w:val="null3"/>
        <w:ind w:firstLine="960"/>
      </w:pPr>
      <w:r>
        <w:rPr/>
        <w:t>详见附件：分项报价</w:t>
      </w:r>
    </w:p>
    <w:p>
      <w:pPr>
        <w:pStyle w:val="null3"/>
        <w:ind w:firstLine="960"/>
      </w:pPr>
      <w:r>
        <w:rPr/>
        <w:t>详见附件：服务承诺</w:t>
      </w:r>
    </w:p>
    <w:p>
      <w:pPr>
        <w:pStyle w:val="null3"/>
        <w:ind w:firstLine="960"/>
      </w:pPr>
      <w:r>
        <w:rPr/>
        <w:t>详见附件：服务方案</w:t>
      </w:r>
    </w:p>
    <w:p>
      <w:pPr>
        <w:pStyle w:val="null3"/>
        <w:ind w:firstLine="960"/>
      </w:pPr>
      <w:r>
        <w:rPr/>
        <w:t>详见附件：服务条款响应偏离表</w:t>
      </w:r>
    </w:p>
    <w:p>
      <w:pPr>
        <w:pStyle w:val="null3"/>
        <w:ind w:firstLine="960"/>
      </w:pPr>
      <w:r>
        <w:rPr/>
        <w:t>详见附件：供应商参与政府采购活动的承诺函</w:t>
      </w:r>
    </w:p>
    <w:p>
      <w:pPr>
        <w:pStyle w:val="null3"/>
        <w:ind w:firstLine="960"/>
      </w:pPr>
      <w:r>
        <w:rPr/>
        <w:t>详见附件：供应商认为有必要补充说明的事宜</w:t>
      </w:r>
    </w:p>
    <w:p>
      <w:pPr>
        <w:pStyle w:val="null3"/>
        <w:ind w:firstLine="960"/>
      </w:pPr>
      <w:r>
        <w:rPr/>
        <w:t>详见附件：拟派项目组人员</w:t>
      </w:r>
    </w:p>
    <w:p>
      <w:pPr>
        <w:pStyle w:val="null3"/>
        <w:ind w:firstLine="960"/>
      </w:pPr>
      <w:r>
        <w:rPr/>
        <w:t>详见附件：商务条款响应偏离表</w:t>
      </w:r>
    </w:p>
    <w:p>
      <w:pPr>
        <w:pStyle w:val="null3"/>
        <w:ind w:firstLine="960"/>
      </w:pPr>
      <w:r>
        <w:rPr/>
        <w:t>详见附件：业绩</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详见附件：便民服务运营合同2024.6.13.docx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