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仿宋" w:cs="Times New Roman"/>
          <w:b/>
          <w:bCs/>
          <w:sz w:val="30"/>
          <w:szCs w:val="30"/>
          <w:lang w:val="en-US" w:eastAsia="zh-CN"/>
        </w:rPr>
      </w:pPr>
      <w:r>
        <w:rPr>
          <w:rFonts w:hint="eastAsia" w:ascii="Times New Roman" w:hAnsi="Times New Roman" w:eastAsia="仿宋" w:cs="Times New Roman"/>
          <w:b/>
          <w:bCs/>
          <w:sz w:val="30"/>
          <w:szCs w:val="30"/>
          <w:lang w:val="en-US" w:eastAsia="zh-CN"/>
        </w:rPr>
        <w:t>不动产登记业务资料数据加工处理服务项目</w:t>
      </w:r>
    </w:p>
    <w:p>
      <w:pPr>
        <w:spacing w:line="360" w:lineRule="auto"/>
        <w:jc w:val="center"/>
        <w:rPr>
          <w:rFonts w:hint="default" w:ascii="Times New Roman" w:hAnsi="Times New Roman" w:eastAsia="仿宋" w:cs="Times New Roman"/>
          <w:b/>
          <w:bCs/>
          <w:sz w:val="32"/>
          <w:szCs w:val="32"/>
          <w:lang w:eastAsia="zh-CN"/>
        </w:rPr>
      </w:pPr>
      <w:r>
        <w:rPr>
          <w:rFonts w:hint="default" w:ascii="Times New Roman" w:hAnsi="Times New Roman" w:eastAsia="仿宋" w:cs="Times New Roman"/>
          <w:b/>
          <w:bCs/>
          <w:sz w:val="30"/>
          <w:szCs w:val="30"/>
          <w:lang w:eastAsia="zh-CN"/>
        </w:rPr>
        <w:t>采购需求（服务类）</w:t>
      </w:r>
    </w:p>
    <w:tbl>
      <w:tblPr>
        <w:tblStyle w:val="6"/>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425"/>
        <w:gridCol w:w="7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t>序号</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t>关键事项</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1</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采购预算</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default" w:ascii="Times New Roman" w:hAnsi="Times New Roman" w:cs="Times New Roman"/>
                <w:b/>
                <w:bCs/>
                <w:sz w:val="24"/>
              </w:rPr>
              <w:t>人民币</w:t>
            </w:r>
            <w:r>
              <w:rPr>
                <w:rFonts w:hint="default" w:ascii="Times New Roman" w:hAnsi="Times New Roman" w:cs="Times New Roman"/>
                <w:b/>
                <w:bCs/>
                <w:sz w:val="24"/>
                <w:u w:val="single"/>
                <w:lang w:val="en-US" w:eastAsia="zh-CN"/>
              </w:rPr>
              <w:t xml:space="preserve"> 1500000.00 </w:t>
            </w:r>
            <w:r>
              <w:rPr>
                <w:rFonts w:hint="default" w:ascii="Times New Roman" w:hAnsi="Times New Roman" w:cs="Times New Roman"/>
                <w:b/>
                <w:bCs/>
                <w:sz w:val="24"/>
              </w:rPr>
              <w:t>元</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rPr>
            </w:pPr>
            <w:r>
              <w:rPr>
                <w:rFonts w:hint="default" w:ascii="Times New Roman" w:hAnsi="Times New Roman" w:cs="Times New Roman"/>
                <w:szCs w:val="21"/>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2</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最高限价</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default" w:ascii="Times New Roman" w:hAnsi="Times New Roman" w:cs="Times New Roman"/>
                <w:b/>
                <w:bCs/>
                <w:sz w:val="24"/>
              </w:rPr>
              <w:t>人民币</w:t>
            </w:r>
            <w:r>
              <w:rPr>
                <w:rFonts w:hint="default" w:ascii="Times New Roman" w:hAnsi="Times New Roman" w:cs="Times New Roman"/>
                <w:b/>
                <w:bCs/>
                <w:sz w:val="24"/>
                <w:u w:val="single"/>
                <w:lang w:val="en-US" w:eastAsia="zh-CN"/>
              </w:rPr>
              <w:t xml:space="preserve"> 1500000.00 </w:t>
            </w:r>
            <w:r>
              <w:rPr>
                <w:rFonts w:hint="default" w:ascii="Times New Roman" w:hAnsi="Times New Roman" w:cs="Times New Roman"/>
                <w:b/>
                <w:bCs/>
                <w:sz w:val="24"/>
              </w:rPr>
              <w:t>元</w:t>
            </w:r>
          </w:p>
          <w:p>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rPr>
            </w:pPr>
            <w:r>
              <w:rPr>
                <w:rFonts w:hint="default" w:ascii="Times New Roman" w:hAnsi="Times New Roman" w:cs="Times New Roman"/>
                <w:szCs w:val="21"/>
              </w:rPr>
              <w:t>供应商投标报价高于最高限价的则其投标文件将按无效投标文件处理。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3</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项目性质</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w:t>
            </w:r>
            <w:r>
              <w:rPr>
                <w:rFonts w:hint="default" w:ascii="Times New Roman" w:hAnsi="Times New Roman" w:cs="Times New Roman"/>
                <w:b/>
                <w:bCs/>
                <w:sz w:val="24"/>
                <w:highlight w:val="none"/>
              </w:rPr>
              <w:t>专门面向中小企业采购</w:t>
            </w:r>
          </w:p>
          <w:p>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szCs w:val="21"/>
              </w:rPr>
            </w:pPr>
            <w:r>
              <w:rPr>
                <w:rFonts w:hint="default" w:ascii="Times New Roman" w:hAnsi="Times New Roman" w:cs="Times New Roman"/>
                <w:szCs w:val="21"/>
              </w:rPr>
              <w:t>仅允许中小企业或小型、微型企业参与投标。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非专门面向中小企业采购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rPr>
            </w:pPr>
            <w:r>
              <w:rPr>
                <w:rFonts w:hint="default" w:ascii="Times New Roman" w:hAnsi="Times New Roman" w:cs="Times New Roman"/>
                <w:szCs w:val="21"/>
              </w:rPr>
              <w:t>对符合《政府采购促进中小企业发展管理办法》（财库【2020】46号）规定的小微企业（监狱企业视同小型、微型企业）的报价给予</w:t>
            </w:r>
            <w:r>
              <w:rPr>
                <w:rFonts w:hint="default" w:ascii="Times New Roman" w:hAnsi="Times New Roman" w:cs="Times New Roman"/>
                <w:b/>
                <w:bCs/>
                <w:szCs w:val="21"/>
                <w:lang w:val="en-US" w:eastAsia="zh-CN"/>
              </w:rPr>
              <w:t>10</w:t>
            </w:r>
            <w:r>
              <w:rPr>
                <w:rFonts w:hint="default" w:ascii="Times New Roman" w:hAnsi="Times New Roman" w:cs="Times New Roman"/>
                <w:b/>
                <w:bCs/>
                <w:szCs w:val="21"/>
              </w:rPr>
              <w:t>%</w:t>
            </w:r>
            <w:r>
              <w:rPr>
                <w:rFonts w:hint="default" w:ascii="Times New Roman" w:hAnsi="Times New Roman" w:cs="Times New Roman"/>
                <w:szCs w:val="21"/>
              </w:rPr>
              <w:t>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4</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对供应商的资格要求</w:t>
            </w:r>
          </w:p>
        </w:tc>
        <w:tc>
          <w:tcPr>
            <w:tcW w:w="7457"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default" w:ascii="Times New Roman" w:hAnsi="Times New Roman" w:cs="Times New Roman"/>
                <w:b/>
                <w:bCs/>
                <w:sz w:val="24"/>
              </w:rPr>
              <w:t>满足《中华人民共和国政府采购法》第二十二条规定。</w:t>
            </w:r>
          </w:p>
          <w:p>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rPr>
            </w:pPr>
            <w:r>
              <w:rPr>
                <w:rFonts w:hint="default" w:ascii="Times New Roman" w:hAnsi="Times New Roman" w:cs="Times New Roman"/>
                <w:szCs w:val="21"/>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心企业实行差别待遇或者歧视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lang w:val="en-US" w:eastAsia="zh-CN"/>
              </w:rPr>
              <w:t>5</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是否接受联合体投标</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接受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rPr>
            </w:pPr>
            <w:r>
              <w:rPr>
                <w:rFonts w:hint="default" w:ascii="Times New Roman" w:hAnsi="Times New Roman" w:cs="Times New Roman"/>
                <w:szCs w:val="21"/>
              </w:rPr>
              <w:t>对于联合体协议或者分包意向协议约定小微企业的合同份额占到合同总额30%以上的，对联合体或者大中型企业的报价给予</w:t>
            </w:r>
            <w:r>
              <w:rPr>
                <w:rFonts w:hint="default" w:ascii="Times New Roman" w:hAnsi="Times New Roman" w:cs="Times New Roman"/>
                <w:szCs w:val="21"/>
                <w:u w:val="single"/>
              </w:rPr>
              <w:t xml:space="preserve">   </w:t>
            </w:r>
            <w:r>
              <w:rPr>
                <w:rFonts w:hint="default" w:ascii="Times New Roman" w:hAnsi="Times New Roman" w:cs="Times New Roman"/>
                <w:szCs w:val="21"/>
              </w:rPr>
              <w:t>%（2%-3%）的扣除，用扣除后的报价参加评审。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rPr>
            </w:pPr>
            <w:r>
              <w:rPr>
                <w:rFonts w:hint="eastAsia" w:ascii="Times New Roman" w:hAnsi="Times New Roman" w:cs="Times New Roman"/>
                <w:b/>
                <w:bCs/>
                <w:sz w:val="24"/>
                <w:highlight w:val="none"/>
                <w:lang w:val="en-US" w:eastAsia="zh-CN"/>
              </w:rPr>
              <w:t>●</w:t>
            </w:r>
            <w:r>
              <w:rPr>
                <w:rFonts w:hint="default" w:ascii="Times New Roman" w:hAnsi="Times New Roman" w:cs="Times New Roman"/>
                <w:b/>
                <w:bCs/>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lang w:val="en-US" w:eastAsia="zh-CN"/>
              </w:rPr>
              <w:t>6</w:t>
            </w:r>
          </w:p>
        </w:tc>
        <w:tc>
          <w:tcPr>
            <w:tcW w:w="14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履约保证金</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default" w:ascii="Times New Roman" w:hAnsi="Times New Roman" w:cs="Times New Roman"/>
                <w:b/>
                <w:bCs/>
                <w:sz w:val="24"/>
              </w:rPr>
              <w:t>占政府采购合同金额的</w:t>
            </w:r>
            <w:r>
              <w:rPr>
                <w:rFonts w:hint="default" w:ascii="Times New Roman" w:hAnsi="Times New Roman" w:cs="Times New Roman"/>
                <w:b/>
                <w:bCs/>
                <w:sz w:val="24"/>
                <w:u w:val="single"/>
              </w:rPr>
              <w:t xml:space="preserve"> / </w:t>
            </w:r>
            <w:r>
              <w:rPr>
                <w:rFonts w:hint="default" w:ascii="Times New Roman" w:hAnsi="Times New Roman" w:cs="Times New Roman"/>
                <w:b/>
                <w:bCs/>
                <w:sz w:val="24"/>
              </w:rPr>
              <w:t>%</w:t>
            </w:r>
          </w:p>
          <w:p>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rPr>
            </w:pPr>
            <w:r>
              <w:rPr>
                <w:rFonts w:hint="default" w:ascii="Times New Roman" w:hAnsi="Times New Roman" w:cs="Times New Roman"/>
                <w:szCs w:val="21"/>
              </w:rPr>
              <w:t>履约保证金的数额不得超过政府采购合同金额的10%；对于单价合同，其数额不得超过采购预算的10%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p>
        </w:tc>
        <w:tc>
          <w:tcPr>
            <w:tcW w:w="14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由采购单位自行收退</w:t>
            </w:r>
          </w:p>
          <w:p>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由代理机构负责收退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lang w:val="en-US" w:eastAsia="zh-CN"/>
              </w:rPr>
              <w:t>7</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现场踏勘和集中答疑</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u w:val="single"/>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组织，集结地点为：</w:t>
            </w:r>
            <w:r>
              <w:rPr>
                <w:rFonts w:hint="default" w:ascii="Times New Roman" w:hAnsi="Times New Roman" w:cs="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rPr>
            </w:pPr>
            <w:r>
              <w:rPr>
                <w:rFonts w:hint="eastAsia" w:ascii="Times New Roman" w:hAnsi="Times New Roman" w:cs="Times New Roman"/>
                <w:b/>
                <w:bCs/>
                <w:sz w:val="24"/>
                <w:highlight w:val="none"/>
                <w:lang w:val="en-US" w:eastAsia="zh-CN"/>
              </w:rPr>
              <w:t>●</w:t>
            </w:r>
            <w:r>
              <w:rPr>
                <w:rFonts w:hint="default" w:ascii="Times New Roman" w:hAnsi="Times New Roman" w:cs="Times New Roman"/>
                <w:b/>
                <w:bCs/>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lang w:val="en-US" w:eastAsia="zh-CN"/>
              </w:rPr>
              <w:t>8</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价格分比重</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default" w:ascii="Times New Roman" w:hAnsi="Times New Roman" w:cs="Times New Roman"/>
                <w:b/>
                <w:bCs/>
                <w:sz w:val="24"/>
              </w:rPr>
              <w:t>占总分值的</w:t>
            </w:r>
            <w:r>
              <w:rPr>
                <w:rFonts w:hint="default" w:ascii="Times New Roman" w:hAnsi="Times New Roman" w:cs="Times New Roman"/>
                <w:b/>
                <w:bCs/>
                <w:sz w:val="24"/>
                <w:u w:val="single"/>
              </w:rPr>
              <w:t xml:space="preserve"> </w:t>
            </w:r>
            <w:r>
              <w:rPr>
                <w:rFonts w:hint="default" w:ascii="Times New Roman" w:hAnsi="Times New Roman" w:cs="Times New Roman"/>
                <w:b/>
                <w:bCs/>
                <w:sz w:val="24"/>
                <w:u w:val="single"/>
                <w:lang w:val="en-US" w:eastAsia="zh-CN"/>
              </w:rPr>
              <w:t>10</w:t>
            </w:r>
            <w:r>
              <w:rPr>
                <w:rFonts w:hint="default" w:ascii="Times New Roman" w:hAnsi="Times New Roman" w:cs="Times New Roman"/>
                <w:b/>
                <w:bCs/>
                <w:sz w:val="24"/>
                <w:u w:val="single"/>
              </w:rPr>
              <w:t xml:space="preserve"> </w:t>
            </w:r>
            <w:r>
              <w:rPr>
                <w:rFonts w:hint="default" w:ascii="Times New Roman" w:hAnsi="Times New Roman" w:cs="Times New Roman"/>
                <w:b/>
                <w:bCs/>
                <w:sz w:val="24"/>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rPr>
            </w:pPr>
            <w:r>
              <w:rPr>
                <w:rFonts w:hint="default" w:ascii="Times New Roman" w:hAnsi="Times New Roman" w:cs="Times New Roman"/>
                <w:szCs w:val="21"/>
              </w:rPr>
              <w:t>【招标】根据《政府采购货物和服务中标投标管理办法》（财政部87号令）的规定，综合评分法</w:t>
            </w:r>
            <w:r>
              <w:rPr>
                <w:rFonts w:hint="default" w:ascii="Times New Roman" w:hAnsi="Times New Roman" w:cs="Times New Roman"/>
                <w:szCs w:val="21"/>
                <w:lang w:eastAsia="zh-CN"/>
              </w:rPr>
              <w:t>服务</w:t>
            </w:r>
            <w:r>
              <w:rPr>
                <w:rFonts w:hint="default" w:ascii="Times New Roman" w:hAnsi="Times New Roman" w:cs="Times New Roman"/>
                <w:szCs w:val="21"/>
              </w:rPr>
              <w:t>项目的价格占总分值的比重不得低于</w:t>
            </w:r>
            <w:r>
              <w:rPr>
                <w:rFonts w:hint="default" w:ascii="Times New Roman" w:hAnsi="Times New Roman" w:cs="Times New Roman"/>
                <w:szCs w:val="21"/>
                <w:lang w:val="en-US" w:eastAsia="zh-CN"/>
              </w:rPr>
              <w:t>1</w:t>
            </w:r>
            <w:r>
              <w:rPr>
                <w:rFonts w:hint="default" w:ascii="Times New Roman" w:hAnsi="Times New Roman" w:cs="Times New Roman"/>
                <w:szCs w:val="21"/>
              </w:rPr>
              <w:t>0%。执行国家统一定价标准和采用固定价格采购的项目，其价格不列为评审因素。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Cs w:val="21"/>
              </w:rPr>
            </w:pPr>
            <w:r>
              <w:rPr>
                <w:rFonts w:hint="default" w:ascii="Times New Roman" w:hAnsi="Times New Roman" w:cs="Times New Roman"/>
                <w:szCs w:val="21"/>
              </w:rPr>
              <w:t>【磋商】根据《政府采购竞争性磋商采购方式管理暂行办法》（财库【2014】214号）的规定，</w:t>
            </w:r>
            <w:r>
              <w:rPr>
                <w:rFonts w:hint="default" w:ascii="Times New Roman" w:hAnsi="Times New Roman" w:cs="Times New Roman"/>
                <w:szCs w:val="21"/>
                <w:lang w:eastAsia="zh-CN"/>
              </w:rPr>
              <w:t>服务</w:t>
            </w:r>
            <w:r>
              <w:rPr>
                <w:rFonts w:hint="default" w:ascii="Times New Roman" w:hAnsi="Times New Roman" w:cs="Times New Roman"/>
                <w:szCs w:val="21"/>
              </w:rPr>
              <w:t>项目的价格分值占总分值的比重（即权值）为</w:t>
            </w:r>
            <w:r>
              <w:rPr>
                <w:rFonts w:hint="default" w:ascii="Times New Roman" w:hAnsi="Times New Roman" w:cs="Times New Roman"/>
                <w:szCs w:val="21"/>
                <w:lang w:val="en-US" w:eastAsia="zh-CN"/>
              </w:rPr>
              <w:t>1</w:t>
            </w:r>
            <w:r>
              <w:rPr>
                <w:rFonts w:hint="default" w:ascii="Times New Roman" w:hAnsi="Times New Roman" w:cs="Times New Roman"/>
                <w:szCs w:val="21"/>
              </w:rPr>
              <w:t>0%-</w:t>
            </w:r>
            <w:r>
              <w:rPr>
                <w:rFonts w:hint="default" w:ascii="Times New Roman" w:hAnsi="Times New Roman" w:cs="Times New Roman"/>
                <w:szCs w:val="21"/>
                <w:lang w:val="en-US" w:eastAsia="zh-CN"/>
              </w:rPr>
              <w:t>3</w:t>
            </w:r>
            <w:r>
              <w:rPr>
                <w:rFonts w:hint="default" w:ascii="Times New Roman" w:hAnsi="Times New Roman" w:cs="Times New Roman"/>
                <w:szCs w:val="21"/>
              </w:rPr>
              <w:t>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rPr>
            </w:pPr>
            <w:r>
              <w:rPr>
                <w:rFonts w:hint="default" w:ascii="Times New Roman" w:hAnsi="Times New Roman" w:cs="Times New Roman"/>
                <w:szCs w:val="21"/>
              </w:rPr>
              <w:t>【其他采购方式】无需设置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lang w:val="en-US" w:eastAsia="zh-CN"/>
              </w:rPr>
              <w:t>9</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合同类型</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w:t>
            </w:r>
            <w:r>
              <w:rPr>
                <w:rFonts w:hint="default" w:ascii="Times New Roman" w:hAnsi="Times New Roman" w:cs="Times New Roman"/>
                <w:b/>
                <w:bCs/>
                <w:sz w:val="24"/>
                <w:highlight w:val="none"/>
              </w:rPr>
              <w:t>固定总价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highlight w:val="none"/>
              </w:rPr>
            </w:pPr>
            <w:r>
              <w:rPr>
                <w:rFonts w:hint="eastAsia" w:ascii="Times New Roman" w:hAnsi="Times New Roman" w:cs="Times New Roman"/>
                <w:b/>
                <w:bCs/>
                <w:sz w:val="24"/>
                <w:lang w:val="en-US" w:eastAsia="zh-CN"/>
              </w:rPr>
              <w:t>○</w:t>
            </w:r>
            <w:r>
              <w:rPr>
                <w:rFonts w:hint="default" w:ascii="Times New Roman" w:hAnsi="Times New Roman" w:cs="Times New Roman"/>
                <w:b/>
                <w:bCs/>
                <w:sz w:val="24"/>
                <w:highlight w:val="none"/>
              </w:rPr>
              <w:t>固定单价（适用于采购数量不定的情形）</w:t>
            </w:r>
          </w:p>
          <w:p>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1</w:t>
            </w:r>
            <w:r>
              <w:rPr>
                <w:rFonts w:hint="default" w:ascii="Times New Roman" w:hAnsi="Times New Roman" w:cs="Times New Roman"/>
                <w:sz w:val="24"/>
                <w:lang w:val="en-US" w:eastAsia="zh-CN"/>
              </w:rPr>
              <w:t>0</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争议解决途径</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向有管辖权的人民法院提起诉讼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rPr>
            </w:pPr>
            <w:r>
              <w:rPr>
                <w:rFonts w:hint="eastAsia" w:ascii="Times New Roman" w:hAnsi="Times New Roman" w:cs="Times New Roman"/>
                <w:b/>
                <w:bCs/>
                <w:sz w:val="24"/>
                <w:highlight w:val="none"/>
                <w:lang w:val="en-US" w:eastAsia="zh-CN"/>
              </w:rPr>
              <w:t>●</w:t>
            </w:r>
            <w:r>
              <w:rPr>
                <w:rFonts w:hint="default" w:ascii="Times New Roman" w:hAnsi="Times New Roman" w:cs="Times New Roman"/>
                <w:b/>
                <w:bCs/>
                <w:sz w:val="24"/>
              </w:rPr>
              <w:t>向西安仲裁委员会提请仲裁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rPr>
            </w:pPr>
            <w:r>
              <w:rPr>
                <w:rFonts w:hint="eastAsia" w:ascii="Times New Roman" w:hAnsi="Times New Roman" w:cs="Times New Roman"/>
                <w:b/>
                <w:bCs/>
                <w:sz w:val="24"/>
                <w:lang w:val="en-US" w:eastAsia="zh-CN"/>
              </w:rPr>
              <w:t>○</w:t>
            </w:r>
            <w:r>
              <w:rPr>
                <w:rFonts w:hint="default" w:ascii="Times New Roman" w:hAnsi="Times New Roman" w:cs="Times New Roman"/>
                <w:b/>
                <w:bCs/>
                <w:sz w:val="24"/>
              </w:rPr>
              <w:t>由供应商做出选择</w:t>
            </w:r>
            <w:r>
              <w:rPr>
                <w:rFonts w:hint="default" w:ascii="Times New Roman" w:hAnsi="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11</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rPr>
            </w:pPr>
            <w:r>
              <w:rPr>
                <w:rFonts w:hint="default" w:ascii="Times New Roman" w:hAnsi="Times New Roman" w:cs="Times New Roman"/>
                <w:sz w:val="24"/>
              </w:rPr>
              <w:t>联系方式</w:t>
            </w:r>
          </w:p>
        </w:tc>
        <w:tc>
          <w:tcPr>
            <w:tcW w:w="74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eastAsiaTheme="minorEastAsia"/>
                <w:b/>
                <w:bCs/>
                <w:sz w:val="24"/>
                <w:lang w:val="en-US" w:eastAsia="zh-CN"/>
              </w:rPr>
            </w:pPr>
            <w:r>
              <w:rPr>
                <w:rFonts w:hint="default" w:ascii="Times New Roman" w:hAnsi="Times New Roman" w:cs="Times New Roman"/>
                <w:b/>
                <w:bCs/>
                <w:sz w:val="24"/>
              </w:rPr>
              <w:t>项目对接人：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eastAsiaTheme="minorEastAsia"/>
                <w:b/>
                <w:bCs/>
                <w:sz w:val="24"/>
                <w:lang w:val="en-US" w:eastAsia="zh-CN"/>
              </w:rPr>
            </w:pPr>
            <w:r>
              <w:rPr>
                <w:rFonts w:hint="default" w:ascii="Times New Roman" w:hAnsi="Times New Roman" w:cs="Times New Roman"/>
                <w:b/>
                <w:bCs/>
                <w:sz w:val="24"/>
              </w:rPr>
              <w:t>联系电话：</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rPr>
            </w:pPr>
            <w:r>
              <w:rPr>
                <w:rFonts w:hint="default" w:ascii="Times New Roman" w:hAnsi="Times New Roman" w:cs="Times New Roman"/>
                <w:b/>
                <w:bCs/>
                <w:sz w:val="24"/>
              </w:rPr>
              <w:t>电子邮箱：</w:t>
            </w:r>
          </w:p>
        </w:tc>
      </w:tr>
    </w:tbl>
    <w:p>
      <w:pPr>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lang w:eastAsia="zh-CN"/>
        </w:rPr>
        <w:br w:type="page"/>
      </w:r>
    </w:p>
    <w:p>
      <w:pPr>
        <w:jc w:val="center"/>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需求框架</w:t>
      </w:r>
    </w:p>
    <w:p>
      <w:pPr>
        <w:numPr>
          <w:ilvl w:val="0"/>
          <w:numId w:val="0"/>
        </w:numPr>
        <w:jc w:val="both"/>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lang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为了持续完善不动产登记系统数据管理，及时向相关部门共享不动产登记数据信息和成果应用，需将往年部分不动产登记业务档案资料及2024年度新产生的不动产登记相关业务资料，及时整理、扫描上传至不动产登记管理系统，以确保不动产登记信息数据的完整和利用。</w:t>
      </w:r>
    </w:p>
    <w:p>
      <w:pPr>
        <w:numPr>
          <w:ilvl w:val="0"/>
          <w:numId w:val="0"/>
        </w:numPr>
        <w:jc w:val="both"/>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lang w:eastAsia="zh-CN"/>
        </w:rPr>
        <w:t>二、服务内容及技术要求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（一）服务内容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供应商需完成40万件</w:t>
      </w:r>
      <w:r>
        <w:rPr>
          <w:rFonts w:hint="default" w:ascii="Times New Roman" w:hAnsi="Times New Roman" w:eastAsia="仿宋" w:cs="Times New Roman"/>
          <w:b w:val="0"/>
          <w:bCs w:val="0"/>
          <w:kern w:val="2"/>
          <w:sz w:val="28"/>
          <w:szCs w:val="28"/>
          <w:lang w:val="en-US" w:eastAsia="zh-CN" w:bidi="ar-SA"/>
        </w:rPr>
        <w:t>不动产登记业务档案资料</w:t>
      </w:r>
      <w:r>
        <w:rPr>
          <w:rFonts w:hint="eastAsia" w:ascii="Times New Roman" w:hAnsi="Times New Roman" w:eastAsia="仿宋" w:cs="Times New Roman"/>
          <w:b w:val="0"/>
          <w:bCs w:val="0"/>
          <w:kern w:val="2"/>
          <w:sz w:val="28"/>
          <w:szCs w:val="28"/>
          <w:lang w:val="en-US" w:eastAsia="zh-CN" w:bidi="ar-SA"/>
        </w:rPr>
        <w:t>的扫描、系统挂接工作，将资料及时</w:t>
      </w:r>
      <w:r>
        <w:rPr>
          <w:rFonts w:hint="default" w:ascii="Times New Roman" w:hAnsi="Times New Roman" w:eastAsia="仿宋" w:cs="Times New Roman"/>
          <w:b w:val="0"/>
          <w:bCs w:val="0"/>
          <w:kern w:val="2"/>
          <w:sz w:val="28"/>
          <w:szCs w:val="28"/>
          <w:lang w:val="en-US" w:eastAsia="zh-CN" w:bidi="ar-SA"/>
        </w:rPr>
        <w:t>整理、上传至不动产登记管理系统</w:t>
      </w:r>
      <w:r>
        <w:rPr>
          <w:rFonts w:hint="eastAsia" w:ascii="Times New Roman" w:hAnsi="Times New Roman" w:eastAsia="仿宋" w:cs="Times New Roman"/>
          <w:b w:val="0"/>
          <w:bCs w:val="0"/>
          <w:kern w:val="2"/>
          <w:sz w:val="28"/>
          <w:szCs w:val="28"/>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（二）技术要求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本项目依据行业的有关标准规范实施，参照规范包括但不限于如下：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1、DA/T 31-2017中华人民共和国档案行业标准《纸质档案数字化规范》；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2、DA/T18-1999《档案著录规则》；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3、GB/T 18894-2016《电子文件归档与电子档案管理规范》；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4、《档案法》；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5、GB/T7156-2003《文献保密等级代码与标识》；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6、《信息技术连续色调静态图像的数字压缩及编码第1部分：要求和指南》GB/T 17235.1-1998;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7、《信息技术连续色调静态图像的数字压缩及编码第2部分：一致性测试》GB/T17235.2-1998;</w:t>
      </w:r>
    </w:p>
    <w:p>
      <w:pPr>
        <w:numPr>
          <w:ilvl w:val="0"/>
          <w:numId w:val="0"/>
        </w:numPr>
        <w:jc w:val="both"/>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三、服务要求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完成</w:t>
      </w:r>
      <w:r>
        <w:rPr>
          <w:rFonts w:hint="eastAsia" w:ascii="Times New Roman" w:hAnsi="Times New Roman" w:eastAsia="仿宋" w:cs="Times New Roman"/>
          <w:b w:val="0"/>
          <w:bCs w:val="0"/>
          <w:kern w:val="2"/>
          <w:sz w:val="28"/>
          <w:szCs w:val="28"/>
          <w:lang w:val="en-US" w:eastAsia="zh-CN" w:bidi="ar-SA"/>
        </w:rPr>
        <w:t>40万件</w:t>
      </w:r>
      <w:r>
        <w:rPr>
          <w:rFonts w:hint="default" w:ascii="Times New Roman" w:hAnsi="Times New Roman" w:eastAsia="仿宋" w:cs="Times New Roman"/>
          <w:b w:val="0"/>
          <w:bCs w:val="0"/>
          <w:kern w:val="2"/>
          <w:sz w:val="28"/>
          <w:szCs w:val="28"/>
          <w:lang w:val="en-US" w:eastAsia="zh-CN" w:bidi="ar-SA"/>
        </w:rPr>
        <w:t>不动产登记业务资料的扫描及系统挂接工作：将全部不动产登记业务纸质资料进行整理、扫描，并</w:t>
      </w:r>
      <w:r>
        <w:rPr>
          <w:rFonts w:hint="default" w:ascii="Times New Roman" w:hAnsi="Times New Roman" w:eastAsia="仿宋" w:cs="Times New Roman"/>
          <w:b w:val="0"/>
          <w:bCs w:val="0"/>
          <w:kern w:val="2"/>
          <w:sz w:val="28"/>
          <w:szCs w:val="28"/>
          <w:highlight w:val="none"/>
          <w:lang w:val="en-US" w:eastAsia="zh-CN" w:bidi="ar-SA"/>
        </w:rPr>
        <w:t>在不动产信息管理平台中</w:t>
      </w:r>
      <w:r>
        <w:rPr>
          <w:rFonts w:hint="default" w:ascii="Times New Roman" w:hAnsi="Times New Roman" w:eastAsia="仿宋" w:cs="Times New Roman"/>
          <w:b w:val="0"/>
          <w:bCs w:val="0"/>
          <w:kern w:val="2"/>
          <w:sz w:val="28"/>
          <w:szCs w:val="28"/>
          <w:lang w:val="en-US" w:eastAsia="zh-CN" w:bidi="ar-SA"/>
        </w:rPr>
        <w:t>挂接扫描图像。要求资料扫描加工处理流程设计合理，录入与图像扫描处理功能完整，保证数字化加工质量，严格质检方法、数据准确性和完整性，实体档案的安全和原始性，并对业务资料数据进行保密。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3.1电子化技术参数</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（1）扫描模式：要求24位彩色扫描。</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（2）图片分辨率：正常情况下不低于200dpi，对于原件不清晰的资料，可适当调高分辨率，以保证扫描图像清晰可见。</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（3）图像存储格式：图像以页为单位分别存储，图像存储格式为JPEG。</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3.2设备要求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（1）采用最可靠的扫描设备和扫描方法进行扫描，不得对业务资料和图纸造成损坏，避免纸张褶皱、破损等损坏情况。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（2）须配备不需要拆装原卷进行扫描的设备，以保证不宜拆装的老旧资料及硬壳资料的扫描完成。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3.3扫描内容要求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数字化图像需完整，图片应与纸质资料数量一致，不能漏扫、重扫、多扫，不动产信息管理平台上传的扫描图像文件与纸质资料清单一一对应，必须保证平台目录数据库与图像文件一一匹配，不得有错挂、漏挂、重复的情况存在，扫描过程中不能确定文件类型的，需与采购方核实确认后进行扫描归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3.4扫描顺序及数量要求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扫描时，按事先整理好的资料顺序参照平台目录逐项对应扫描，顺序不可颠倒；上传的图像与纸质内容数量一致。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对于需拆装扫描的资料，确保扫描的文件内容顺序一致、页码完整，避免重扫、漏扫情况发生，扫描完成后及时按拆装前装订方式进行装订，确保资料内容顺序一致、页码完整，无正反颠倒、页码混乱、漏订等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针对老旧资料，须以保护纸质档案为原则，采用不拆卷扫描设备和方法进行扫描。对于轻度破损的档案资料，应采取数字化前修复处理；对于严重损坏，不能进行修复的档案资料，应及时报请采购人会商解决方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3.5扫描图像质量要求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扫描的数字图像应清晰、完整、不失真，图像效果最接近档案资料原貌，图像内容与资料实体内容、数量相符合，不能有明显的黑边、污点、卷曲、折痕，页面及内容端正。根据档案资料扫描后的具体情况，进行如下图像处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（1）图像剪裁、纠偏：采用自动或手动纠偏功能，调整图像角度。所有页面旋转到正常阅读角度，页面上字迹和线条如原件一样横平竖直、无扭曲、偏斜现象。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（2）图像脏点、脏斑、去黑边等：对图像页面中出现的影响图像质量的杂质如黑点、黑线、黑边等应进行去污处理。处理过程中应遵循保持档案原貌原则。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（3）字迹洇透：采用字迹锐化的功能，清晰字迹笔画。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（4）图像深浅不一：采用平衡功能，调整图像深浅一致。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（5）图像拼接处信息要完整，不可缺少信息。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3.6质量要求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（1）保证业务资料及档案资料数字化的完整性、准确性、及时性、一致性，对纸质资料从封面至封底进行完整数字化，保证电子档案与实体资料的内容完全一致。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（2）需确保实体资料的安全，无丢失、无损毁、无差错。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（3）遵守国家保密管理有关规定，保证电子数据的安全，保守业务资料信息秘密。</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3.7扫描质量核查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（1）扫描核查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一卷档案扫描完成后，对纸张资料和扫描生成的图像进行核对，如出现数量不符、顺序有误、正反颠倒、图像不清晰的情况，则需视情况予以补扫描或重新扫描处理。原纸质资料按原顺序装袋，需扫描人签字归档。</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宋体" w:cs="Times New Roman"/>
          <w:b w:val="0"/>
          <w:bCs w:val="0"/>
          <w:kern w:val="2"/>
          <w:sz w:val="28"/>
          <w:szCs w:val="28"/>
          <w:lang w:val="en-US" w:eastAsia="zh-CN" w:bidi="ar-SA"/>
        </w:rPr>
        <w:t>（2）</w:t>
      </w:r>
      <w:r>
        <w:rPr>
          <w:rFonts w:hint="default" w:ascii="Times New Roman" w:hAnsi="Times New Roman" w:eastAsia="仿宋" w:cs="Times New Roman"/>
          <w:b w:val="0"/>
          <w:bCs w:val="0"/>
          <w:kern w:val="2"/>
          <w:sz w:val="28"/>
          <w:szCs w:val="28"/>
          <w:lang w:val="en-US" w:eastAsia="zh-CN" w:bidi="ar-SA"/>
        </w:rPr>
        <w:t>抽样核查</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抽样时，原始纸质资料以袋或捆为单位随机抽取，抽取的袋/捆内的全部卷数即为抽样样本，累计的总抽样卷数应达到5%的抽样比例，扫描成果的抽检合格率应不低于97%。</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宋体" w:cs="Times New Roman"/>
          <w:b w:val="0"/>
          <w:bCs w:val="0"/>
          <w:kern w:val="2"/>
          <w:sz w:val="28"/>
          <w:szCs w:val="28"/>
          <w:lang w:val="en-US" w:eastAsia="zh-CN" w:bidi="ar-SA"/>
        </w:rPr>
        <w:t>（3）</w:t>
      </w:r>
      <w:r>
        <w:rPr>
          <w:rFonts w:hint="default" w:ascii="Times New Roman" w:hAnsi="Times New Roman" w:eastAsia="仿宋" w:cs="Times New Roman"/>
          <w:b w:val="0"/>
          <w:bCs w:val="0"/>
          <w:kern w:val="2"/>
          <w:sz w:val="28"/>
          <w:szCs w:val="28"/>
          <w:lang w:val="en-US" w:eastAsia="zh-CN" w:bidi="ar-SA"/>
        </w:rPr>
        <w:t>扫描图像质量判定标准如下：</w:t>
      </w:r>
    </w:p>
    <w:tbl>
      <w:tblPr>
        <w:tblStyle w:val="6"/>
        <w:tblpPr w:leftFromText="181" w:rightFromText="181" w:vertAnchor="text" w:horzAnchor="margin" w:tblpXSpec="left" w:tblpY="1"/>
        <w:tblW w:w="0" w:type="auto"/>
        <w:tblInd w:w="0" w:type="dxa"/>
        <w:tblLayout w:type="fixed"/>
        <w:tblCellMar>
          <w:top w:w="0" w:type="dxa"/>
          <w:left w:w="108" w:type="dxa"/>
          <w:bottom w:w="0" w:type="dxa"/>
          <w:right w:w="108" w:type="dxa"/>
        </w:tblCellMar>
      </w:tblPr>
      <w:tblGrid>
        <w:gridCol w:w="3681"/>
        <w:gridCol w:w="1276"/>
        <w:gridCol w:w="1134"/>
        <w:gridCol w:w="1134"/>
        <w:gridCol w:w="1071"/>
      </w:tblGrid>
      <w:tr>
        <w:tblPrEx>
          <w:tblCellMar>
            <w:top w:w="0" w:type="dxa"/>
            <w:left w:w="108" w:type="dxa"/>
            <w:bottom w:w="0" w:type="dxa"/>
            <w:right w:w="108" w:type="dxa"/>
          </w:tblCellMar>
        </w:tblPrEx>
        <w:trPr>
          <w:trHeight w:val="567" w:hRule="atLeast"/>
        </w:trPr>
        <w:tc>
          <w:tcPr>
            <w:tcW w:w="36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错误类型</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致命缺陷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严重缺陷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中缺陷</w:t>
            </w:r>
          </w:p>
        </w:tc>
        <w:tc>
          <w:tcPr>
            <w:tcW w:w="107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轻缺陷</w:t>
            </w:r>
          </w:p>
        </w:tc>
      </w:tr>
      <w:tr>
        <w:tblPrEx>
          <w:tblCellMar>
            <w:top w:w="0" w:type="dxa"/>
            <w:left w:w="108" w:type="dxa"/>
            <w:bottom w:w="0" w:type="dxa"/>
            <w:right w:w="108" w:type="dxa"/>
          </w:tblCellMar>
        </w:tblPrEx>
        <w:trPr>
          <w:trHeight w:val="567"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漏页</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&gt;0%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567"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彩色纸质扫描为黑白图像</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&gt;0%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567"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图像字迹模糊不清</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&lt;5%</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567"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折页等扫描内容不全等</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&lt;5%</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86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装订漏页（仅针对土地权属登记档案、房屋权属登记档案）</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5%-10%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&lt;5%</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567"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分拣错误</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&lt;10%</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567"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重复扫描</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10%-30%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&lt;10%</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1440"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电子档案顺序错误（与原稿编码顺序保持一致。如原稿编码有误，电子图像根据档案内容重新调整顺序，则不应作为问题记录。)</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20%-40%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&lt;20%</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w:t>
            </w:r>
          </w:p>
        </w:tc>
      </w:tr>
      <w:tr>
        <w:tblPrEx>
          <w:tblCellMar>
            <w:top w:w="0" w:type="dxa"/>
            <w:left w:w="108" w:type="dxa"/>
            <w:bottom w:w="0" w:type="dxa"/>
            <w:right w:w="108" w:type="dxa"/>
          </w:tblCellMar>
        </w:tblPrEx>
        <w:trPr>
          <w:trHeight w:val="1440"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明显污点、宽竖线等扫描仪导致的图像质量问题；档案边缘印章被裁剪&gt;3mm、装订页码顺序错误、图像未旋转等图像质量问题</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40%-60%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20%-40%</w:t>
            </w:r>
          </w:p>
        </w:tc>
        <w:tc>
          <w:tcPr>
            <w:tcW w:w="107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&lt;20%</w:t>
            </w:r>
          </w:p>
        </w:tc>
      </w:tr>
      <w:tr>
        <w:tblPrEx>
          <w:tblCellMar>
            <w:top w:w="0" w:type="dxa"/>
            <w:left w:w="108" w:type="dxa"/>
            <w:bottom w:w="0" w:type="dxa"/>
            <w:right w:w="108" w:type="dxa"/>
          </w:tblCellMar>
        </w:tblPrEx>
        <w:trPr>
          <w:trHeight w:val="2088" w:hRule="atLeast"/>
        </w:trPr>
        <w:tc>
          <w:tcPr>
            <w:tcW w:w="829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说明：</w:t>
            </w:r>
          </w:p>
          <w:p>
            <w:pPr>
              <w:widowControl/>
              <w:jc w:val="left"/>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1.本表格用于判定个体卷档案是否合格。</w:t>
            </w:r>
          </w:p>
          <w:p>
            <w:pPr>
              <w:widowControl/>
              <w:jc w:val="left"/>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2.致命缺陷、严重缺陷、中缺陷、轻缺陷分值分别为：8、4、2、1。</w:t>
            </w:r>
          </w:p>
          <w:p>
            <w:pPr>
              <w:widowControl/>
              <w:jc w:val="left"/>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3.当每卷任一质量元素的缺陷累计总分值大于或等于8时，则判定该卷不合格，累计</w:t>
            </w:r>
          </w:p>
          <w:p>
            <w:pPr>
              <w:widowControl/>
              <w:jc w:val="left"/>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一个不合格品数。</w:t>
            </w:r>
          </w:p>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4.上述比例均为缺陷页数与卷内总页数的占比。</w:t>
            </w:r>
          </w:p>
        </w:tc>
      </w:tr>
    </w:tbl>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3.8验收</w:t>
      </w:r>
      <w:bookmarkStart w:id="0" w:name="_Hlt257644624"/>
      <w:bookmarkEnd w:id="0"/>
      <w:r>
        <w:rPr>
          <w:rFonts w:hint="default" w:ascii="Times New Roman" w:hAnsi="Times New Roman" w:eastAsia="仿宋" w:cs="Times New Roman"/>
          <w:b w:val="0"/>
          <w:bCs w:val="0"/>
          <w:sz w:val="28"/>
          <w:szCs w:val="28"/>
          <w:lang w:val="en-US" w:eastAsia="zh-CN"/>
        </w:rPr>
        <w:t>归档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（1）抽检通过的数据及原始纸质资料移交采购人验收；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（2）原始纸质资料加工扫描结果由采购人档案管理人员负责考核，定期抽查，不合格的重新处理；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（3）移交的原始纸质资料杜绝任何损坏或丢失。如果原始纸质资料损坏或丢失，供应商需赔偿相关损失并承担相应的法律责任；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Times New Roman" w:hAnsi="Times New Roman" w:eastAsia="仿宋" w:cs="Times New Roman"/>
          <w:b w:val="0"/>
          <w:bCs w:val="0"/>
          <w:sz w:val="28"/>
          <w:szCs w:val="28"/>
          <w:highlight w:val="yellow"/>
          <w:lang w:val="en-US" w:eastAsia="zh-CN"/>
        </w:rPr>
      </w:pPr>
      <w:r>
        <w:rPr>
          <w:rFonts w:hint="default" w:ascii="Times New Roman" w:hAnsi="Times New Roman" w:eastAsia="仿宋" w:cs="Times New Roman"/>
          <w:b w:val="0"/>
          <w:bCs w:val="0"/>
          <w:sz w:val="28"/>
          <w:szCs w:val="28"/>
          <w:lang w:val="en-US" w:eastAsia="zh-CN"/>
        </w:rPr>
        <w:t>（4）数据移交：完成项目终验后，及时向采购人档案管理人员移交备份数据；</w:t>
      </w:r>
      <w:r>
        <w:rPr>
          <w:rFonts w:hint="default" w:ascii="Times New Roman" w:hAnsi="Times New Roman" w:eastAsia="仿宋" w:cs="Times New Roman"/>
          <w:b w:val="0"/>
          <w:bCs w:val="0"/>
          <w:sz w:val="28"/>
          <w:szCs w:val="28"/>
          <w:highlight w:val="none"/>
          <w:lang w:val="en-US" w:eastAsia="zh-CN"/>
        </w:rPr>
        <w:t>上传到</w:t>
      </w:r>
      <w:r>
        <w:rPr>
          <w:rFonts w:hint="default" w:ascii="Times New Roman" w:hAnsi="Times New Roman" w:eastAsia="仿宋" w:cs="Times New Roman"/>
          <w:b w:val="0"/>
          <w:bCs w:val="0"/>
          <w:kern w:val="2"/>
          <w:sz w:val="28"/>
          <w:szCs w:val="28"/>
          <w:highlight w:val="none"/>
          <w:lang w:val="en-US" w:eastAsia="zh-CN" w:bidi="ar-SA"/>
        </w:rPr>
        <w:t>不动产信息管理平台</w:t>
      </w:r>
      <w:r>
        <w:rPr>
          <w:rFonts w:hint="default" w:ascii="Times New Roman" w:hAnsi="Times New Roman" w:eastAsia="仿宋" w:cs="Times New Roman"/>
          <w:b w:val="0"/>
          <w:bCs w:val="0"/>
          <w:sz w:val="28"/>
          <w:szCs w:val="28"/>
          <w:highlight w:val="none"/>
          <w:lang w:val="en-US" w:eastAsia="zh-CN"/>
        </w:rPr>
        <w:t>中的数据在线备份。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3.9其他要求</w:t>
      </w:r>
    </w:p>
    <w:p>
      <w:pPr>
        <w:pStyle w:val="20"/>
        <w:spacing w:line="360" w:lineRule="auto"/>
        <w:ind w:firstLine="560" w:firstLineChars="200"/>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（1）供应商针对本项目制定相应的保密管理方案，</w:t>
      </w:r>
      <w:r>
        <w:rPr>
          <w:rFonts w:hint="default" w:ascii="Times New Roman" w:hAnsi="Times New Roman" w:eastAsia="仿宋" w:cs="Times New Roman"/>
          <w:b w:val="0"/>
          <w:bCs w:val="0"/>
          <w:sz w:val="28"/>
          <w:szCs w:val="28"/>
          <w:lang w:val="en-US" w:eastAsia="zh-CN"/>
        </w:rPr>
        <w:t>原始纸质资料</w:t>
      </w:r>
      <w:r>
        <w:rPr>
          <w:rFonts w:hint="default" w:ascii="Times New Roman" w:hAnsi="Times New Roman" w:eastAsia="仿宋" w:cs="Times New Roman"/>
          <w:b w:val="0"/>
          <w:bCs w:val="0"/>
          <w:kern w:val="2"/>
          <w:sz w:val="28"/>
          <w:szCs w:val="28"/>
          <w:lang w:val="en-US" w:eastAsia="zh-CN" w:bidi="ar-SA"/>
        </w:rPr>
        <w:t>内容应严格保密，如有泄密情况，依照相关法律法规，供应商须承担相关责任；</w:t>
      </w:r>
    </w:p>
    <w:p>
      <w:pPr>
        <w:pStyle w:val="20"/>
        <w:spacing w:line="360" w:lineRule="auto"/>
        <w:ind w:firstLine="560" w:firstLineChars="200"/>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（2）供应商针对本项目制定相关的内部管理制度，制度内容包括但不限于：组织机构、管理制度、质量管理体系、保密措施等；</w:t>
      </w:r>
    </w:p>
    <w:p>
      <w:pPr>
        <w:pStyle w:val="20"/>
        <w:spacing w:line="360" w:lineRule="auto"/>
        <w:ind w:firstLine="560" w:firstLineChars="200"/>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（3）供应商为档案管理人员提供技术培训，编制切实可行的操作方案；</w:t>
      </w:r>
    </w:p>
    <w:p>
      <w:pPr>
        <w:pStyle w:val="20"/>
        <w:spacing w:line="360" w:lineRule="auto"/>
        <w:ind w:firstLine="560" w:firstLineChars="200"/>
        <w:rPr>
          <w:rFonts w:hint="default" w:ascii="Times New Roman" w:hAnsi="Times New Roman" w:eastAsia="仿宋" w:cs="Times New Roman"/>
          <w:b w:val="0"/>
          <w:bCs w:val="0"/>
          <w:kern w:val="2"/>
          <w:sz w:val="28"/>
          <w:szCs w:val="28"/>
          <w:lang w:val="en-US" w:eastAsia="zh-CN" w:bidi="ar-SA"/>
        </w:rPr>
      </w:pPr>
      <w:r>
        <w:rPr>
          <w:rFonts w:hint="default" w:ascii="Times New Roman" w:hAnsi="Times New Roman" w:eastAsia="仿宋" w:cs="Times New Roman"/>
          <w:b w:val="0"/>
          <w:bCs w:val="0"/>
          <w:kern w:val="2"/>
          <w:sz w:val="28"/>
          <w:szCs w:val="28"/>
          <w:lang w:val="en-US" w:eastAsia="zh-CN" w:bidi="ar-SA"/>
        </w:rPr>
        <w:t>（4）供应商提供售后服务方案，保证在项目完成后，能够提供周全的售后服务；</w:t>
      </w:r>
    </w:p>
    <w:p>
      <w:pPr>
        <w:widowControl w:val="0"/>
        <w:numPr>
          <w:ilvl w:val="0"/>
          <w:numId w:val="0"/>
        </w:numPr>
        <w:ind w:leftChars="0"/>
        <w:jc w:val="both"/>
        <w:rPr>
          <w:rFonts w:hint="default" w:ascii="Times New Roman" w:hAnsi="Times New Roman" w:eastAsia="仿宋" w:cs="Times New Roman"/>
          <w:b/>
          <w:bCs/>
          <w:sz w:val="28"/>
          <w:szCs w:val="28"/>
          <w:lang w:eastAsia="zh-CN"/>
        </w:rPr>
      </w:pPr>
      <w:r>
        <w:rPr>
          <w:rFonts w:hint="default" w:ascii="Times New Roman" w:hAnsi="Times New Roman" w:eastAsia="仿宋" w:cs="Times New Roman"/>
          <w:b/>
          <w:bCs/>
          <w:sz w:val="28"/>
          <w:szCs w:val="28"/>
          <w:lang w:eastAsia="zh-CN"/>
        </w:rPr>
        <w:t>四、商务要求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（一）服务期</w:t>
      </w:r>
      <w:r>
        <w:rPr>
          <w:rFonts w:hint="eastAsia" w:ascii="Times New Roman" w:hAnsi="Times New Roman" w:eastAsia="仿宋" w:cs="Times New Roman"/>
          <w:b w:val="0"/>
          <w:bCs w:val="0"/>
          <w:sz w:val="28"/>
          <w:szCs w:val="28"/>
          <w:lang w:val="en-US" w:eastAsia="zh-CN"/>
        </w:rPr>
        <w:t>：</w:t>
      </w:r>
      <w:r>
        <w:rPr>
          <w:rFonts w:hint="eastAsia" w:ascii="仿宋" w:hAnsi="仿宋" w:eastAsia="仿宋" w:cs="仿宋"/>
          <w:bCs/>
          <w:sz w:val="28"/>
          <w:szCs w:val="28"/>
          <w:lang w:val="en-US" w:eastAsia="zh-CN"/>
        </w:rPr>
        <w:t>自合同签订之日起至服务内容完成之日止（一年内）</w:t>
      </w:r>
      <w:r>
        <w:rPr>
          <w:rFonts w:hint="eastAsia" w:ascii="Times New Roman" w:hAnsi="Times New Roman" w:eastAsia="仿宋" w:cs="Times New Roman"/>
          <w:b w:val="0"/>
          <w:bCs w:val="0"/>
          <w:sz w:val="28"/>
          <w:szCs w:val="28"/>
          <w:lang w:val="en-US" w:eastAsia="zh-CN"/>
        </w:rPr>
        <w:t>。</w:t>
      </w:r>
    </w:p>
    <w:p>
      <w:pPr>
        <w:pStyle w:val="20"/>
        <w:spacing w:line="240" w:lineRule="auto"/>
        <w:ind w:firstLine="560" w:firstLineChars="200"/>
        <w:rPr>
          <w:rFonts w:hint="default" w:ascii="Times New Roman" w:hAnsi="Times New Roman" w:eastAsia="华文仿宋" w:cs="Times New Roman"/>
          <w:lang w:eastAsia="zh-CN"/>
        </w:rPr>
      </w:pPr>
      <w:r>
        <w:rPr>
          <w:rFonts w:hint="default" w:ascii="Times New Roman" w:hAnsi="Times New Roman" w:cs="Times New Roman"/>
          <w:sz w:val="28"/>
          <w:szCs w:val="28"/>
          <w:lang w:val="en-US" w:eastAsia="zh-CN"/>
        </w:rPr>
        <w:t>（二）质保期</w:t>
      </w:r>
      <w:r>
        <w:rPr>
          <w:rFonts w:hint="eastAsia" w:ascii="Times New Roman" w:hAnsi="Times New Roman" w:cs="Times New Roman"/>
          <w:sz w:val="28"/>
          <w:szCs w:val="28"/>
          <w:lang w:val="en-US" w:eastAsia="zh-CN"/>
        </w:rPr>
        <w:t>：</w:t>
      </w:r>
      <w:r>
        <w:rPr>
          <w:rFonts w:hint="default" w:ascii="Times New Roman" w:hAnsi="Times New Roman" w:cs="Times New Roman"/>
        </w:rPr>
        <w:t>自验收通过之日起提供1年质保</w:t>
      </w:r>
      <w:r>
        <w:rPr>
          <w:rFonts w:hint="default" w:ascii="Times New Roman" w:hAnsi="Times New Roman" w:cs="Times New Roman"/>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cs="Times New Roman"/>
          <w:color w:val="000000"/>
          <w:kern w:val="0"/>
          <w:sz w:val="28"/>
          <w:szCs w:val="28"/>
          <w:lang w:val="en-US" w:eastAsia="zh-CN" w:bidi="ar"/>
        </w:rPr>
      </w:pPr>
      <w:r>
        <w:rPr>
          <w:rFonts w:hint="default" w:ascii="Times New Roman" w:hAnsi="Times New Roman" w:eastAsia="仿宋" w:cs="Times New Roman"/>
          <w:sz w:val="28"/>
          <w:szCs w:val="28"/>
          <w:lang w:val="en-US" w:eastAsia="zh-CN"/>
        </w:rPr>
        <w:t>（</w:t>
      </w:r>
      <w:r>
        <w:rPr>
          <w:rFonts w:hint="default" w:ascii="Times New Roman" w:hAnsi="Times New Roman" w:cs="Times New Roman"/>
          <w:sz w:val="28"/>
          <w:szCs w:val="28"/>
          <w:lang w:val="en-US" w:eastAsia="zh-CN"/>
        </w:rPr>
        <w:t>三</w:t>
      </w:r>
      <w:r>
        <w:rPr>
          <w:rFonts w:hint="default" w:ascii="Times New Roman" w:hAnsi="Times New Roman" w:eastAsia="仿宋" w:cs="Times New Roman"/>
          <w:sz w:val="28"/>
          <w:szCs w:val="28"/>
          <w:lang w:val="en-US" w:eastAsia="zh-CN"/>
        </w:rPr>
        <w:t>）服务地点：西安市不动产</w:t>
      </w:r>
      <w:r>
        <w:rPr>
          <w:rFonts w:hint="default" w:ascii="Times New Roman" w:hAnsi="Times New Roman" w:eastAsia="仿宋" w:cs="Times New Roman"/>
          <w:color w:val="000000"/>
          <w:kern w:val="0"/>
          <w:sz w:val="28"/>
          <w:szCs w:val="28"/>
          <w:lang w:val="en-US" w:eastAsia="zh-CN" w:bidi="ar"/>
        </w:rPr>
        <w:t>登记服务中心</w:t>
      </w:r>
      <w:r>
        <w:rPr>
          <w:rFonts w:hint="eastAsia" w:ascii="Times New Roman" w:hAnsi="Times New Roman" w:cs="Times New Roman"/>
          <w:color w:val="000000"/>
          <w:kern w:val="0"/>
          <w:sz w:val="28"/>
          <w:szCs w:val="28"/>
          <w:lang w:val="en-US" w:eastAsia="zh-CN" w:bidi="ar"/>
        </w:rPr>
        <w:t>各大厅</w:t>
      </w:r>
      <w:r>
        <w:rPr>
          <w:rFonts w:hint="default" w:ascii="Times New Roman" w:hAnsi="Times New Roman" w:cs="Times New Roman"/>
          <w:color w:val="000000"/>
          <w:kern w:val="0"/>
          <w:sz w:val="28"/>
          <w:szCs w:val="28"/>
          <w:lang w:val="en-US" w:eastAsia="zh-CN" w:bidi="ar"/>
        </w:rPr>
        <w:t>。</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w:t>
      </w:r>
      <w:r>
        <w:rPr>
          <w:rFonts w:hint="default" w:ascii="Times New Roman" w:hAnsi="Times New Roman" w:cs="Times New Roman"/>
          <w:sz w:val="28"/>
          <w:szCs w:val="28"/>
          <w:highlight w:val="none"/>
          <w:lang w:val="en-US" w:eastAsia="zh-CN"/>
        </w:rPr>
        <w:t>四</w:t>
      </w:r>
      <w:r>
        <w:rPr>
          <w:rFonts w:hint="default" w:ascii="Times New Roman" w:hAnsi="Times New Roman" w:eastAsia="仿宋" w:cs="Times New Roman"/>
          <w:sz w:val="28"/>
          <w:szCs w:val="28"/>
          <w:highlight w:val="none"/>
          <w:lang w:val="en-US" w:eastAsia="zh-CN"/>
        </w:rPr>
        <w:t>）付款方式：自合同签订之日起</w:t>
      </w:r>
      <w:r>
        <w:rPr>
          <w:rFonts w:hint="eastAsia" w:ascii="Times New Roman" w:hAnsi="Times New Roman" w:cs="Times New Roman"/>
          <w:sz w:val="28"/>
          <w:szCs w:val="28"/>
          <w:highlight w:val="none"/>
          <w:lang w:val="en-US" w:eastAsia="zh-CN"/>
        </w:rPr>
        <w:t>经供应商申请甲方同意后，</w:t>
      </w:r>
      <w:r>
        <w:rPr>
          <w:rFonts w:hint="default" w:ascii="Times New Roman" w:hAnsi="Times New Roman" w:eastAsia="仿宋" w:cs="Times New Roman"/>
          <w:sz w:val="28"/>
          <w:szCs w:val="28"/>
          <w:highlight w:val="none"/>
          <w:lang w:val="en-US" w:eastAsia="zh-CN"/>
        </w:rPr>
        <w:t>1个月内</w:t>
      </w:r>
      <w:r>
        <w:rPr>
          <w:rFonts w:hint="eastAsia" w:ascii="Times New Roman" w:hAnsi="Times New Roman" w:cs="Times New Roman"/>
          <w:sz w:val="28"/>
          <w:szCs w:val="28"/>
          <w:highlight w:val="none"/>
          <w:lang w:val="en-US" w:eastAsia="zh-CN"/>
        </w:rPr>
        <w:t>预</w:t>
      </w:r>
      <w:r>
        <w:rPr>
          <w:rFonts w:hint="default" w:ascii="Times New Roman" w:hAnsi="Times New Roman" w:eastAsia="仿宋" w:cs="Times New Roman"/>
          <w:sz w:val="28"/>
          <w:szCs w:val="28"/>
          <w:highlight w:val="none"/>
          <w:lang w:val="en-US" w:eastAsia="zh-CN"/>
        </w:rPr>
        <w:t>付总价款的50%，年末</w:t>
      </w:r>
      <w:r>
        <w:rPr>
          <w:rFonts w:hint="eastAsia" w:ascii="Times New Roman" w:hAnsi="Times New Roman" w:cs="Times New Roman"/>
          <w:sz w:val="28"/>
          <w:szCs w:val="28"/>
          <w:highlight w:val="none"/>
          <w:lang w:val="en-US" w:eastAsia="zh-CN"/>
        </w:rPr>
        <w:t>前</w:t>
      </w:r>
      <w:r>
        <w:rPr>
          <w:rFonts w:hint="default" w:ascii="Times New Roman" w:hAnsi="Times New Roman" w:eastAsia="仿宋" w:cs="Times New Roman"/>
          <w:sz w:val="28"/>
          <w:szCs w:val="28"/>
          <w:highlight w:val="none"/>
          <w:lang w:val="en-US" w:eastAsia="zh-CN"/>
        </w:rPr>
        <w:t>经验收</w:t>
      </w:r>
      <w:r>
        <w:rPr>
          <w:rFonts w:hint="eastAsia" w:ascii="Times New Roman" w:hAnsi="Times New Roman" w:cs="Times New Roman"/>
          <w:sz w:val="28"/>
          <w:szCs w:val="28"/>
          <w:highlight w:val="none"/>
          <w:lang w:val="en-US" w:eastAsia="zh-CN"/>
        </w:rPr>
        <w:t>评估</w:t>
      </w:r>
      <w:r>
        <w:rPr>
          <w:rFonts w:hint="default" w:ascii="Times New Roman" w:hAnsi="Times New Roman" w:eastAsia="仿宋" w:cs="Times New Roman"/>
          <w:sz w:val="28"/>
          <w:szCs w:val="28"/>
          <w:highlight w:val="none"/>
          <w:lang w:val="en-US" w:eastAsia="zh-CN"/>
        </w:rPr>
        <w:t>后再付总价款的50</w:t>
      </w:r>
      <w:bookmarkStart w:id="1" w:name="_GoBack"/>
      <w:bookmarkEnd w:id="1"/>
      <w:r>
        <w:rPr>
          <w:rFonts w:hint="default" w:ascii="Times New Roman" w:hAnsi="Times New Roman" w:eastAsia="仿宋" w:cs="Times New Roman"/>
          <w:sz w:val="28"/>
          <w:szCs w:val="28"/>
          <w:highlight w:val="none"/>
          <w:lang w:val="en-US" w:eastAsia="zh-CN"/>
        </w:rPr>
        <w:t>%</w:t>
      </w:r>
      <w:r>
        <w:rPr>
          <w:rFonts w:hint="default" w:ascii="Times New Roman" w:hAnsi="Times New Roman" w:cs="Times New Roman"/>
          <w:sz w:val="28"/>
          <w:szCs w:val="28"/>
          <w:highlight w:val="none"/>
          <w:lang w:val="en-US" w:eastAsia="zh-CN"/>
        </w:rPr>
        <w:t>。</w:t>
      </w:r>
    </w:p>
    <w:p>
      <w:pPr>
        <w:rPr>
          <w:rFonts w:hint="default" w:ascii="Times New Roman" w:hAnsi="Times New Roman" w:eastAsia="仿宋" w:cs="Times New Roman"/>
          <w:b/>
          <w:bCs/>
          <w:spacing w:val="0"/>
          <w:sz w:val="28"/>
          <w:szCs w:val="28"/>
          <w:lang w:val="en-US" w:eastAsia="zh-CN"/>
        </w:rPr>
      </w:pPr>
      <w:r>
        <w:rPr>
          <w:rFonts w:hint="default" w:ascii="Times New Roman" w:hAnsi="Times New Roman" w:eastAsia="仿宋" w:cs="Times New Roman"/>
          <w:b/>
          <w:bCs/>
          <w:spacing w:val="0"/>
          <w:sz w:val="28"/>
          <w:szCs w:val="28"/>
          <w:lang w:val="en-US" w:eastAsia="zh-CN"/>
        </w:rPr>
        <w:t>五、供应商资格要求</w:t>
      </w:r>
    </w:p>
    <w:p>
      <w:pPr>
        <w:pStyle w:val="5"/>
        <w:keepNext w:val="0"/>
        <w:keepLines w:val="0"/>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default" w:ascii="Times New Roman" w:hAnsi="Times New Roman" w:eastAsia="仿宋" w:cs="Times New Roman"/>
          <w:bCs/>
          <w:spacing w:val="0"/>
          <w:kern w:val="2"/>
          <w:sz w:val="28"/>
          <w:szCs w:val="28"/>
          <w:lang w:val="en-US" w:eastAsia="zh-CN" w:bidi="ar-SA"/>
        </w:rPr>
      </w:pPr>
      <w:r>
        <w:rPr>
          <w:rFonts w:hint="eastAsia" w:ascii="Times New Roman" w:hAnsi="Times New Roman" w:cs="Times New Roman"/>
          <w:bCs/>
          <w:spacing w:val="0"/>
          <w:kern w:val="2"/>
          <w:sz w:val="28"/>
          <w:szCs w:val="28"/>
          <w:lang w:val="en-US" w:eastAsia="zh-CN" w:bidi="ar-SA"/>
        </w:rPr>
        <w:t>1、</w:t>
      </w:r>
      <w:r>
        <w:rPr>
          <w:rFonts w:hint="default" w:ascii="Times New Roman" w:hAnsi="Times New Roman" w:eastAsia="仿宋" w:cs="Times New Roman"/>
          <w:bCs/>
          <w:spacing w:val="0"/>
          <w:kern w:val="2"/>
          <w:sz w:val="28"/>
          <w:szCs w:val="28"/>
          <w:lang w:val="en-US" w:eastAsia="zh-CN" w:bidi="ar-SA"/>
        </w:rPr>
        <w:t>满足《中华人民共和国政府采购法》第二十二条规定：</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bCs/>
          <w:spacing w:val="0"/>
          <w:kern w:val="2"/>
          <w:sz w:val="28"/>
          <w:szCs w:val="28"/>
          <w:lang w:val="en-US" w:eastAsia="zh-CN" w:bidi="ar-SA"/>
        </w:rPr>
      </w:pPr>
      <w:r>
        <w:rPr>
          <w:rFonts w:hint="default" w:ascii="Times New Roman" w:hAnsi="Times New Roman" w:eastAsia="仿宋" w:cs="Times New Roman"/>
          <w:bCs/>
          <w:spacing w:val="0"/>
          <w:kern w:val="2"/>
          <w:sz w:val="28"/>
          <w:szCs w:val="28"/>
          <w:lang w:val="en-US" w:eastAsia="zh-CN" w:bidi="ar-SA"/>
        </w:rPr>
        <w:t>（1）具有独立承担民事责任的能力；   </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bCs/>
          <w:spacing w:val="0"/>
          <w:kern w:val="2"/>
          <w:sz w:val="28"/>
          <w:szCs w:val="28"/>
          <w:lang w:val="en-US" w:eastAsia="zh-CN" w:bidi="ar-SA"/>
        </w:rPr>
      </w:pPr>
      <w:r>
        <w:rPr>
          <w:rFonts w:hint="default" w:ascii="Times New Roman" w:hAnsi="Times New Roman" w:eastAsia="仿宋" w:cs="Times New Roman"/>
          <w:bCs/>
          <w:spacing w:val="0"/>
          <w:kern w:val="2"/>
          <w:sz w:val="28"/>
          <w:szCs w:val="28"/>
          <w:lang w:val="en-US" w:eastAsia="zh-CN" w:bidi="ar-SA"/>
        </w:rPr>
        <w:t>（2）具有良好的商业信誉和健全的财务会计制度；   </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bCs/>
          <w:spacing w:val="0"/>
          <w:kern w:val="2"/>
          <w:sz w:val="28"/>
          <w:szCs w:val="28"/>
          <w:lang w:val="en-US" w:eastAsia="zh-CN" w:bidi="ar-SA"/>
        </w:rPr>
      </w:pPr>
      <w:r>
        <w:rPr>
          <w:rFonts w:hint="default" w:ascii="Times New Roman" w:hAnsi="Times New Roman" w:eastAsia="仿宋" w:cs="Times New Roman"/>
          <w:bCs/>
          <w:spacing w:val="0"/>
          <w:kern w:val="2"/>
          <w:sz w:val="28"/>
          <w:szCs w:val="28"/>
          <w:lang w:val="en-US" w:eastAsia="zh-CN" w:bidi="ar-SA"/>
        </w:rPr>
        <w:t>（3）具有履行合同所必需的设备和专业技术能力；   </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bCs/>
          <w:spacing w:val="0"/>
          <w:kern w:val="2"/>
          <w:sz w:val="28"/>
          <w:szCs w:val="28"/>
          <w:lang w:val="en-US" w:eastAsia="zh-CN" w:bidi="ar-SA"/>
        </w:rPr>
      </w:pPr>
      <w:r>
        <w:rPr>
          <w:rFonts w:hint="default" w:ascii="Times New Roman" w:hAnsi="Times New Roman" w:eastAsia="仿宋" w:cs="Times New Roman"/>
          <w:bCs/>
          <w:spacing w:val="0"/>
          <w:kern w:val="2"/>
          <w:sz w:val="28"/>
          <w:szCs w:val="28"/>
          <w:lang w:val="en-US" w:eastAsia="zh-CN" w:bidi="ar-SA"/>
        </w:rPr>
        <w:t>（4）有依法缴纳税收和社会保障资金的良好记录；   </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bCs/>
          <w:spacing w:val="0"/>
          <w:kern w:val="2"/>
          <w:sz w:val="28"/>
          <w:szCs w:val="28"/>
          <w:lang w:val="en-US" w:eastAsia="zh-CN" w:bidi="ar-SA"/>
        </w:rPr>
      </w:pPr>
      <w:r>
        <w:rPr>
          <w:rFonts w:hint="default" w:ascii="Times New Roman" w:hAnsi="Times New Roman" w:eastAsia="仿宋" w:cs="Times New Roman"/>
          <w:bCs/>
          <w:spacing w:val="0"/>
          <w:kern w:val="2"/>
          <w:sz w:val="28"/>
          <w:szCs w:val="28"/>
          <w:lang w:val="en-US" w:eastAsia="zh-CN" w:bidi="ar-SA"/>
        </w:rPr>
        <w:t>（5）参加政府采购活动前三年内，在经营活动中没有重大违法记录；   </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bCs/>
          <w:spacing w:val="0"/>
          <w:kern w:val="2"/>
          <w:sz w:val="28"/>
          <w:szCs w:val="28"/>
          <w:lang w:val="en-US" w:eastAsia="zh-CN" w:bidi="ar-SA"/>
        </w:rPr>
      </w:pPr>
      <w:r>
        <w:rPr>
          <w:rFonts w:hint="default" w:ascii="Times New Roman" w:hAnsi="Times New Roman" w:eastAsia="仿宋" w:cs="Times New Roman"/>
          <w:bCs/>
          <w:spacing w:val="0"/>
          <w:kern w:val="2"/>
          <w:sz w:val="28"/>
          <w:szCs w:val="28"/>
          <w:lang w:val="en-US" w:eastAsia="zh-CN" w:bidi="ar-SA"/>
        </w:rPr>
        <w:t>（6）法律、行政法规规定的其他条件。</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Cs/>
          <w:spacing w:val="0"/>
          <w:kern w:val="2"/>
          <w:sz w:val="28"/>
          <w:szCs w:val="28"/>
          <w:lang w:val="en-US" w:eastAsia="zh-CN" w:bidi="ar-SA"/>
        </w:rPr>
        <w:t>2、</w:t>
      </w:r>
      <w:r>
        <w:rPr>
          <w:rFonts w:hint="eastAsia" w:cs="仿宋"/>
          <w:b w:val="0"/>
          <w:bCs w:val="0"/>
          <w:sz w:val="28"/>
          <w:szCs w:val="28"/>
          <w:lang w:val="en-US" w:eastAsia="zh-CN"/>
        </w:rPr>
        <w:t>本项目专门面向中小企业采购。</w:t>
      </w:r>
    </w:p>
    <w:sectPr>
      <w:pgSz w:w="11906" w:h="16838"/>
      <w:pgMar w:top="1361" w:right="1800" w:bottom="136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F3BD86"/>
    <w:multiLevelType w:val="singleLevel"/>
    <w:tmpl w:val="7BF3BD8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YmY1YzJiYTBjMGRhNzIwOGMxMGU3MTkyNjc2MTgifQ=="/>
  </w:docVars>
  <w:rsids>
    <w:rsidRoot w:val="0D4B3E1C"/>
    <w:rsid w:val="02314D57"/>
    <w:rsid w:val="039D441F"/>
    <w:rsid w:val="07180572"/>
    <w:rsid w:val="07535A2C"/>
    <w:rsid w:val="075D35CF"/>
    <w:rsid w:val="077B465F"/>
    <w:rsid w:val="086441A6"/>
    <w:rsid w:val="0AC9186D"/>
    <w:rsid w:val="0B9542E4"/>
    <w:rsid w:val="0D4B3E1C"/>
    <w:rsid w:val="0D963954"/>
    <w:rsid w:val="110875DB"/>
    <w:rsid w:val="11DA6A7E"/>
    <w:rsid w:val="13C8073D"/>
    <w:rsid w:val="158B4914"/>
    <w:rsid w:val="18375D2F"/>
    <w:rsid w:val="18BD68FE"/>
    <w:rsid w:val="1A1B4E10"/>
    <w:rsid w:val="1A1D2A1F"/>
    <w:rsid w:val="1C533032"/>
    <w:rsid w:val="20E44537"/>
    <w:rsid w:val="2626019F"/>
    <w:rsid w:val="2E345A1F"/>
    <w:rsid w:val="2E8F663E"/>
    <w:rsid w:val="30445D22"/>
    <w:rsid w:val="307E7684"/>
    <w:rsid w:val="32120736"/>
    <w:rsid w:val="32D6077B"/>
    <w:rsid w:val="332A4717"/>
    <w:rsid w:val="39276BF1"/>
    <w:rsid w:val="3B7E0F07"/>
    <w:rsid w:val="3C4E701B"/>
    <w:rsid w:val="3EEB7B3A"/>
    <w:rsid w:val="3F0F36C7"/>
    <w:rsid w:val="415230CC"/>
    <w:rsid w:val="41B13989"/>
    <w:rsid w:val="43CE16EA"/>
    <w:rsid w:val="44DF5D96"/>
    <w:rsid w:val="47904EA5"/>
    <w:rsid w:val="4853060B"/>
    <w:rsid w:val="49CF3A0B"/>
    <w:rsid w:val="4C6E3A8B"/>
    <w:rsid w:val="4D44414D"/>
    <w:rsid w:val="4DC51D38"/>
    <w:rsid w:val="4E244137"/>
    <w:rsid w:val="4EE20595"/>
    <w:rsid w:val="50576762"/>
    <w:rsid w:val="51A41FBC"/>
    <w:rsid w:val="522879EF"/>
    <w:rsid w:val="52950FA7"/>
    <w:rsid w:val="570D4D04"/>
    <w:rsid w:val="57404704"/>
    <w:rsid w:val="5C115B42"/>
    <w:rsid w:val="5D2A5A3C"/>
    <w:rsid w:val="5E7474F9"/>
    <w:rsid w:val="5F636811"/>
    <w:rsid w:val="617E093A"/>
    <w:rsid w:val="64A426DD"/>
    <w:rsid w:val="65C66CD8"/>
    <w:rsid w:val="66A14872"/>
    <w:rsid w:val="67D77C40"/>
    <w:rsid w:val="6D8223FC"/>
    <w:rsid w:val="70BD374B"/>
    <w:rsid w:val="74A06F37"/>
    <w:rsid w:val="74A62B15"/>
    <w:rsid w:val="767F18B3"/>
    <w:rsid w:val="77D01BB6"/>
    <w:rsid w:val="7BA32ABD"/>
    <w:rsid w:val="7BAA15EC"/>
    <w:rsid w:val="7C15355D"/>
    <w:rsid w:val="7D204CF5"/>
    <w:rsid w:val="7DDC0D57"/>
    <w:rsid w:val="7FF4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rPr>
  </w:style>
  <w:style w:type="paragraph" w:styleId="3">
    <w:name w:val="Body Text"/>
    <w:basedOn w:val="1"/>
    <w:qFormat/>
    <w:uiPriority w:val="1"/>
    <w:rPr>
      <w:rFonts w:ascii="仿宋" w:hAnsi="仿宋" w:eastAsia="仿宋" w:cs="仿宋"/>
      <w:sz w:val="28"/>
      <w:szCs w:val="28"/>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semiHidden/>
    <w:unhideWhenUsed/>
    <w:qFormat/>
    <w:uiPriority w:val="99"/>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qFormat/>
    <w:uiPriority w:val="0"/>
    <w:rPr>
      <w:color w:val="771CAA"/>
      <w:u w:val="none"/>
    </w:rPr>
  </w:style>
  <w:style w:type="character" w:styleId="10">
    <w:name w:val="Emphasis"/>
    <w:basedOn w:val="8"/>
    <w:qFormat/>
    <w:uiPriority w:val="0"/>
    <w:rPr>
      <w:color w:val="F73131"/>
    </w:rPr>
  </w:style>
  <w:style w:type="character" w:styleId="11">
    <w:name w:val="Hyperlink"/>
    <w:basedOn w:val="8"/>
    <w:autoRedefine/>
    <w:qFormat/>
    <w:uiPriority w:val="0"/>
    <w:rPr>
      <w:color w:val="2440B3"/>
      <w:u w:val="none"/>
    </w:rPr>
  </w:style>
  <w:style w:type="character" w:styleId="12">
    <w:name w:val="HTML Cite"/>
    <w:basedOn w:val="8"/>
    <w:autoRedefine/>
    <w:qFormat/>
    <w:uiPriority w:val="0"/>
    <w:rPr>
      <w:color w:val="008000"/>
    </w:rPr>
  </w:style>
  <w:style w:type="paragraph" w:customStyle="1" w:styleId="13">
    <w:name w:val="正文缩进1"/>
    <w:basedOn w:val="1"/>
    <w:qFormat/>
    <w:uiPriority w:val="0"/>
    <w:pPr>
      <w:ind w:firstLine="420" w:firstLineChars="200"/>
    </w:pPr>
  </w:style>
  <w:style w:type="paragraph" w:customStyle="1" w:styleId="14">
    <w:name w:val="列表段落1"/>
    <w:basedOn w:val="1"/>
    <w:autoRedefine/>
    <w:unhideWhenUsed/>
    <w:qFormat/>
    <w:uiPriority w:val="99"/>
    <w:pPr>
      <w:autoSpaceDE/>
      <w:autoSpaceDN/>
      <w:adjustRightInd/>
      <w:ind w:firstLine="420" w:firstLineChars="200"/>
      <w:jc w:val="both"/>
    </w:pPr>
    <w:rPr>
      <w:rFonts w:asciiTheme="minorHAnsi" w:hAnsiTheme="minorHAnsi" w:eastAsiaTheme="minorEastAsia" w:cstheme="minorBidi"/>
      <w:kern w:val="2"/>
      <w:sz w:val="21"/>
      <w:szCs w:val="22"/>
    </w:rPr>
  </w:style>
  <w:style w:type="character" w:customStyle="1" w:styleId="15">
    <w:name w:val="hover27"/>
    <w:basedOn w:val="8"/>
    <w:qFormat/>
    <w:uiPriority w:val="0"/>
  </w:style>
  <w:style w:type="character" w:customStyle="1" w:styleId="16">
    <w:name w:val="hover28"/>
    <w:basedOn w:val="8"/>
    <w:autoRedefine/>
    <w:qFormat/>
    <w:uiPriority w:val="0"/>
    <w:rPr>
      <w:color w:val="315EFB"/>
    </w:rPr>
  </w:style>
  <w:style w:type="character" w:customStyle="1" w:styleId="17">
    <w:name w:val="c-icon30"/>
    <w:basedOn w:val="8"/>
    <w:autoRedefine/>
    <w:qFormat/>
    <w:uiPriority w:val="0"/>
  </w:style>
  <w:style w:type="character" w:customStyle="1" w:styleId="18">
    <w:name w:val="ec_d20_recomm_link3"/>
    <w:basedOn w:val="8"/>
    <w:qFormat/>
    <w:uiPriority w:val="0"/>
  </w:style>
  <w:style w:type="character" w:customStyle="1" w:styleId="19">
    <w:name w:val="c-icon28"/>
    <w:basedOn w:val="8"/>
    <w:autoRedefine/>
    <w:qFormat/>
    <w:uiPriority w:val="0"/>
  </w:style>
  <w:style w:type="paragraph" w:customStyle="1" w:styleId="20">
    <w:name w:val="※正文"/>
    <w:basedOn w:val="1"/>
    <w:next w:val="1"/>
    <w:autoRedefine/>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3820</Words>
  <Characters>4083</Characters>
  <Lines>0</Lines>
  <Paragraphs>0</Paragraphs>
  <TotalTime>5</TotalTime>
  <ScaleCrop>false</ScaleCrop>
  <LinksUpToDate>false</LinksUpToDate>
  <CharactersWithSpaces>4123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2021-04-13T01:46:00Z</dcterms:created>
  <dc:creator>简凡零微</dc:creator>
  <cp:lastModifiedBy>孙笑梅</cp:lastModifiedBy>
  <cp:lastPrinted>2022-06-01T08:14:00Z</cp:lastPrinted>
  <dcterms:modified xsi:type="dcterms:W3CDTF">2024-06-04T03:10:00Z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310D376B72FA4A488F8CD3F1BCC04441</vt:lpwstr>
  </property>
</Properties>
</file>