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廉洁文化进校园</w:t>
      </w:r>
    </w:p>
    <w:p>
      <w:pPr>
        <w:pStyle w:val="null3"/>
        <w:jc w:val="center"/>
        <w:outlineLvl w:val="2"/>
      </w:pPr>
      <w:r>
        <w:rPr>
          <w:sz w:val="28"/>
          <w:b/>
        </w:rPr>
        <w:t>采购项目编号：</w:t>
      </w:r>
      <w:r>
        <w:rPr>
          <w:sz w:val="28"/>
          <w:b/>
        </w:rPr>
        <w:t>0617-2421FZ0636</w:t>
      </w:r>
      <w:r>
        <w:br/>
      </w:r>
      <w:r>
        <w:br/>
      </w:r>
      <w:r>
        <w:br/>
      </w:r>
    </w:p>
    <w:p>
      <w:pPr>
        <w:pStyle w:val="null3"/>
        <w:jc w:val="center"/>
        <w:outlineLvl w:val="2"/>
      </w:pPr>
      <w:r>
        <w:rPr>
          <w:sz w:val="28"/>
          <w:b/>
        </w:rPr>
        <w:t>西安职业技术学院</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2024年06月07日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西安职业技术学院</w:t>
      </w:r>
      <w:r>
        <w:rPr/>
        <w:t>委托，拟对</w:t>
      </w:r>
      <w:r>
        <w:rPr/>
        <w:t>廉洁文化进校园</w:t>
      </w:r>
      <w:r>
        <w:rPr/>
        <w:t>采用竞争性磋商采购方式进行采购，兹邀请供应商参加本项目的竞争性磋商。</w:t>
      </w:r>
    </w:p>
    <w:p>
      <w:pPr>
        <w:pStyle w:val="null3"/>
        <w:outlineLvl w:val="2"/>
      </w:pPr>
      <w:r>
        <w:rPr>
          <w:sz w:val="28"/>
          <w:b/>
        </w:rPr>
        <w:t>一、项目编号：</w:t>
      </w:r>
      <w:r>
        <w:rPr>
          <w:sz w:val="28"/>
          <w:b/>
        </w:rPr>
        <w:t>0617-2421FZ0636</w:t>
      </w:r>
    </w:p>
    <w:p>
      <w:pPr>
        <w:pStyle w:val="null3"/>
        <w:outlineLvl w:val="2"/>
      </w:pPr>
      <w:r>
        <w:rPr>
          <w:sz w:val="28"/>
          <w:b/>
        </w:rPr>
        <w:t>二、项目名称：</w:t>
      </w:r>
      <w:r>
        <w:rPr>
          <w:sz w:val="28"/>
          <w:b/>
        </w:rPr>
        <w:t>廉洁文化进校园</w:t>
      </w:r>
    </w:p>
    <w:p>
      <w:pPr>
        <w:pStyle w:val="null3"/>
        <w:outlineLvl w:val="2"/>
      </w:pPr>
      <w:r>
        <w:rPr>
          <w:sz w:val="28"/>
          <w:b/>
        </w:rPr>
        <w:t>三、磋商项目简介</w:t>
      </w:r>
    </w:p>
    <w:p>
      <w:pPr>
        <w:pStyle w:val="null3"/>
        <w:ind w:firstLine="480"/>
      </w:pPr>
      <w:r>
        <w:rPr/>
        <w:t>该项目以“党风、校风、学风”为抓手，以“学廉、行廉、誓廉”为路径，围绕立德树人之根本，以扬“清廉之风” 创“廉·匠”校园为目标，以“崇廉敬俭、自律自强”为主题，强化素质教育，培养人文精神，树立师生正确的价值观、人生观，营造以清为美、以廉为荣的崇廉尚洁氛围，持续深入推进学院廉政文化建设。</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采购包1（廉洁文化进校园项目）：属于专门面向小微企业采购。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西安职业技术学院</w:t>
      </w:r>
    </w:p>
    <w:p>
      <w:pPr>
        <w:pStyle w:val="null3"/>
      </w:pPr>
      <w:r>
        <w:rPr/>
        <w:t xml:space="preserve"> 地址： </w:t>
      </w:r>
      <w:r>
        <w:rPr/>
        <w:t>雁塔区鱼斗路251号</w:t>
      </w:r>
    </w:p>
    <w:p>
      <w:pPr>
        <w:pStyle w:val="null3"/>
      </w:pPr>
      <w:r>
        <w:rPr/>
        <w:t xml:space="preserve"> 邮编： </w:t>
      </w:r>
      <w:r>
        <w:rPr/>
        <w:t>710077</w:t>
      </w:r>
    </w:p>
    <w:p>
      <w:pPr>
        <w:pStyle w:val="null3"/>
      </w:pPr>
      <w:r>
        <w:rPr/>
        <w:t xml:space="preserve"> 联系人： </w:t>
      </w:r>
      <w:r>
        <w:rPr/>
        <w:t>西安职业技术学院经办</w:t>
      </w:r>
    </w:p>
    <w:p>
      <w:pPr>
        <w:pStyle w:val="null3"/>
      </w:pPr>
      <w:r>
        <w:rPr/>
        <w:t xml:space="preserve"> 联系电话： </w:t>
      </w:r>
      <w:r>
        <w:rPr/>
        <w:t>029-88511408</w:t>
      </w:r>
    </w:p>
    <w:p>
      <w:pPr>
        <w:pStyle w:val="null3"/>
        <w:outlineLvl w:val="3"/>
      </w:pPr>
      <w:r>
        <w:rPr>
          <w:sz w:val="24"/>
          <w:b/>
        </w:rPr>
        <w:t>代理机构：</w:t>
      </w:r>
      <w:r>
        <w:rPr>
          <w:sz w:val="24"/>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710065</w:t>
      </w:r>
    </w:p>
    <w:p>
      <w:pPr>
        <w:pStyle w:val="null3"/>
      </w:pPr>
      <w:r>
        <w:rPr/>
        <w:t xml:space="preserve"> 联系人： </w:t>
      </w:r>
      <w:r>
        <w:rPr/>
        <w:t>刘洁茜、宋鹏飞、张喆</w:t>
      </w:r>
    </w:p>
    <w:p>
      <w:pPr>
        <w:pStyle w:val="null3"/>
      </w:pPr>
      <w:r>
        <w:rPr/>
        <w:t xml:space="preserve"> 联系电话： </w:t>
      </w:r>
      <w:r>
        <w:rPr/>
        <w:t>029-89651851</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 开户名称：西北（陕西）国际招标有限公司 开户银行： 交通银行西安长安大学支行 账 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西安职业技术学院</w:t>
      </w:r>
      <w:r>
        <w:rPr/>
        <w:t>和</w:t>
      </w:r>
      <w:r>
        <w:rPr/>
        <w:t>西北(陕西)国际招标有限公司</w:t>
      </w:r>
      <w:r>
        <w:rPr/>
        <w:t>享有。对磋商文件中供应商参加本次政府采购活动应当具备的条件，磋商项目技术、服务、商务及其他要求，评审细则及标准由</w:t>
      </w:r>
      <w:r>
        <w:rPr/>
        <w:t>西安职业技术学院</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按采购文件、响应文件及合同要求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该项目以“党风、校风、学风”为抓手，以“学廉、行廉、誓廉”为路径，围绕立德树人之根本，以扬“清廉之风” 创“廉·匠”校园为目标，以“崇廉敬俭、自律自强”为主题，强化素质教育，培养人文精神，树立师生正确的价值观、人生观，营造以清为美、以廉为荣的崇廉尚洁氛围，持续深入推进学院廉政文化建设。</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廉洁文化宣传</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pPr>
            <w:r>
              <w:rPr/>
              <w:t>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标的名称：廉洁文化宣传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仿宋_gb2312" w:hAnsi="仿宋_gb2312" w:cs="仿宋_gb2312" w:eastAsia="仿宋_gb2312"/>
                <w:sz w:val="24"/>
                <w:b/>
              </w:rPr>
              <w:t>一、项目内容及要求</w:t>
            </w:r>
          </w:p>
          <w:tbl>
            <w:tblPr>
              <w:tblInd w:type="dxa" w:w="135"/>
              <w:tblBorders>
                <w:top w:val="none" w:color="000000" w:sz="4"/>
                <w:left w:val="none" w:color="000000" w:sz="4"/>
                <w:bottom w:val="none" w:color="000000" w:sz="4"/>
                <w:right w:val="none" w:color="000000" w:sz="4"/>
                <w:insideH w:val="none"/>
                <w:insideV w:val="none"/>
              </w:tblBorders>
            </w:tblPr>
            <w:tblGrid>
              <w:gridCol w:w="445"/>
              <w:gridCol w:w="1643"/>
              <w:gridCol w:w="232"/>
              <w:gridCol w:w="222"/>
            </w:tblGrid>
            <w:tr>
              <w:tc>
                <w:tcPr>
                  <w:tcW w:type="dxa" w:w="44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楷体" w:hAnsi="楷体" w:cs="楷体" w:eastAsia="楷体"/>
                      <w:sz w:val="24"/>
                      <w:b/>
                    </w:rPr>
                    <w:t>服务项目名称</w:t>
                  </w:r>
                </w:p>
              </w:tc>
              <w:tc>
                <w:tcPr>
                  <w:tcW w:type="dxa" w:w="164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楷体" w:hAnsi="楷体" w:cs="楷体" w:eastAsia="楷体"/>
                      <w:sz w:val="24"/>
                      <w:b/>
                    </w:rPr>
                    <w:t>服务内容</w:t>
                  </w:r>
                </w:p>
              </w:tc>
              <w:tc>
                <w:tcPr>
                  <w:tcW w:type="dxa" w:w="23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楷体" w:hAnsi="楷体" w:cs="楷体" w:eastAsia="楷体"/>
                      <w:sz w:val="24"/>
                      <w:b/>
                    </w:rPr>
                    <w:t>采购数量</w:t>
                  </w:r>
                </w:p>
              </w:tc>
              <w:tc>
                <w:tcPr>
                  <w:tcW w:type="dxa" w:w="22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楷体" w:hAnsi="楷体" w:cs="楷体" w:eastAsia="楷体"/>
                      <w:sz w:val="24"/>
                      <w:b/>
                    </w:rPr>
                    <w:t>计量单位</w:t>
                  </w:r>
                </w:p>
              </w:tc>
            </w:tr>
            <w:tr>
              <w:tc>
                <w:tcPr>
                  <w:tcW w:type="dxa" w:w="44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b/>
                    </w:rPr>
                    <w:t>“廉·匠”主题漫话清廉系列视频制作</w:t>
                  </w:r>
                </w:p>
              </w:tc>
              <w:tc>
                <w:tcPr>
                  <w:tcW w:type="dxa" w:w="164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20"/>
                    <w:jc w:val="both"/>
                  </w:pPr>
                  <w:r>
                    <w:rPr>
                      <w:rFonts w:ascii="仿宋" w:hAnsi="仿宋" w:cs="仿宋" w:eastAsia="仿宋"/>
                      <w:sz w:val="21"/>
                    </w:rPr>
                    <w:t>将清廉文化与革命事迹、廉洁故事、工匠精神、</w:t>
                  </w:r>
                  <w:r>
                    <w:rPr>
                      <w:rFonts w:ascii="仿宋" w:hAnsi="仿宋" w:cs="仿宋" w:eastAsia="仿宋"/>
                      <w:sz w:val="21"/>
                    </w:rPr>
                    <w:t>道德模范</w:t>
                  </w:r>
                  <w:r>
                    <w:rPr>
                      <w:rFonts w:ascii="仿宋" w:hAnsi="仿宋" w:cs="仿宋" w:eastAsia="仿宋"/>
                      <w:sz w:val="21"/>
                    </w:rPr>
                    <w:t>以及学院的专业特色相结合，采用清新、明快的动漫风格，以短、新、巧的形式制作故事情节紧凑，逻辑清晰，易于理解的系列视频。</w:t>
                  </w:r>
                  <w:r>
                    <w:rPr>
                      <w:rFonts w:ascii="仿宋" w:hAnsi="仿宋" w:cs="仿宋" w:eastAsia="仿宋"/>
                      <w:sz w:val="21"/>
                    </w:rPr>
                    <w:t>9条短视频和1条宣传片，</w:t>
                  </w:r>
                  <w:r>
                    <w:rPr>
                      <w:rFonts w:ascii="仿宋" w:hAnsi="仿宋" w:cs="仿宋" w:eastAsia="仿宋"/>
                      <w:sz w:val="21"/>
                    </w:rPr>
                    <w:t>含视频脚本策划、包装制作、通稿撰写等。</w:t>
                  </w:r>
                  <w:r>
                    <w:rPr>
                      <w:rFonts w:ascii="仿宋" w:hAnsi="仿宋" w:cs="仿宋" w:eastAsia="仿宋"/>
                      <w:sz w:val="21"/>
                    </w:rPr>
                    <w:t>短视频画质清晰，每条时长</w:t>
                  </w:r>
                  <w:r>
                    <w:rPr>
                      <w:rFonts w:ascii="仿宋" w:hAnsi="仿宋" w:cs="仿宋" w:eastAsia="仿宋"/>
                      <w:sz w:val="21"/>
                    </w:rPr>
                    <w:t>120秒，宣传片时长240秒。</w:t>
                  </w:r>
                  <w:r>
                    <w:rPr>
                      <w:rFonts w:ascii="仿宋" w:hAnsi="仿宋" w:cs="仿宋" w:eastAsia="仿宋"/>
                      <w:sz w:val="21"/>
                    </w:rPr>
                    <w:t>视频可推送至省市清廉平台作为廉洁文化宣传的素材，面向更广泛的社会公众。在新华网、人民网、中国日报网、中新网、陕西日报、陕西广播电视台、西安日报、西安广播电视台等中央、省市主流媒体，以及凤凰网、今日头条等部分商业平台发布图文、短视频内容，扩大社会影响力（最少</w:t>
                  </w:r>
                  <w:r>
                    <w:rPr>
                      <w:rFonts w:ascii="仿宋" w:hAnsi="仿宋" w:cs="仿宋" w:eastAsia="仿宋"/>
                      <w:sz w:val="21"/>
                    </w:rPr>
                    <w:t>5家主流媒体）。</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10</w:t>
                  </w:r>
                </w:p>
              </w:tc>
              <w:tc>
                <w:tcPr>
                  <w:tcW w:type="dxa" w:w="22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个</w:t>
                  </w:r>
                </w:p>
              </w:tc>
            </w:tr>
            <w:tr>
              <w:tc>
                <w:tcPr>
                  <w:tcW w:type="dxa" w:w="44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b/>
                    </w:rPr>
                    <w:t>“清风廉韵”清廉西职文化作品展</w:t>
                  </w:r>
                </w:p>
              </w:tc>
              <w:tc>
                <w:tcPr>
                  <w:tcW w:type="dxa" w:w="164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20"/>
                    <w:jc w:val="both"/>
                  </w:pPr>
                  <w:r>
                    <w:rPr>
                      <w:rFonts w:ascii="仿宋" w:hAnsi="仿宋" w:cs="仿宋" w:eastAsia="仿宋"/>
                      <w:sz w:val="21"/>
                    </w:rPr>
                    <w:t>举办以</w:t>
                  </w:r>
                  <w:r>
                    <w:rPr>
                      <w:rFonts w:ascii="仿宋" w:hAnsi="仿宋" w:cs="仿宋" w:eastAsia="仿宋"/>
                      <w:sz w:val="21"/>
                    </w:rPr>
                    <w:t>“清风扬正气，廉韵润人心”为主题的清廉西职文化作品展（市纪委部分作品参展但不参评）。面向本校师生及校友等征集紧扣“清风廉韵”主题，体现“守初心、筑廉心、怀匠心”三个方面的摄影、书画、动漫、海报设计等清廉文化的原创作品；邀请书画名家，活动现场为学校题写廉洁文化书法作品；邀请3名专家对参展作品进行评选；</w:t>
                  </w:r>
                  <w:r>
                    <w:rPr>
                      <w:rFonts w:ascii="仿宋" w:hAnsi="仿宋" w:cs="仿宋" w:eastAsia="仿宋"/>
                      <w:sz w:val="21"/>
                    </w:rPr>
                    <w:t>邀请新闻网、西部网、华商网、陕西网等省市媒体进行报道；</w:t>
                  </w:r>
                  <w:r>
                    <w:rPr>
                      <w:rFonts w:ascii="仿宋" w:hAnsi="仿宋" w:cs="仿宋" w:eastAsia="仿宋"/>
                      <w:sz w:val="21"/>
                    </w:rPr>
                    <w:t>活动整体策划（制定征集及作品评选方案）、场景布置（含展架租赁）、氛围营造、书画装裱、奖品证书以及</w:t>
                  </w:r>
                  <w:r>
                    <w:rPr>
                      <w:rFonts w:ascii="仿宋" w:hAnsi="仿宋" w:cs="仿宋" w:eastAsia="仿宋"/>
                      <w:sz w:val="21"/>
                    </w:rPr>
                    <w:t>制作宣传海报</w:t>
                  </w:r>
                  <w:r>
                    <w:rPr>
                      <w:rFonts w:ascii="仿宋" w:hAnsi="仿宋" w:cs="仿宋" w:eastAsia="仿宋"/>
                      <w:sz w:val="21"/>
                    </w:rPr>
                    <w:t>。</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1</w:t>
                  </w:r>
                </w:p>
              </w:tc>
              <w:tc>
                <w:tcPr>
                  <w:tcW w:type="dxa" w:w="22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项</w:t>
                  </w:r>
                </w:p>
              </w:tc>
            </w:tr>
            <w:tr>
              <w:tc>
                <w:tcPr>
                  <w:tcW w:type="dxa" w:w="44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b/>
                    </w:rPr>
                    <w:t>“清廉西职”系列文创作品</w:t>
                  </w:r>
                </w:p>
              </w:tc>
              <w:tc>
                <w:tcPr>
                  <w:tcW w:type="dxa" w:w="164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以学院</w:t>
                  </w:r>
                  <w:r>
                    <w:rPr>
                      <w:rFonts w:ascii="仿宋" w:hAnsi="仿宋" w:cs="仿宋" w:eastAsia="仿宋"/>
                      <w:sz w:val="21"/>
                    </w:rPr>
                    <w:t>10个“西职小匠”为原型，设计一套冰箱贴。材质锌合金，每个形象5</w:t>
                  </w:r>
                  <w:r>
                    <w:rPr>
                      <w:rFonts w:ascii="仿宋" w:hAnsi="仿宋" w:cs="仿宋" w:eastAsia="仿宋"/>
                      <w:sz w:val="21"/>
                    </w:rPr>
                    <w:t>00</w:t>
                  </w:r>
                  <w:r>
                    <w:rPr>
                      <w:rFonts w:ascii="仿宋" w:hAnsi="仿宋" w:cs="仿宋" w:eastAsia="仿宋"/>
                      <w:sz w:val="21"/>
                    </w:rPr>
                    <w:t>个，共计</w:t>
                  </w:r>
                  <w:r>
                    <w:rPr>
                      <w:rFonts w:ascii="仿宋" w:hAnsi="仿宋" w:cs="仿宋" w:eastAsia="仿宋"/>
                      <w:sz w:val="21"/>
                    </w:rPr>
                    <w:t>5</w:t>
                  </w:r>
                  <w:r>
                    <w:rPr>
                      <w:rFonts w:ascii="仿宋" w:hAnsi="仿宋" w:cs="仿宋" w:eastAsia="仿宋"/>
                      <w:sz w:val="21"/>
                    </w:rPr>
                    <w:t>000</w:t>
                  </w:r>
                  <w:r>
                    <w:rPr>
                      <w:rFonts w:ascii="仿宋" w:hAnsi="仿宋" w:cs="仿宋" w:eastAsia="仿宋"/>
                      <w:sz w:val="21"/>
                    </w:rPr>
                    <w:t>个。配印学院</w:t>
                  </w:r>
                  <w:r>
                    <w:rPr>
                      <w:rFonts w:ascii="仿宋" w:hAnsi="仿宋" w:cs="仿宋" w:eastAsia="仿宋"/>
                      <w:sz w:val="21"/>
                    </w:rPr>
                    <w:t>L</w:t>
                  </w:r>
                  <w:r>
                    <w:rPr>
                      <w:rFonts w:ascii="仿宋" w:hAnsi="仿宋" w:cs="仿宋" w:eastAsia="仿宋"/>
                      <w:sz w:val="21"/>
                    </w:rPr>
                    <w:t>OGO</w:t>
                  </w:r>
                  <w:r>
                    <w:rPr>
                      <w:rFonts w:ascii="仿宋" w:hAnsi="仿宋" w:cs="仿宋" w:eastAsia="仿宋"/>
                      <w:sz w:val="21"/>
                    </w:rPr>
                    <w:t>的礼品盒，纪念套装大礼品盒</w:t>
                  </w:r>
                  <w:r>
                    <w:rPr>
                      <w:rFonts w:ascii="仿宋" w:hAnsi="仿宋" w:cs="仿宋" w:eastAsia="仿宋"/>
                      <w:sz w:val="21"/>
                    </w:rPr>
                    <w:t xml:space="preserve"> 200</w:t>
                  </w:r>
                  <w:r>
                    <w:rPr>
                      <w:rFonts w:ascii="仿宋" w:hAnsi="仿宋" w:cs="仿宋" w:eastAsia="仿宋"/>
                      <w:sz w:val="21"/>
                    </w:rPr>
                    <w:t>个，其余单品配小礼品盒。</w:t>
                  </w:r>
                </w:p>
                <w:p>
                  <w:pPr>
                    <w:pStyle w:val="null3"/>
                    <w:ind w:firstLine="42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以</w:t>
                  </w:r>
                  <w:r>
                    <w:rPr>
                      <w:rFonts w:ascii="仿宋" w:hAnsi="仿宋" w:cs="仿宋" w:eastAsia="仿宋"/>
                      <w:sz w:val="21"/>
                    </w:rPr>
                    <w:t>学院标志性建筑为元素</w:t>
                  </w:r>
                  <w:r>
                    <w:rPr>
                      <w:rFonts w:ascii="仿宋" w:hAnsi="仿宋" w:cs="仿宋" w:eastAsia="仿宋"/>
                      <w:sz w:val="21"/>
                    </w:rPr>
                    <w:t>，设计西职清廉书签尺套装。铜材质，镂空造型，烤漆</w:t>
                  </w:r>
                  <w:r>
                    <w:rPr>
                      <w:rFonts w:ascii="仿宋" w:hAnsi="仿宋" w:cs="仿宋" w:eastAsia="仿宋"/>
                      <w:sz w:val="21"/>
                    </w:rPr>
                    <w:t>。</w:t>
                  </w:r>
                  <w:r>
                    <w:rPr>
                      <w:rFonts w:ascii="仿宋" w:hAnsi="仿宋" w:cs="仿宋" w:eastAsia="仿宋"/>
                      <w:sz w:val="21"/>
                    </w:rPr>
                    <w:t>刻有</w:t>
                  </w:r>
                  <w:r>
                    <w:rPr>
                      <w:rFonts w:ascii="仿宋" w:hAnsi="仿宋" w:cs="仿宋" w:eastAsia="仿宋"/>
                      <w:sz w:val="21"/>
                    </w:rPr>
                    <w:t>“志存高远 技能报国”</w:t>
                  </w:r>
                  <w:r>
                    <w:rPr>
                      <w:rFonts w:ascii="仿宋" w:hAnsi="仿宋" w:cs="仿宋" w:eastAsia="仿宋"/>
                      <w:sz w:val="21"/>
                    </w:rPr>
                    <w:t>文字，配莲花</w:t>
                  </w:r>
                  <w:r>
                    <w:rPr>
                      <w:rFonts w:ascii="仿宋" w:hAnsi="仿宋" w:cs="仿宋" w:eastAsia="仿宋"/>
                      <w:sz w:val="21"/>
                    </w:rPr>
                    <w:t>图案</w:t>
                  </w:r>
                  <w:r>
                    <w:rPr>
                      <w:rFonts w:ascii="仿宋" w:hAnsi="仿宋" w:cs="仿宋" w:eastAsia="仿宋"/>
                      <w:sz w:val="21"/>
                    </w:rPr>
                    <w:t>、</w:t>
                  </w:r>
                  <w:r>
                    <w:rPr>
                      <w:rFonts w:ascii="仿宋" w:hAnsi="仿宋" w:cs="仿宋" w:eastAsia="仿宋"/>
                      <w:sz w:val="21"/>
                    </w:rPr>
                    <w:t>流苏。</w:t>
                  </w:r>
                  <w:r>
                    <w:rPr>
                      <w:rFonts w:ascii="仿宋" w:hAnsi="仿宋" w:cs="仿宋" w:eastAsia="仿宋"/>
                      <w:sz w:val="21"/>
                    </w:rPr>
                    <w:t>开发制作书签尺</w:t>
                  </w:r>
                  <w:r>
                    <w:rPr>
                      <w:rFonts w:ascii="仿宋" w:hAnsi="仿宋" w:cs="仿宋" w:eastAsia="仿宋"/>
                      <w:sz w:val="21"/>
                    </w:rPr>
                    <w:t>1</w:t>
                  </w:r>
                  <w:r>
                    <w:rPr>
                      <w:rFonts w:ascii="仿宋" w:hAnsi="仿宋" w:cs="仿宋" w:eastAsia="仿宋"/>
                      <w:sz w:val="21"/>
                    </w:rPr>
                    <w:t>000</w:t>
                  </w:r>
                  <w:r>
                    <w:rPr>
                      <w:rFonts w:ascii="仿宋" w:hAnsi="仿宋" w:cs="仿宋" w:eastAsia="仿宋"/>
                      <w:sz w:val="21"/>
                    </w:rPr>
                    <w:t>个，每个配印学院</w:t>
                  </w:r>
                  <w:r>
                    <w:rPr>
                      <w:rFonts w:ascii="仿宋" w:hAnsi="仿宋" w:cs="仿宋" w:eastAsia="仿宋"/>
                      <w:sz w:val="21"/>
                    </w:rPr>
                    <w:t>L</w:t>
                  </w:r>
                  <w:r>
                    <w:rPr>
                      <w:rFonts w:ascii="仿宋" w:hAnsi="仿宋" w:cs="仿宋" w:eastAsia="仿宋"/>
                      <w:sz w:val="21"/>
                    </w:rPr>
                    <w:t>OGO</w:t>
                  </w:r>
                  <w:r>
                    <w:rPr>
                      <w:rFonts w:ascii="仿宋" w:hAnsi="仿宋" w:cs="仿宋" w:eastAsia="仿宋"/>
                      <w:sz w:val="21"/>
                    </w:rPr>
                    <w:t>的礼品盒。</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1</w:t>
                  </w:r>
                </w:p>
              </w:tc>
              <w:tc>
                <w:tcPr>
                  <w:tcW w:type="dxa" w:w="22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等线" w:hAnsi="等线" w:cs="等线" w:eastAsia="等线"/>
                      <w:sz w:val="21"/>
                    </w:rPr>
                    <w:t>项</w:t>
                  </w:r>
                </w:p>
              </w:tc>
            </w:tr>
          </w:tbl>
          <w:p>
            <w:pPr>
              <w:pStyle w:val="null3"/>
              <w:ind w:firstLine="482"/>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rPr>
              <w:t>服务商有专业的策划团队、视频团队、设计团队；整体服务项目必须符合中省市有关廉洁文化的相关要求；有项目小组提供全程服务，在项目执行过程中分工明确，职责清晰，保证行之有效的工作进度。</w:t>
            </w:r>
          </w:p>
          <w:p>
            <w:pPr>
              <w:pStyle w:val="null3"/>
              <w:jc w:val="both"/>
            </w:pPr>
            <w:r>
              <w:rPr>
                <w:rFonts w:ascii="仿宋_gb2312" w:hAnsi="仿宋_gb2312" w:cs="仿宋_gb2312" w:eastAsia="仿宋_gb2312"/>
                <w:sz w:val="24"/>
                <w:b/>
              </w:rPr>
              <w:t>三、其他要求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质量验收标准或规范：按照项目内容和要求提供符合现行的国家标准或国家行政部门颁布的法律法规、规章制度以及行业标准的服务。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知识产权</w:t>
            </w:r>
            <w:r>
              <w:rPr>
                <w:rFonts w:ascii="仿宋_gb2312" w:hAnsi="仿宋_gb2312" w:cs="仿宋_gb2312" w:eastAsia="仿宋_gb2312"/>
                <w:sz w:val="24"/>
              </w:rPr>
              <w:t>: 在项目履行过程中产生的相关作品著作权归采购方所有，未经采购方许可服务商不得擅自使用。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违约责任：服务商无正当理由未能按合同约定提供服务，经采购方提出后仍无正当理由不改正的，每逾期一天，应向采购方支付合同总额</w:t>
            </w:r>
            <w:r>
              <w:rPr>
                <w:rFonts w:ascii="仿宋_gb2312" w:hAnsi="仿宋_gb2312" w:cs="仿宋_gb2312" w:eastAsia="仿宋_gb2312"/>
                <w:sz w:val="24"/>
              </w:rPr>
              <w:t>3‰的违约金；逾期累计15天的，甲方有权单方面解除本合同，给甲方造成损失的还应赔偿损失。所供产品出现质量问题或造成损失的，服务商负责全部更换并赔偿损失。严禁服务商提供假冒产品，以次充好，一经查实，采购方有权单方解除合同。</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t xml:space="preserve"> </w:t>
            </w:r>
          </w:p>
          <w:p>
            <w:pPr>
              <w:pStyle w:val="null3"/>
              <w:jc w:val="left"/>
            </w:pPr>
            <w:r>
              <w:rPr/>
              <w:t xml:space="preserve"> </w:t>
            </w:r>
          </w:p>
          <w:p>
            <w:pPr>
              <w:pStyle w:val="null3"/>
              <w:jc w:val="left"/>
            </w:pPr>
            <w:r>
              <w:rPr>
                <w:rFonts w:ascii="仿宋_gb2312" w:hAnsi="仿宋_gb2312" w:cs="仿宋_gb2312" w:eastAsia="仿宋_gb2312"/>
                <w:sz w:val="24"/>
              </w:rPr>
              <w:t>商务要求</w:t>
            </w:r>
          </w:p>
          <w:p>
            <w:pPr>
              <w:pStyle w:val="null3"/>
              <w:ind w:firstLine="480"/>
              <w:jc w:val="both"/>
            </w:pPr>
            <w:r>
              <w:rPr/>
              <w:t xml:space="preserve"> </w:t>
            </w:r>
          </w:p>
          <w:p>
            <w:pPr>
              <w:pStyle w:val="null3"/>
              <w:ind w:firstLine="48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服务期限：自合同签订之日起一</w:t>
            </w:r>
            <w:r>
              <w:rPr>
                <w:rFonts w:ascii="仿宋_gb2312" w:hAnsi="仿宋_gb2312" w:cs="仿宋_gb2312" w:eastAsia="仿宋_gb2312"/>
                <w:sz w:val="24"/>
              </w:rPr>
              <w:t>个月</w:t>
            </w:r>
          </w:p>
          <w:p>
            <w:pPr>
              <w:pStyle w:val="null3"/>
              <w:ind w:firstLine="480"/>
              <w:jc w:val="left"/>
            </w:pPr>
            <w:r>
              <w:rPr/>
              <w:t xml:space="preserve"> </w:t>
            </w:r>
          </w:p>
          <w:p>
            <w:pPr>
              <w:pStyle w:val="null3"/>
              <w:ind w:firstLine="480"/>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服务地点：采购人指定地点</w:t>
            </w:r>
          </w:p>
          <w:p>
            <w:pPr>
              <w:pStyle w:val="null3"/>
              <w:ind w:firstLine="480"/>
              <w:jc w:val="both"/>
            </w:pPr>
            <w:r>
              <w:rPr/>
              <w:t xml:space="preserve"> </w:t>
            </w:r>
          </w:p>
          <w:p>
            <w:pPr>
              <w:pStyle w:val="null3"/>
              <w:ind w:firstLine="48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款项结算。</w:t>
            </w:r>
          </w:p>
          <w:p>
            <w:pPr>
              <w:pStyle w:val="null3"/>
              <w:ind w:firstLine="48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）支付方式：银行转账。</w:t>
            </w:r>
          </w:p>
          <w:p>
            <w:pPr>
              <w:pStyle w:val="null3"/>
              <w:ind w:firstLine="48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）项目付款：</w:t>
            </w:r>
            <w:r>
              <w:rPr>
                <w:rFonts w:ascii="仿宋_gb2312" w:hAnsi="仿宋_gb2312" w:cs="仿宋_gb2312" w:eastAsia="仿宋_gb2312"/>
                <w:sz w:val="24"/>
              </w:rPr>
              <w:t>符合财库〔2020〕46号文中规定的小企业中标则采购人应支付合同价款40%的预付款 ，达到付款条件起 5日内，支付合同总金额的 40.00%。 合同签订后验收合格 ，达到付款条件起30日内，支付合同总金额的 60.00%。</w:t>
            </w:r>
          </w:p>
          <w:p>
            <w:pPr>
              <w:pStyle w:val="null3"/>
              <w:ind w:firstLine="480"/>
              <w:jc w:val="both"/>
            </w:pPr>
            <w:r>
              <w:rPr>
                <w:rFonts w:ascii="&quot;&quot;times new roman&quot;&quot;" w:hAnsi="&quot;&quot;times new roman&quot;&quot;" w:cs="&quot;&quot;times new roman&quot;&quot;" w:eastAsia="&quot;&quot;times new roman&quot;&quot;"/>
                <w:sz w:val="24"/>
              </w:rPr>
              <w:t>3</w:t>
            </w:r>
            <w:r>
              <w:rPr>
                <w:rFonts w:ascii="仿宋_gb2312" w:hAnsi="仿宋_gb2312" w:cs="仿宋_gb2312" w:eastAsia="仿宋_gb2312"/>
                <w:sz w:val="24"/>
              </w:rPr>
              <w:t>）结算方式：供应商持验收书，发票（按合同总价开采购人），成交通知书、服务合同，与采购人结算。</w:t>
            </w:r>
          </w:p>
        </w:tc>
      </w:tr>
    </w:tbl>
    <w:p>
      <w:pPr>
        <w:pStyle w:val="null3"/>
        <w:outlineLvl w:val="2"/>
      </w:pPr>
      <w:r>
        <w:rPr>
          <w:sz w:val="28"/>
          <w:b/>
        </w:rPr>
        <w:t>3.2.3人员配置要求</w:t>
      </w:r>
    </w:p>
    <w:p>
      <w:pPr>
        <w:pStyle w:val="null3"/>
      </w:pPr>
      <w:r>
        <w:rPr/>
        <w:t>采购包1：</w:t>
      </w:r>
    </w:p>
    <w:p>
      <w:pPr>
        <w:pStyle w:val="null3"/>
      </w:pPr>
      <w:r>
        <w:rPr/>
        <w:t>详见磋商文件第六章 磋商办法(评分标准)</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按照项目内容和要求提供符合现行的国家标准或国家行政部门颁布的法律法规、规章制度以及行业标准的服务。</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符合财库〔2020〕46号文中规定的小企业中标则采购人应支付合同价款40%的预付款</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合同签订后验收合格</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按采购文件、响应文件及合同相关条款</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资格部分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磋商响应文件的完整性、有效性、响应性审查</w:t>
            </w:r>
          </w:p>
        </w:tc>
        <w:tc>
          <w:tcPr>
            <w:tcW w:type="dxa" w:w="3322"/>
          </w:tcPr>
          <w:p>
            <w:pPr>
              <w:pStyle w:val="null3"/>
            </w:pPr>
            <w:r>
              <w:rPr/>
              <w:t>响应文件是否按照磋商文件要求的格式编写，响应文件的签署、加盖印章是否合格、有效，磋商报价是否未超过采购预算或最高限价，磋商报价有效期是否符合磋商文件的要求，是否完全满足磋商文件所要求的商务条款。 本项目 专门面向小微企业采购（提供符合《政府采购 促进中小企业发展管理办法》（财库﹝2020﹞ 46号）文件要求的中小企业声明函原件）。 说 明：残疾人福利性单位和监狱企业视同小型、 微型企业，若残疾人福利性单位参与投标的须 提供符合《财 政部 民政部 中国残疾人联合会关 于促进残疾人就业政府采购政策的通知》（财 库〔2017〕141号）文件要求的残疾人福利性 单位声明函；若投标单位属于（财库〔2014〕 68号）文件规定的监狱企业的，提供由省级以 上监狱管理局、 戒毒管理局（含新疆生产建设 兵团）出具的属于监狱企业的证明文件。</w:t>
            </w:r>
          </w:p>
        </w:tc>
        <w:tc>
          <w:tcPr>
            <w:tcW w:type="dxa" w:w="1661"/>
          </w:tcPr>
          <w:p>
            <w:pPr>
              <w:pStyle w:val="null3"/>
            </w:pPr>
            <w:r>
              <w:rPr/>
              <w:t>响应文件封面 服务内容及服务邀请应答表 中小企业声明函 残疾人福利性单位声明函 商务应答表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服务方案及内容</w:t>
            </w:r>
          </w:p>
        </w:tc>
        <w:tc>
          <w:tcPr>
            <w:tcW w:type="dxa" w:w="2492"/>
          </w:tcPr>
          <w:p>
            <w:pPr>
              <w:pStyle w:val="null3"/>
            </w:pPr>
            <w:r>
              <w:rPr/>
              <w:t>供应商需提供整体详细、合理、可行的廉洁文化进校园服务方案，包括但不限于（拍摄思路规划、视频效果展现、文化作品展及文创产品制作等）： 1、供应商针对磋商文件技术服务要求提供针对性强且完善的项目实施方案，服务计划书详细、合理、全面，服务方案达到或优于磋商文件标准。根据响应情况得25～15分； 2、供应商针对磋商文件技术服务要求提供项目实施方案，方案基本合理，服务方案符合采购人基本要求。根据响应情况得14.9～5分； 3、供应商所提供的项目实施方案有缺陷或不尽合理，前后矛盾，服务质量未能达到采购人实际需求。根据响应情况得4.9～0分。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对项目背景理解</w:t>
            </w:r>
          </w:p>
        </w:tc>
        <w:tc>
          <w:tcPr>
            <w:tcW w:type="dxa" w:w="2492"/>
          </w:tcPr>
          <w:p>
            <w:pPr>
              <w:pStyle w:val="null3"/>
            </w:pPr>
            <w:r>
              <w:rPr/>
              <w:t>根据供应商对廉洁文化进校园的建设背景、项目需求等进行理解及分析描述： 1、供应商需对项目的背景具有深刻的理解，对项目服务目标和服务内容进行完整、合理的阐述，根据响应情况得10～7分； 2、供应商对项目背景的理解基本准确到位，满足采购人基本服务要求，根据响应情况得6.9～3分； 3、供应商对于本项目的背景理解较差，不能完全满足采购人实际需求，根据响应情况得2.9～0分。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服务要求响应</w:t>
            </w:r>
          </w:p>
        </w:tc>
        <w:tc>
          <w:tcPr>
            <w:tcW w:type="dxa" w:w="2492"/>
          </w:tcPr>
          <w:p>
            <w:pPr>
              <w:pStyle w:val="null3"/>
            </w:pPr>
            <w:r>
              <w:rPr/>
              <w:t>1、供应商所提供的服务内容完全满足或优于磋商文件相关标准，满足采购人实际需求，根据响应情况得5～2分； 3、供应商所提供服务 内容存在缺漏项，在项目实施过程中可能存在实施不及时、工作不到 位的情况，根据响应情况得1.9～0分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1.供应商结合本项目要求，配备具备相关项目经验（包括策划团队、视频团队、设计团队等），满足磋商文件要求且服务好、责任心强的服务人员，根据响应情况得10～7分； 2.供应商所配备相关服务人员基本满足本项目服务需求，教务服务人员素质较为一般，根据响应情况得6.9～4分； 3.供应商所配备相关服务人员数量不足，不能完全满足本项目实际需求，可能在服务期内出现响应不及时、工作不到位的情况，根据响应情况得3.9～0分； （以上内容需提供相关人员学历证书或职称证书原件或复印件，并提供人员在本单位缴纳社保证明或相关合作证明。）</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应急预案</w:t>
            </w:r>
          </w:p>
        </w:tc>
        <w:tc>
          <w:tcPr>
            <w:tcW w:type="dxa" w:w="2492"/>
          </w:tcPr>
          <w:p>
            <w:pPr>
              <w:pStyle w:val="null3"/>
            </w:pPr>
            <w:r>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项目进度</w:t>
            </w:r>
          </w:p>
        </w:tc>
        <w:tc>
          <w:tcPr>
            <w:tcW w:type="dxa" w:w="2492"/>
          </w:tcPr>
          <w:p>
            <w:pPr>
              <w:pStyle w:val="null3"/>
            </w:pPr>
            <w:r>
              <w:rPr/>
              <w:t>针对本项目提供项目管理制度方案，宣传专题片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供应商针对本项目须确保项目能按时、按质完成，提供有利于采购人降低成本及提高服务质量且切实可行的措施承诺，方案具体可行得5～3分，方案基本可行得2.9～0分；未提供不得分。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2021年1月1日起至今，磋商响应人承接同类服务项目的业绩(业绩以合同复印件为准)，每提供一份有效业绩得2分，最多得10分。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磋商响应人的综合情况</w:t>
            </w:r>
          </w:p>
        </w:tc>
        <w:tc>
          <w:tcPr>
            <w:tcW w:type="dxa" w:w="2492"/>
          </w:tcPr>
          <w:p>
            <w:pPr>
              <w:pStyle w:val="null3"/>
            </w:pPr>
            <w:r>
              <w:rPr/>
              <w:t>根据磋商响应人的总体情况（实力、信誉等），得5～0分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1.最低评审价为评审基准价，得10分。 2.按（评审基准价/评审价×10）的公式计算价格得分。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详见附件：资格部分</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