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pPr>
        <w:jc w:val="center"/>
        <w:rPr>
          <w:rFonts w:hint="eastAsia" w:ascii="宋体" w:hAnsi="宋体" w:cs="仿宋"/>
          <w:sz w:val="44"/>
          <w:szCs w:val="44"/>
        </w:rPr>
      </w:pPr>
    </w:p>
    <w:p>
      <w:pPr>
        <w:pStyle w:val="2"/>
        <w:rPr>
          <w:rFonts w:hint="eastAsia" w:ascii="宋体" w:hAnsi="宋体" w:cs="仿宋"/>
          <w:sz w:val="44"/>
          <w:szCs w:val="44"/>
        </w:rPr>
      </w:pPr>
    </w:p>
    <w:p>
      <w:pPr>
        <w:pStyle w:val="2"/>
        <w:rPr>
          <w:rFonts w:hint="eastAsia" w:ascii="宋体" w:hAnsi="宋体" w:cs="仿宋"/>
          <w:sz w:val="44"/>
          <w:szCs w:val="44"/>
        </w:rPr>
      </w:pPr>
    </w:p>
    <w:p>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707868159"/>
        </w:rPr>
        <w:t>西安铁路职业技术学</w:t>
      </w:r>
      <w:r>
        <w:rPr>
          <w:rFonts w:hint="eastAsia" w:ascii="方正小标宋简体" w:hAnsi="宋体" w:eastAsia="方正小标宋简体" w:cs="宋体"/>
          <w:b/>
          <w:spacing w:val="0"/>
          <w:kern w:val="0"/>
          <w:sz w:val="52"/>
          <w:szCs w:val="52"/>
          <w:fitText w:val="5957" w:id="-1707868159"/>
        </w:rPr>
        <w:t>院</w:t>
      </w:r>
    </w:p>
    <w:p>
      <w:pPr>
        <w:jc w:val="center"/>
        <w:rPr>
          <w:rFonts w:hint="eastAsia" w:ascii="方正小标宋简体" w:hAnsi="宋体" w:eastAsia="方正小标宋简体" w:cs="宋体"/>
          <w:b/>
          <w:spacing w:val="-42"/>
          <w:sz w:val="52"/>
          <w:szCs w:val="52"/>
          <w:u w:val="none"/>
        </w:rPr>
      </w:pPr>
      <w:r>
        <w:rPr>
          <w:rFonts w:hint="eastAsia" w:ascii="方正小标宋简体" w:hAnsi="宋体" w:eastAsia="方正小标宋简体" w:cs="宋体"/>
          <w:b/>
          <w:spacing w:val="-42"/>
          <w:sz w:val="52"/>
          <w:szCs w:val="52"/>
          <w:u w:val="none"/>
          <w:lang w:eastAsia="zh-CN"/>
        </w:rPr>
        <w:t>机电一体化智能实训平台</w:t>
      </w:r>
    </w:p>
    <w:p>
      <w:pPr>
        <w:pStyle w:val="2"/>
        <w:rPr>
          <w:rFonts w:hint="eastAsia" w:ascii="方正小标宋简体" w:hAnsi="宋体" w:eastAsia="方正小标宋简体" w:cs="宋体"/>
          <w:b/>
          <w:spacing w:val="-42"/>
          <w:sz w:val="52"/>
          <w:szCs w:val="52"/>
          <w:u w:val="none"/>
        </w:rPr>
      </w:pPr>
    </w:p>
    <w:p>
      <w:pPr>
        <w:pStyle w:val="2"/>
        <w:rPr>
          <w:rFonts w:hint="eastAsia" w:ascii="方正小标宋简体" w:hAnsi="宋体" w:eastAsia="方正小标宋简体" w:cs="宋体"/>
          <w:b/>
          <w:spacing w:val="-42"/>
          <w:sz w:val="52"/>
          <w:szCs w:val="52"/>
          <w:u w:val="none"/>
          <w:lang w:eastAsia="zh-CN"/>
        </w:rPr>
      </w:pPr>
    </w:p>
    <w:p>
      <w:pPr>
        <w:spacing w:line="360" w:lineRule="auto"/>
        <w:jc w:val="center"/>
        <w:rPr>
          <w:rFonts w:hint="eastAsia" w:ascii="方正小标宋简体" w:hAnsi="宋体" w:eastAsia="方正小标宋简体" w:cs="仿宋"/>
          <w:b/>
          <w:sz w:val="32"/>
          <w:szCs w:val="32"/>
        </w:rPr>
      </w:pPr>
      <w:r>
        <w:rPr>
          <w:rFonts w:hint="eastAsia" w:ascii="方正小标宋简体" w:hAnsi="宋体" w:eastAsia="方正小标宋简体" w:cs="仿宋"/>
          <w:b/>
          <w:spacing w:val="243"/>
          <w:kern w:val="0"/>
          <w:sz w:val="72"/>
          <w:szCs w:val="72"/>
          <w:fitText w:val="4338" w:id="-1707867904"/>
        </w:rPr>
        <w:t>供货合</w:t>
      </w:r>
      <w:r>
        <w:rPr>
          <w:rFonts w:hint="eastAsia" w:ascii="方正小标宋简体" w:hAnsi="宋体" w:eastAsia="方正小标宋简体" w:cs="仿宋"/>
          <w:b/>
          <w:spacing w:val="0"/>
          <w:kern w:val="0"/>
          <w:sz w:val="72"/>
          <w:szCs w:val="72"/>
          <w:fitText w:val="4338" w:id="-1707867904"/>
        </w:rPr>
        <w:t>同</w:t>
      </w:r>
    </w:p>
    <w:p>
      <w:pPr>
        <w:spacing w:line="360" w:lineRule="auto"/>
        <w:rPr>
          <w:rFonts w:hint="eastAsia" w:ascii="方正小标宋简体" w:hAnsi="宋体" w:eastAsia="方正小标宋简体" w:cs="仿宋"/>
          <w:b/>
          <w:sz w:val="32"/>
          <w:szCs w:val="32"/>
        </w:rPr>
      </w:pPr>
    </w:p>
    <w:p>
      <w:pPr>
        <w:spacing w:line="360" w:lineRule="auto"/>
        <w:ind w:firstLine="1921" w:firstLineChars="600"/>
        <w:rPr>
          <w:rFonts w:hint="eastAsia" w:ascii="方正小标宋简体" w:hAnsi="宋体" w:eastAsia="方正小标宋简体" w:cs="仿宋"/>
          <w:b/>
          <w:sz w:val="32"/>
          <w:szCs w:val="32"/>
          <w:lang w:eastAsia="zh-CN"/>
        </w:rPr>
      </w:pPr>
      <w:r>
        <w:rPr>
          <w:rFonts w:hint="eastAsia" w:ascii="方正小标宋简体" w:hAnsi="宋体" w:eastAsia="方正小标宋简体" w:cs="仿宋"/>
          <w:b/>
          <w:sz w:val="32"/>
          <w:szCs w:val="32"/>
        </w:rPr>
        <w:t>项目编号：ZHPM-ZC-2472</w:t>
      </w:r>
      <w:r>
        <w:rPr>
          <w:rFonts w:hint="eastAsia" w:ascii="方正小标宋简体" w:hAnsi="宋体" w:eastAsia="方正小标宋简体" w:cs="仿宋"/>
          <w:b/>
          <w:sz w:val="32"/>
          <w:szCs w:val="32"/>
          <w:lang w:val="en-US" w:eastAsia="zh-CN"/>
        </w:rPr>
        <w:t>8</w:t>
      </w:r>
    </w:p>
    <w:p>
      <w:pPr>
        <w:spacing w:line="360" w:lineRule="auto"/>
        <w:ind w:firstLine="1921" w:firstLineChars="600"/>
        <w:rPr>
          <w:rFonts w:hint="default" w:ascii="方正小标宋简体" w:hAnsi="宋体" w:eastAsia="方正小标宋简体" w:cs="仿宋"/>
          <w:b/>
          <w:sz w:val="32"/>
          <w:szCs w:val="32"/>
          <w:highlight w:val="none"/>
          <w:lang w:val="en-US" w:eastAsia="zh-CN"/>
        </w:rPr>
      </w:pPr>
      <w:r>
        <w:rPr>
          <w:rFonts w:hint="eastAsia" w:ascii="方正小标宋简体" w:hAnsi="宋体" w:eastAsia="方正小标宋简体" w:cs="仿宋"/>
          <w:b/>
          <w:sz w:val="32"/>
          <w:szCs w:val="32"/>
          <w:highlight w:val="none"/>
        </w:rPr>
        <w:t>合同编号：政采-西安市-202</w:t>
      </w:r>
      <w:r>
        <w:rPr>
          <w:rFonts w:hint="eastAsia" w:ascii="方正小标宋简体" w:hAnsi="宋体" w:eastAsia="方正小标宋简体" w:cs="仿宋"/>
          <w:b/>
          <w:sz w:val="32"/>
          <w:szCs w:val="32"/>
          <w:highlight w:val="none"/>
          <w:lang w:val="en-US" w:eastAsia="zh-CN"/>
        </w:rPr>
        <w:t>4</w:t>
      </w:r>
      <w:r>
        <w:rPr>
          <w:rFonts w:hint="eastAsia" w:ascii="方正小标宋简体" w:hAnsi="宋体" w:eastAsia="方正小标宋简体" w:cs="仿宋"/>
          <w:b/>
          <w:sz w:val="32"/>
          <w:szCs w:val="32"/>
          <w:highlight w:val="none"/>
        </w:rPr>
        <w:t>-</w:t>
      </w:r>
      <w:r>
        <w:rPr>
          <w:rFonts w:hint="eastAsia" w:ascii="方正小标宋简体" w:hAnsi="宋体" w:eastAsia="方正小标宋简体" w:cs="仿宋"/>
          <w:b/>
          <w:sz w:val="32"/>
          <w:szCs w:val="32"/>
          <w:highlight w:val="none"/>
          <w:lang w:val="en-US" w:eastAsia="zh-CN"/>
        </w:rPr>
        <w:t>03844</w:t>
      </w:r>
    </w:p>
    <w:p>
      <w:pPr>
        <w:spacing w:line="360" w:lineRule="auto"/>
        <w:ind w:firstLine="1921" w:firstLineChars="600"/>
        <w:rPr>
          <w:rFonts w:hint="eastAsia" w:ascii="方正小标宋简体" w:hAnsi="宋体" w:eastAsia="方正小标宋简体" w:cs="仿宋"/>
          <w:b/>
          <w:sz w:val="32"/>
          <w:szCs w:val="32"/>
          <w:lang w:eastAsia="zh-CN"/>
        </w:rPr>
      </w:pPr>
      <w:r>
        <w:rPr>
          <w:rFonts w:hint="eastAsia" w:ascii="方正小标宋简体" w:hAnsi="宋体" w:eastAsia="方正小标宋简体" w:cs="仿宋"/>
          <w:b/>
          <w:sz w:val="32"/>
          <w:szCs w:val="32"/>
        </w:rPr>
        <w:t>项目名称：</w:t>
      </w:r>
      <w:r>
        <w:rPr>
          <w:rFonts w:hint="eastAsia" w:ascii="方正小标宋简体" w:hAnsi="宋体" w:eastAsia="方正小标宋简体" w:cs="仿宋"/>
          <w:b/>
          <w:sz w:val="32"/>
          <w:szCs w:val="32"/>
          <w:lang w:eastAsia="zh-CN"/>
        </w:rPr>
        <w:t>机电一体化智能实训平台</w:t>
      </w:r>
    </w:p>
    <w:p>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pPr>
        <w:spacing w:line="360" w:lineRule="auto"/>
        <w:ind w:firstLine="1921"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鉴 证 方：</w:t>
      </w:r>
      <w:r>
        <w:rPr>
          <w:rFonts w:hint="eastAsia" w:ascii="宋体" w:hAnsi="宋体" w:eastAsia="宋体" w:cs="宋体"/>
          <w:b/>
          <w:sz w:val="32"/>
          <w:szCs w:val="32"/>
        </w:rPr>
        <w:t>中昊项目管理有限公司</w:t>
      </w:r>
    </w:p>
    <w:p>
      <w:pPr>
        <w:pStyle w:val="2"/>
        <w:rPr>
          <w:rFonts w:hint="eastAsia" w:ascii="方正小标宋简体" w:eastAsia="方正小标宋简体"/>
        </w:rPr>
      </w:pPr>
    </w:p>
    <w:p>
      <w:pPr>
        <w:pStyle w:val="2"/>
        <w:rPr>
          <w:rFonts w:hint="eastAsia" w:ascii="方正小标宋简体" w:eastAsia="方正小标宋简体"/>
        </w:rPr>
      </w:pPr>
    </w:p>
    <w:p>
      <w:pPr>
        <w:spacing w:line="360" w:lineRule="auto"/>
        <w:jc w:val="center"/>
        <w:rPr>
          <w:rFonts w:hint="eastAsia" w:ascii="宋体" w:hAnsi="宋体" w:cs="仿宋"/>
          <w:b/>
          <w:sz w:val="32"/>
          <w:szCs w:val="32"/>
        </w:rPr>
        <w:sectPr>
          <w:headerReference r:id="rId3" w:type="default"/>
          <w:pgSz w:w="11906" w:h="16838"/>
          <w:pgMar w:top="1418" w:right="1418" w:bottom="1418" w:left="755" w:header="907" w:footer="1021" w:gutter="567"/>
          <w:pgBorders>
            <w:top w:val="none" w:sz="0" w:space="0"/>
            <w:left w:val="none" w:sz="0" w:space="0"/>
            <w:bottom w:val="none" w:sz="0" w:space="0"/>
            <w:right w:val="none" w:sz="0" w:space="0"/>
          </w:pgBorders>
          <w:cols w:space="720" w:num="1"/>
          <w:docGrid w:linePitch="312" w:charSpace="0"/>
        </w:sectPr>
      </w:pPr>
      <w:r>
        <w:rPr>
          <w:rFonts w:hint="eastAsia" w:ascii="方正小标宋简体" w:hAnsi="宋体" w:eastAsia="方正小标宋简体" w:cs="仿宋"/>
          <w:b/>
          <w:sz w:val="32"/>
          <w:szCs w:val="32"/>
        </w:rPr>
        <w:t>202</w:t>
      </w:r>
      <w:r>
        <w:rPr>
          <w:rFonts w:hint="eastAsia" w:ascii="方正小标宋简体" w:hAnsi="宋体" w:eastAsia="方正小标宋简体" w:cs="仿宋"/>
          <w:b/>
          <w:sz w:val="32"/>
          <w:szCs w:val="32"/>
          <w:lang w:val="en-US" w:eastAsia="zh-CN"/>
        </w:rPr>
        <w:t>4</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lang w:val="en-US" w:eastAsia="zh-CN"/>
        </w:rPr>
        <w:t>7</w:t>
      </w:r>
      <w:r>
        <w:rPr>
          <w:rFonts w:hint="eastAsia" w:ascii="方正小标宋简体" w:hAnsi="宋体" w:eastAsia="方正小标宋简体" w:cs="仿宋"/>
          <w:b/>
          <w:sz w:val="32"/>
          <w:szCs w:val="32"/>
        </w:rPr>
        <w:t>月</w:t>
      </w:r>
    </w:p>
    <w:p>
      <w:pPr>
        <w:spacing w:line="480" w:lineRule="exact"/>
        <w:ind w:firstLine="3534" w:firstLineChars="800"/>
        <w:rPr>
          <w:rFonts w:hint="eastAsia" w:ascii="宋体" w:hAnsi="宋体" w:cs="仿宋"/>
          <w:b/>
          <w:sz w:val="30"/>
          <w:szCs w:val="30"/>
        </w:rPr>
      </w:pPr>
      <w:r>
        <w:rPr>
          <w:rFonts w:hint="eastAsia" w:ascii="宋体" w:hAnsi="宋体" w:cs="仿宋"/>
          <w:b/>
          <w:sz w:val="44"/>
          <w:szCs w:val="44"/>
        </w:rPr>
        <w:t>供货合同</w:t>
      </w:r>
    </w:p>
    <w:p>
      <w:pPr>
        <w:numPr>
          <w:ilvl w:val="0"/>
          <w:numId w:val="15"/>
        </w:numPr>
        <w:spacing w:line="480" w:lineRule="exact"/>
        <w:ind w:firstLine="480" w:firstLineChars="200"/>
        <w:rPr>
          <w:rFonts w:hint="eastAsia" w:ascii="宋体" w:hAnsi="宋体" w:cs="宋体"/>
          <w:sz w:val="24"/>
        </w:rPr>
      </w:pPr>
      <w:r>
        <w:rPr>
          <w:rFonts w:hint="eastAsia" w:ascii="宋体" w:hAnsi="宋体" w:cs="宋体"/>
          <w:sz w:val="24"/>
        </w:rPr>
        <w:t>供货合同格式</w:t>
      </w:r>
    </w:p>
    <w:p>
      <w:pPr>
        <w:spacing w:line="480" w:lineRule="exact"/>
        <w:ind w:firstLine="480" w:firstLineChars="200"/>
        <w:rPr>
          <w:rFonts w:hint="eastAsia" w:ascii="宋体" w:hAnsi="宋体" w:cs="宋体"/>
          <w:spacing w:val="-2"/>
          <w:kern w:val="0"/>
          <w:sz w:val="24"/>
        </w:rPr>
      </w:pPr>
      <w:r>
        <w:rPr>
          <w:rFonts w:hint="eastAsia" w:ascii="宋体" w:hAnsi="宋体" w:cs="宋体"/>
          <w:kern w:val="0"/>
          <w:sz w:val="24"/>
        </w:rPr>
        <w:t>西安铁路职业技术学院</w:t>
      </w:r>
      <w:r>
        <w:rPr>
          <w:rFonts w:hint="eastAsia" w:ascii="宋体" w:hAnsi="宋体" w:cs="宋体"/>
          <w:kern w:val="0"/>
          <w:sz w:val="24"/>
          <w:u w:val="single"/>
        </w:rPr>
        <w:t xml:space="preserve"> </w:t>
      </w:r>
      <w:r>
        <w:rPr>
          <w:rFonts w:hint="eastAsia" w:ascii="宋体" w:hAnsi="宋体" w:cs="宋体"/>
          <w:kern w:val="0"/>
          <w:sz w:val="24"/>
          <w:u w:val="single"/>
          <w:lang w:eastAsia="zh-CN"/>
        </w:rPr>
        <w:t>机电一体化智能实训平台</w:t>
      </w:r>
      <w:r>
        <w:rPr>
          <w:rFonts w:hint="eastAsia" w:ascii="宋体" w:hAnsi="宋体" w:cs="宋体"/>
          <w:kern w:val="0"/>
          <w:sz w:val="24"/>
          <w:u w:val="single"/>
        </w:rPr>
        <w:t xml:space="preserve"> </w:t>
      </w:r>
      <w:r>
        <w:rPr>
          <w:rFonts w:hint="eastAsia" w:ascii="宋体" w:hAnsi="宋体" w:cs="宋体"/>
          <w:kern w:val="0"/>
          <w:sz w:val="24"/>
        </w:rPr>
        <w:t>项目</w:t>
      </w:r>
      <w:r>
        <w:rPr>
          <w:rFonts w:hint="eastAsia" w:ascii="宋体" w:hAnsi="宋体" w:cs="宋体"/>
          <w:spacing w:val="-2"/>
          <w:kern w:val="0"/>
          <w:sz w:val="24"/>
        </w:rPr>
        <w:t>(项目编号：</w:t>
      </w:r>
      <w:r>
        <w:rPr>
          <w:rFonts w:hint="eastAsia" w:ascii="宋体" w:hAnsi="宋体" w:cs="宋体"/>
          <w:spacing w:val="-2"/>
          <w:kern w:val="0"/>
          <w:sz w:val="24"/>
          <w:u w:val="single"/>
        </w:rPr>
        <w:t xml:space="preserve"> ZHPM-ZC-2472</w:t>
      </w:r>
      <w:r>
        <w:rPr>
          <w:rFonts w:hint="eastAsia" w:ascii="宋体" w:hAnsi="宋体" w:cs="宋体"/>
          <w:spacing w:val="-2"/>
          <w:kern w:val="0"/>
          <w:sz w:val="24"/>
          <w:u w:val="single"/>
          <w:lang w:val="en-US" w:eastAsia="zh-CN"/>
        </w:rPr>
        <w:t>8</w:t>
      </w:r>
      <w:r>
        <w:rPr>
          <w:rFonts w:hint="eastAsia" w:ascii="宋体" w:hAnsi="宋体" w:cs="宋体"/>
          <w:spacing w:val="-2"/>
          <w:kern w:val="0"/>
          <w:sz w:val="24"/>
          <w:u w:val="single"/>
        </w:rPr>
        <w:t xml:space="preserve"> </w:t>
      </w:r>
      <w:r>
        <w:rPr>
          <w:rFonts w:hint="eastAsia" w:ascii="宋体" w:hAnsi="宋体" w:cs="宋体"/>
          <w:spacing w:val="-2"/>
          <w:kern w:val="0"/>
          <w:sz w:val="24"/>
        </w:rPr>
        <w:t>)，在西安市财政局政府采购管理处的监督管理下，由</w:t>
      </w:r>
      <w:r>
        <w:rPr>
          <w:rFonts w:hint="eastAsia" w:ascii="宋体" w:hAnsi="宋体" w:cs="宋体"/>
          <w:spacing w:val="-2"/>
          <w:kern w:val="0"/>
          <w:sz w:val="24"/>
          <w:u w:val="single"/>
        </w:rPr>
        <w:t xml:space="preserve"> </w:t>
      </w:r>
      <w:r>
        <w:rPr>
          <w:rFonts w:hint="eastAsia" w:ascii="宋体" w:hAnsi="宋体" w:eastAsia="宋体" w:cs="宋体"/>
          <w:spacing w:val="-2"/>
          <w:kern w:val="0"/>
          <w:sz w:val="24"/>
          <w:u w:val="single"/>
        </w:rPr>
        <w:t>中昊项目管理有限公司</w:t>
      </w:r>
      <w:r>
        <w:rPr>
          <w:rFonts w:hint="eastAsia" w:ascii="宋体" w:hAnsi="宋体" w:cs="宋体"/>
          <w:spacing w:val="-2"/>
          <w:kern w:val="0"/>
          <w:sz w:val="24"/>
        </w:rPr>
        <w:t>组织依法招标。</w:t>
      </w:r>
      <w:r>
        <w:rPr>
          <w:rFonts w:hint="eastAsia" w:ascii="宋体" w:hAnsi="宋体" w:cs="宋体"/>
          <w:spacing w:val="-2"/>
          <w:kern w:val="0"/>
          <w:sz w:val="24"/>
          <w:u w:val="single"/>
        </w:rPr>
        <w:t>西安铁路职业技术学院</w:t>
      </w:r>
      <w:r>
        <w:rPr>
          <w:rFonts w:hint="eastAsia" w:ascii="宋体" w:hAnsi="宋体" w:cs="宋体"/>
          <w:spacing w:val="-2"/>
          <w:kern w:val="0"/>
          <w:sz w:val="24"/>
        </w:rPr>
        <w:t>(以下简称“买方”)确定</w:t>
      </w:r>
      <w:r>
        <w:rPr>
          <w:rFonts w:hint="eastAsia" w:ascii="宋体" w:hAnsi="宋体" w:cs="宋体"/>
          <w:sz w:val="24"/>
          <w:u w:val="single"/>
        </w:rPr>
        <w:t xml:space="preserve">          </w:t>
      </w:r>
      <w:r>
        <w:rPr>
          <w:rFonts w:hint="eastAsia" w:ascii="宋体" w:hAnsi="宋体" w:cs="宋体"/>
          <w:spacing w:val="-2"/>
          <w:kern w:val="0"/>
          <w:sz w:val="24"/>
        </w:rPr>
        <w:t>（以下简称“卖方”）为成交供应商。</w:t>
      </w:r>
    </w:p>
    <w:p>
      <w:pPr>
        <w:spacing w:line="480" w:lineRule="exact"/>
        <w:ind w:firstLine="472" w:firstLineChars="200"/>
        <w:rPr>
          <w:rFonts w:hint="eastAsia" w:ascii="宋体" w:hAnsi="宋体" w:cs="宋体"/>
          <w:spacing w:val="-2"/>
          <w:kern w:val="0"/>
          <w:sz w:val="24"/>
        </w:rPr>
      </w:pPr>
      <w:r>
        <w:rPr>
          <w:rFonts w:hint="eastAsia" w:ascii="宋体" w:hAnsi="宋体" w:cs="宋体"/>
          <w:spacing w:val="-2"/>
          <w:kern w:val="0"/>
          <w:sz w:val="24"/>
        </w:rPr>
        <w:t>依据《中华人民共和国民法典》和《中华人民共和国政府采购法》等规定，买方通过依法采购接受了卖方以价格</w:t>
      </w:r>
      <w:r>
        <w:rPr>
          <w:rFonts w:hint="eastAsia" w:ascii="宋体" w:hAnsi="宋体" w:cs="宋体"/>
          <w:spacing w:val="-2"/>
          <w:kern w:val="0"/>
          <w:sz w:val="24"/>
          <w:lang w:eastAsia="zh-CN"/>
        </w:rPr>
        <w:t>（</w:t>
      </w:r>
      <w:r>
        <w:rPr>
          <w:rFonts w:hint="eastAsia" w:ascii="宋体" w:hAnsi="宋体" w:cs="宋体"/>
          <w:spacing w:val="-2"/>
          <w:kern w:val="0"/>
          <w:sz w:val="24"/>
          <w:lang w:val="en-US" w:eastAsia="zh-CN"/>
        </w:rPr>
        <w:t>大写</w:t>
      </w:r>
      <w:r>
        <w:rPr>
          <w:rFonts w:hint="eastAsia" w:ascii="宋体" w:hAnsi="宋体" w:cs="宋体"/>
          <w:spacing w:val="-2"/>
          <w:kern w:val="0"/>
          <w:sz w:val="24"/>
          <w:lang w:eastAsia="zh-CN"/>
        </w:rPr>
        <w:t>）：</w:t>
      </w:r>
      <w:r>
        <w:rPr>
          <w:rFonts w:hint="eastAsia" w:ascii="宋体" w:hAnsi="宋体" w:cs="宋体"/>
          <w:spacing w:val="-2"/>
          <w:kern w:val="0"/>
          <w:sz w:val="24"/>
          <w:lang w:val="en-US" w:eastAsia="zh-CN"/>
        </w:rPr>
        <w:t>人民币</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pacing w:val="-2"/>
          <w:kern w:val="0"/>
          <w:sz w:val="24"/>
        </w:rPr>
        <w:t>(以下简称“合同价”)提供的货物及配套服务、施工。</w:t>
      </w:r>
    </w:p>
    <w:p>
      <w:pPr>
        <w:spacing w:line="480" w:lineRule="exact"/>
        <w:ind w:firstLine="480" w:firstLineChars="200"/>
        <w:rPr>
          <w:rFonts w:hint="eastAsia" w:ascii="宋体" w:hAnsi="宋体" w:cs="宋体"/>
          <w:sz w:val="24"/>
        </w:rPr>
      </w:pPr>
      <w:r>
        <w:rPr>
          <w:rFonts w:hint="eastAsia" w:ascii="宋体" w:hAnsi="宋体" w:cs="宋体"/>
          <w:sz w:val="24"/>
        </w:rPr>
        <w:t>本合同在此声明如下：</w:t>
      </w:r>
    </w:p>
    <w:p>
      <w:pPr>
        <w:spacing w:line="480" w:lineRule="exact"/>
        <w:ind w:firstLine="480" w:firstLineChars="200"/>
        <w:rPr>
          <w:rFonts w:hint="eastAsia" w:ascii="宋体" w:hAnsi="宋体" w:cs="宋体"/>
          <w:sz w:val="24"/>
        </w:rPr>
      </w:pPr>
      <w:r>
        <w:rPr>
          <w:rFonts w:hint="eastAsia" w:ascii="宋体" w:hAnsi="宋体" w:cs="宋体"/>
          <w:sz w:val="24"/>
        </w:rPr>
        <w:t>1、本合同中的词语和术语的含义与合同条款中定义的相同。</w:t>
      </w:r>
    </w:p>
    <w:p>
      <w:pPr>
        <w:spacing w:line="480" w:lineRule="exact"/>
        <w:ind w:firstLine="480" w:firstLineChars="200"/>
        <w:rPr>
          <w:rFonts w:hint="eastAsia" w:ascii="宋体" w:hAnsi="宋体" w:cs="宋体"/>
          <w:sz w:val="24"/>
        </w:rPr>
      </w:pPr>
      <w:r>
        <w:rPr>
          <w:rFonts w:hint="eastAsia" w:ascii="宋体" w:hAnsi="宋体" w:cs="宋体"/>
          <w:sz w:val="24"/>
        </w:rPr>
        <w:t>2、下述文件是本合同的一部分，并与本合同一起阅读和解释：</w:t>
      </w:r>
    </w:p>
    <w:p>
      <w:pPr>
        <w:spacing w:line="480" w:lineRule="exact"/>
        <w:ind w:firstLine="480" w:firstLineChars="200"/>
        <w:rPr>
          <w:rFonts w:hint="eastAsia" w:ascii="宋体" w:hAnsi="宋体" w:cs="宋体"/>
          <w:sz w:val="24"/>
        </w:rPr>
      </w:pPr>
      <w:r>
        <w:rPr>
          <w:rFonts w:hint="eastAsia" w:ascii="宋体" w:hAnsi="宋体" w:cs="宋体"/>
          <w:sz w:val="24"/>
        </w:rPr>
        <w:t>1）合同条款</w:t>
      </w:r>
    </w:p>
    <w:p>
      <w:pPr>
        <w:spacing w:line="480" w:lineRule="exact"/>
        <w:ind w:firstLine="480" w:firstLineChars="200"/>
        <w:rPr>
          <w:rFonts w:hint="eastAsia" w:ascii="宋体" w:hAnsi="宋体" w:cs="宋体"/>
          <w:sz w:val="24"/>
        </w:rPr>
      </w:pPr>
      <w:r>
        <w:rPr>
          <w:rFonts w:hint="eastAsia" w:ascii="宋体" w:hAnsi="宋体" w:cs="宋体"/>
          <w:sz w:val="24"/>
        </w:rPr>
        <w:t>2）合同条款附件</w:t>
      </w:r>
    </w:p>
    <w:p>
      <w:pPr>
        <w:spacing w:line="480" w:lineRule="exact"/>
        <w:ind w:firstLine="840" w:firstLineChars="350"/>
        <w:rPr>
          <w:rFonts w:hint="eastAsia" w:ascii="宋体" w:hAnsi="宋体" w:cs="宋体"/>
          <w:sz w:val="24"/>
        </w:rPr>
      </w:pPr>
      <w:r>
        <w:rPr>
          <w:rFonts w:hint="eastAsia" w:ascii="宋体" w:hAnsi="宋体" w:cs="宋体"/>
          <w:sz w:val="24"/>
        </w:rPr>
        <w:t>附件1—货物清单（必须提供）</w:t>
      </w:r>
    </w:p>
    <w:p>
      <w:pPr>
        <w:spacing w:line="480" w:lineRule="exact"/>
        <w:ind w:firstLine="840" w:firstLineChars="350"/>
        <w:rPr>
          <w:rFonts w:hint="eastAsia" w:ascii="宋体" w:hAnsi="宋体" w:cs="宋体"/>
          <w:sz w:val="24"/>
        </w:rPr>
      </w:pPr>
      <w:r>
        <w:rPr>
          <w:rFonts w:hint="eastAsia" w:ascii="宋体" w:hAnsi="宋体" w:cs="宋体"/>
          <w:sz w:val="24"/>
        </w:rPr>
        <w:t>附件2—质量保证承诺（必须提供）</w:t>
      </w:r>
    </w:p>
    <w:p>
      <w:pPr>
        <w:spacing w:line="480" w:lineRule="exact"/>
        <w:ind w:firstLine="840" w:firstLineChars="350"/>
        <w:rPr>
          <w:rFonts w:hint="eastAsia" w:ascii="宋体" w:hAnsi="宋体" w:cs="宋体"/>
          <w:sz w:val="24"/>
        </w:rPr>
      </w:pPr>
      <w:r>
        <w:rPr>
          <w:rFonts w:hint="eastAsia" w:ascii="宋体" w:hAnsi="宋体" w:cs="宋体"/>
          <w:sz w:val="24"/>
        </w:rPr>
        <w:t>附件3—售后服务方案（必须提供）</w:t>
      </w:r>
    </w:p>
    <w:p>
      <w:pPr>
        <w:spacing w:line="480" w:lineRule="exact"/>
        <w:ind w:firstLine="840" w:firstLineChars="350"/>
        <w:rPr>
          <w:rFonts w:hint="eastAsia"/>
          <w:sz w:val="24"/>
        </w:rPr>
      </w:pPr>
      <w:r>
        <w:rPr>
          <w:rFonts w:hint="eastAsia" w:ascii="宋体" w:hAnsi="宋体" w:cs="宋体"/>
          <w:sz w:val="24"/>
        </w:rPr>
        <w:t>附件4—培训计划（若需培训，必须提供）</w:t>
      </w:r>
    </w:p>
    <w:p>
      <w:pPr>
        <w:spacing w:line="480" w:lineRule="exact"/>
        <w:ind w:firstLine="480" w:firstLineChars="200"/>
        <w:rPr>
          <w:rFonts w:hint="eastAsia" w:ascii="宋体" w:hAnsi="宋体" w:cs="宋体"/>
          <w:sz w:val="24"/>
        </w:rPr>
      </w:pPr>
      <w:r>
        <w:rPr>
          <w:rFonts w:hint="eastAsia" w:ascii="宋体" w:hAnsi="宋体" w:cs="宋体"/>
          <w:sz w:val="24"/>
        </w:rPr>
        <w:t>3）成交通知书</w:t>
      </w:r>
    </w:p>
    <w:p>
      <w:pPr>
        <w:spacing w:line="480" w:lineRule="exact"/>
        <w:ind w:firstLine="480" w:firstLineChars="200"/>
        <w:rPr>
          <w:rFonts w:hint="eastAsia" w:ascii="宋体" w:hAnsi="宋体" w:cs="宋体"/>
          <w:sz w:val="24"/>
        </w:rPr>
      </w:pPr>
      <w:r>
        <w:rPr>
          <w:rFonts w:hint="eastAsia" w:ascii="宋体" w:hAnsi="宋体" w:cs="宋体"/>
          <w:sz w:val="24"/>
        </w:rPr>
        <w:t>4）买方招标文件</w:t>
      </w:r>
    </w:p>
    <w:p>
      <w:pPr>
        <w:spacing w:line="480" w:lineRule="exact"/>
        <w:ind w:firstLine="480" w:firstLineChars="200"/>
        <w:rPr>
          <w:rFonts w:hint="eastAsia" w:ascii="宋体" w:hAnsi="宋体" w:cs="宋体"/>
          <w:sz w:val="24"/>
        </w:rPr>
      </w:pPr>
      <w:r>
        <w:rPr>
          <w:rFonts w:hint="eastAsia" w:ascii="宋体" w:hAnsi="宋体" w:cs="宋体"/>
          <w:sz w:val="24"/>
        </w:rPr>
        <w:t>5）卖方投标文件</w:t>
      </w:r>
    </w:p>
    <w:p>
      <w:pPr>
        <w:spacing w:line="480" w:lineRule="exact"/>
        <w:ind w:firstLine="480" w:firstLineChars="200"/>
        <w:rPr>
          <w:rFonts w:hint="eastAsia" w:ascii="宋体" w:hAnsi="宋体" w:cs="宋体"/>
          <w:sz w:val="24"/>
        </w:rPr>
      </w:pPr>
      <w:r>
        <w:rPr>
          <w:rFonts w:hint="eastAsia" w:ascii="宋体" w:hAnsi="宋体" w:cs="宋体"/>
          <w:sz w:val="24"/>
        </w:rPr>
        <w:t>3、考虑到买方将按照本合同向卖方支付货款，卖方在此保证全部按照合同的规定向买方提供货物和服务，并修补缺陷。</w:t>
      </w:r>
    </w:p>
    <w:p>
      <w:pPr>
        <w:spacing w:line="480" w:lineRule="exact"/>
        <w:ind w:firstLine="480" w:firstLineChars="200"/>
        <w:rPr>
          <w:rFonts w:hint="eastAsia" w:ascii="宋体" w:hAnsi="宋体" w:cs="宋体"/>
          <w:sz w:val="24"/>
        </w:rPr>
      </w:pPr>
      <w:r>
        <w:rPr>
          <w:rFonts w:hint="eastAsia" w:ascii="宋体" w:hAnsi="宋体" w:cs="宋体"/>
          <w:sz w:val="24"/>
        </w:rPr>
        <w:t>4、考虑到卖方提供的货物和服务并修补缺陷，买方在此保证按照合同规定时间和方式向卖方支付合同价或其他按合同规定应支付的金额。</w:t>
      </w:r>
    </w:p>
    <w:p>
      <w:pPr>
        <w:spacing w:line="480" w:lineRule="exact"/>
        <w:ind w:firstLine="480" w:firstLineChars="200"/>
        <w:rPr>
          <w:rFonts w:hint="eastAsia" w:ascii="宋体" w:hAnsi="宋体" w:cs="宋体"/>
          <w:sz w:val="24"/>
        </w:rPr>
      </w:pPr>
      <w:r>
        <w:rPr>
          <w:rFonts w:hint="eastAsia" w:ascii="宋体" w:hAnsi="宋体" w:cs="宋体"/>
          <w:sz w:val="24"/>
        </w:rPr>
        <w:t>5、履约保证金</w:t>
      </w:r>
    </w:p>
    <w:p>
      <w:pPr>
        <w:spacing w:line="480" w:lineRule="exact"/>
        <w:ind w:firstLine="480" w:firstLineChars="200"/>
        <w:rPr>
          <w:rFonts w:hint="eastAsia" w:ascii="宋体" w:hAnsi="宋体" w:cs="宋体"/>
          <w:sz w:val="24"/>
        </w:rPr>
      </w:pPr>
      <w:r>
        <w:rPr>
          <w:rFonts w:hint="eastAsia" w:ascii="宋体" w:hAnsi="宋体" w:cs="宋体"/>
          <w:sz w:val="24"/>
        </w:rPr>
        <w:t>5-1 卖方在签订合同前须向买方交纳合同总金额5%</w:t>
      </w:r>
      <w:r>
        <w:rPr>
          <w:rFonts w:hint="eastAsia" w:ascii="宋体" w:hAnsi="宋体" w:eastAsia="宋体" w:cs="宋体"/>
          <w:sz w:val="24"/>
          <w:u w:val="single"/>
        </w:rPr>
        <w:t>(即大写：人民币，小写：¥</w:t>
      </w:r>
      <w:r>
        <w:rPr>
          <w:rFonts w:hint="eastAsia" w:ascii="宋体" w:hAnsi="宋体" w:cs="宋体"/>
          <w:sz w:val="24"/>
          <w:u w:val="single"/>
          <w:lang w:val="en-US" w:eastAsia="zh-CN"/>
        </w:rPr>
        <w:t xml:space="preserve">   </w:t>
      </w:r>
      <w:r>
        <w:rPr>
          <w:rFonts w:hint="eastAsia" w:ascii="宋体" w:hAnsi="宋体" w:eastAsia="宋体" w:cs="宋体"/>
          <w:sz w:val="24"/>
          <w:u w:val="single"/>
        </w:rPr>
        <w:t>)</w:t>
      </w:r>
      <w:r>
        <w:rPr>
          <w:rFonts w:hint="eastAsia" w:ascii="宋体" w:hAnsi="宋体" w:eastAsia="宋体" w:cs="宋体"/>
          <w:sz w:val="24"/>
        </w:rPr>
        <w:t>，</w:t>
      </w:r>
      <w:r>
        <w:rPr>
          <w:rFonts w:hint="eastAsia" w:ascii="宋体" w:hAnsi="宋体" w:cs="宋体"/>
          <w:sz w:val="24"/>
        </w:rPr>
        <w:t>的履约保证金。</w:t>
      </w:r>
    </w:p>
    <w:p>
      <w:pPr>
        <w:spacing w:line="480" w:lineRule="exact"/>
        <w:ind w:firstLine="480" w:firstLineChars="200"/>
        <w:rPr>
          <w:rFonts w:hint="eastAsia" w:ascii="宋体" w:hAnsi="宋体" w:cs="宋体"/>
          <w:sz w:val="24"/>
        </w:rPr>
      </w:pPr>
      <w:r>
        <w:rPr>
          <w:rFonts w:hint="eastAsia" w:ascii="宋体" w:hAnsi="宋体" w:cs="宋体"/>
          <w:sz w:val="24"/>
        </w:rPr>
        <w:t>5-2 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hint="eastAsia" w:ascii="宋体" w:hAnsi="宋体" w:cs="宋体"/>
          <w:sz w:val="24"/>
        </w:rPr>
      </w:pPr>
      <w:r>
        <w:rPr>
          <w:rFonts w:hint="eastAsia" w:ascii="宋体" w:hAnsi="宋体" w:cs="宋体"/>
          <w:sz w:val="24"/>
        </w:rPr>
        <w:t>5-3 项目验收合格后，卖方持《申请支付履约保证金的函》到买方办理相关手续后，买方向卖方</w:t>
      </w:r>
      <w:r>
        <w:rPr>
          <w:rFonts w:hint="eastAsia" w:ascii="宋体" w:hAnsi="宋体" w:cs="宋体"/>
          <w:sz w:val="24"/>
          <w:lang w:val="en-US" w:eastAsia="zh-CN"/>
        </w:rPr>
        <w:t>30天内</w:t>
      </w:r>
      <w:r>
        <w:rPr>
          <w:rFonts w:hint="eastAsia" w:ascii="宋体" w:hAnsi="宋体" w:cs="宋体"/>
          <w:sz w:val="24"/>
        </w:rPr>
        <w:t>无息退还。</w:t>
      </w:r>
    </w:p>
    <w:p>
      <w:pPr>
        <w:spacing w:line="480" w:lineRule="exact"/>
        <w:ind w:firstLine="480" w:firstLineChars="200"/>
        <w:rPr>
          <w:rFonts w:hint="eastAsia" w:ascii="宋体" w:hAnsi="宋体" w:cs="宋体"/>
          <w:sz w:val="24"/>
        </w:rPr>
      </w:pPr>
      <w:r>
        <w:rPr>
          <w:rFonts w:hint="eastAsia" w:ascii="宋体" w:hAnsi="宋体" w:cs="宋体"/>
          <w:sz w:val="24"/>
        </w:rPr>
        <w:t>注：履约保证金转账信息</w:t>
      </w:r>
    </w:p>
    <w:p>
      <w:pPr>
        <w:spacing w:line="480" w:lineRule="exact"/>
        <w:ind w:firstLine="480" w:firstLineChars="200"/>
        <w:rPr>
          <w:rFonts w:hint="eastAsia" w:ascii="宋体" w:hAnsi="宋体" w:cs="宋体"/>
          <w:sz w:val="24"/>
        </w:rPr>
      </w:pPr>
      <w:r>
        <w:rPr>
          <w:rFonts w:hint="eastAsia" w:ascii="宋体" w:hAnsi="宋体" w:cs="宋体"/>
          <w:sz w:val="24"/>
        </w:rPr>
        <w:t>名称：西安铁路职业技术学院</w:t>
      </w:r>
    </w:p>
    <w:p>
      <w:pPr>
        <w:spacing w:line="480" w:lineRule="exact"/>
        <w:ind w:firstLine="480" w:firstLineChars="200"/>
        <w:rPr>
          <w:rFonts w:hint="eastAsia" w:ascii="宋体" w:hAnsi="宋体" w:cs="宋体"/>
          <w:sz w:val="24"/>
        </w:rPr>
      </w:pPr>
      <w:r>
        <w:rPr>
          <w:rFonts w:hint="eastAsia" w:ascii="宋体" w:hAnsi="宋体" w:cs="宋体"/>
          <w:sz w:val="24"/>
        </w:rPr>
        <w:t>纳税人识别号：12610100437202545W</w:t>
      </w:r>
    </w:p>
    <w:p>
      <w:pPr>
        <w:spacing w:line="480" w:lineRule="exact"/>
        <w:ind w:firstLine="480" w:firstLineChars="200"/>
        <w:rPr>
          <w:rFonts w:hint="default" w:ascii="宋体" w:hAnsi="宋体" w:eastAsia="宋体" w:cs="宋体"/>
          <w:sz w:val="24"/>
          <w:lang w:val="en-US" w:eastAsia="zh-CN"/>
        </w:rPr>
      </w:pPr>
      <w:r>
        <w:rPr>
          <w:rFonts w:hint="eastAsia" w:ascii="宋体" w:hAnsi="宋体" w:cs="宋体"/>
          <w:sz w:val="24"/>
        </w:rPr>
        <w:t>地址、电话：西安国际港务区港务大道396号   029-880922</w:t>
      </w:r>
      <w:r>
        <w:rPr>
          <w:rFonts w:hint="eastAsia" w:ascii="宋体" w:hAnsi="宋体" w:cs="宋体"/>
          <w:sz w:val="24"/>
          <w:lang w:val="en-US" w:eastAsia="zh-CN"/>
        </w:rPr>
        <w:t>01</w:t>
      </w:r>
    </w:p>
    <w:p>
      <w:pPr>
        <w:spacing w:line="480" w:lineRule="exact"/>
        <w:ind w:firstLine="480" w:firstLineChars="200"/>
        <w:rPr>
          <w:rFonts w:hint="eastAsia" w:ascii="宋体" w:hAnsi="宋体" w:cs="宋体"/>
          <w:sz w:val="24"/>
        </w:rPr>
      </w:pPr>
      <w:r>
        <w:rPr>
          <w:rFonts w:hint="eastAsia" w:ascii="宋体" w:hAnsi="宋体" w:cs="宋体"/>
          <w:sz w:val="24"/>
        </w:rPr>
        <w:t>开户行及账号：建行西安经济技术开发区支行 61001930041052515973</w:t>
      </w:r>
    </w:p>
    <w:p>
      <w:pPr>
        <w:spacing w:line="480" w:lineRule="exact"/>
        <w:ind w:firstLine="480" w:firstLineChars="200"/>
        <w:rPr>
          <w:rFonts w:hint="eastAsia" w:ascii="宋体" w:hAnsi="宋体" w:eastAsia="宋体" w:cs="宋体"/>
          <w:snapToGrid/>
          <w:kern w:val="0"/>
          <w:sz w:val="24"/>
          <w:szCs w:val="24"/>
          <w:lang w:eastAsia="zh-CN"/>
        </w:rPr>
      </w:pPr>
      <w:r>
        <w:rPr>
          <w:rFonts w:hint="eastAsia" w:ascii="宋体" w:hAnsi="宋体" w:cs="宋体"/>
          <w:sz w:val="24"/>
        </w:rPr>
        <w:t>6、付款方式：</w:t>
      </w:r>
      <w:r>
        <w:rPr>
          <w:rFonts w:hint="eastAsia" w:ascii="宋体" w:hAnsi="宋体" w:eastAsia="宋体" w:cs="宋体"/>
          <w:snapToGrid/>
          <w:kern w:val="0"/>
          <w:sz w:val="24"/>
          <w:szCs w:val="24"/>
          <w:lang w:eastAsia="zh-CN"/>
        </w:rPr>
        <w:t>货物全部运到采购人指定地方，交货完毕并经终验合格后，卖方持《终验合格单》原件和增值税专用发票在买方处办理百分之百（100%）货款的支付手续。</w:t>
      </w:r>
    </w:p>
    <w:p>
      <w:pPr>
        <w:spacing w:line="480" w:lineRule="exact"/>
        <w:ind w:firstLine="480" w:firstLineChars="200"/>
        <w:rPr>
          <w:rFonts w:hint="eastAsia" w:ascii="宋体" w:hAnsi="宋体" w:cs="宋体"/>
          <w:sz w:val="24"/>
        </w:rPr>
      </w:pPr>
      <w:r>
        <w:rPr>
          <w:rFonts w:hint="eastAsia" w:ascii="宋体" w:hAnsi="宋体" w:cs="宋体"/>
          <w:sz w:val="24"/>
        </w:rPr>
        <w:t>7、交货期：自合同签订后</w:t>
      </w:r>
      <w:r>
        <w:rPr>
          <w:rFonts w:hint="eastAsia" w:ascii="宋体" w:hAnsi="宋体" w:cs="宋体"/>
          <w:sz w:val="24"/>
          <w:u w:val="single"/>
        </w:rPr>
        <w:t xml:space="preserve">          </w:t>
      </w:r>
      <w:r>
        <w:rPr>
          <w:rFonts w:hint="eastAsia" w:ascii="宋体" w:hAnsi="宋体" w:cs="宋体"/>
          <w:sz w:val="24"/>
        </w:rPr>
        <w:t>个日历日。</w:t>
      </w:r>
    </w:p>
    <w:p>
      <w:pPr>
        <w:spacing w:line="480" w:lineRule="exact"/>
        <w:ind w:firstLine="480" w:firstLineChars="200"/>
        <w:rPr>
          <w:rFonts w:hint="eastAsia" w:ascii="宋体" w:hAnsi="宋体" w:cs="宋体"/>
          <w:sz w:val="24"/>
        </w:rPr>
      </w:pPr>
      <w:r>
        <w:rPr>
          <w:rFonts w:hint="eastAsia" w:ascii="宋体" w:hAnsi="宋体" w:cs="宋体"/>
          <w:sz w:val="24"/>
        </w:rPr>
        <w:t xml:space="preserve">   交货地点：西安铁路职业技术学院指定地点</w:t>
      </w:r>
    </w:p>
    <w:p>
      <w:pPr>
        <w:spacing w:line="480" w:lineRule="exact"/>
        <w:ind w:firstLine="480" w:firstLineChars="200"/>
        <w:rPr>
          <w:rFonts w:hint="eastAsia" w:ascii="宋体" w:hAnsi="宋体" w:cs="宋体"/>
          <w:sz w:val="24"/>
        </w:rPr>
      </w:pPr>
      <w:r>
        <w:rPr>
          <w:rFonts w:hint="eastAsia" w:ascii="宋体" w:hAnsi="宋体" w:cs="宋体"/>
          <w:sz w:val="24"/>
        </w:rPr>
        <w:t>8、本合同一式柒份，其中，买方伍份，卖方壹份，鉴证方备案壹份</w:t>
      </w:r>
      <w:r>
        <w:rPr>
          <w:rFonts w:hint="eastAsia" w:ascii="宋体" w:hAnsi="宋体" w:cs="宋体"/>
          <w:sz w:val="24"/>
          <w:lang w:val="en-US" w:eastAsia="zh-CN"/>
        </w:rPr>
        <w:t>每份均具有同等法律效力</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9、本合同由买卖双方</w:t>
      </w:r>
      <w:r>
        <w:rPr>
          <w:rFonts w:hint="eastAsia" w:ascii="宋体" w:hAnsi="宋体" w:cs="宋体"/>
          <w:sz w:val="24"/>
          <w:lang w:val="en-US" w:eastAsia="zh-CN"/>
        </w:rPr>
        <w:t>法定代表人/授权代表</w:t>
      </w:r>
      <w:r>
        <w:rPr>
          <w:rFonts w:hint="eastAsia" w:ascii="宋体" w:hAnsi="宋体" w:cs="宋体"/>
          <w:sz w:val="24"/>
        </w:rPr>
        <w:t>及鉴证方共同签字</w:t>
      </w:r>
      <w:r>
        <w:rPr>
          <w:rFonts w:hint="eastAsia" w:ascii="宋体" w:hAnsi="宋体" w:cs="宋体"/>
          <w:sz w:val="24"/>
          <w:lang w:val="en-US" w:eastAsia="zh-CN"/>
        </w:rPr>
        <w:t>并加</w:t>
      </w:r>
      <w:r>
        <w:rPr>
          <w:rFonts w:hint="eastAsia" w:ascii="宋体" w:hAnsi="宋体" w:cs="宋体"/>
          <w:sz w:val="24"/>
        </w:rPr>
        <w:t>盖</w:t>
      </w:r>
      <w:r>
        <w:rPr>
          <w:rFonts w:hint="eastAsia" w:ascii="宋体" w:hAnsi="宋体" w:cs="宋体"/>
          <w:sz w:val="24"/>
          <w:lang w:val="en-US" w:eastAsia="zh-CN"/>
        </w:rPr>
        <w:t>公</w:t>
      </w:r>
      <w:r>
        <w:rPr>
          <w:rFonts w:hint="eastAsia" w:ascii="宋体" w:hAnsi="宋体" w:cs="宋体"/>
          <w:sz w:val="24"/>
        </w:rPr>
        <w:t>章</w:t>
      </w:r>
      <w:r>
        <w:rPr>
          <w:rFonts w:hint="eastAsia" w:ascii="宋体" w:hAnsi="宋体" w:cs="宋体"/>
          <w:sz w:val="24"/>
          <w:lang w:val="en-US" w:eastAsia="zh-CN"/>
        </w:rPr>
        <w:t>/合同专用章</w:t>
      </w:r>
      <w:r>
        <w:rPr>
          <w:rFonts w:hint="eastAsia" w:ascii="宋体" w:hAnsi="宋体" w:cs="宋体"/>
          <w:sz w:val="24"/>
        </w:rPr>
        <w:t>之日起生效。</w:t>
      </w:r>
    </w:p>
    <w:p>
      <w:pPr>
        <w:pStyle w:val="2"/>
        <w:rPr>
          <w:rFonts w:hint="eastAsia"/>
        </w:rPr>
      </w:pPr>
    </w:p>
    <w:p>
      <w:pPr>
        <w:pStyle w:val="2"/>
        <w:rPr>
          <w:rFonts w:hint="eastAsia"/>
        </w:rPr>
      </w:pPr>
    </w:p>
    <w:tbl>
      <w:tblPr>
        <w:tblStyle w:val="55"/>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tblPrEx>
          <w:tblCellMar>
            <w:top w:w="0" w:type="dxa"/>
            <w:left w:w="108" w:type="dxa"/>
            <w:bottom w:w="0" w:type="dxa"/>
            <w:right w:w="108" w:type="dxa"/>
          </w:tblCellMar>
        </w:tblPrEx>
        <w:trPr>
          <w:trHeight w:val="3561" w:hRule="atLeast"/>
        </w:trPr>
        <w:tc>
          <w:tcPr>
            <w:tcW w:w="4803"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买方名称：西安铁路职业技术学院 </w:t>
            </w:r>
          </w:p>
          <w:p>
            <w:pPr>
              <w:spacing w:line="480" w:lineRule="exact"/>
              <w:ind w:firstLine="480" w:firstLineChars="200"/>
              <w:rPr>
                <w:rFonts w:hint="eastAsia" w:ascii="宋体" w:hAnsi="宋体" w:cs="宋体"/>
                <w:sz w:val="24"/>
              </w:rPr>
            </w:pPr>
            <w:r>
              <w:rPr>
                <w:rFonts w:hint="eastAsia" w:ascii="宋体" w:hAnsi="宋体" w:cs="宋体"/>
                <w:sz w:val="24"/>
              </w:rPr>
              <w:t xml:space="preserve">地    址：西安市国际港务区港务大道396号 </w:t>
            </w:r>
          </w:p>
          <w:p>
            <w:pPr>
              <w:spacing w:line="480" w:lineRule="exact"/>
              <w:ind w:firstLine="480" w:firstLineChars="200"/>
              <w:rPr>
                <w:rFonts w:hint="eastAsia" w:ascii="宋体" w:hAnsi="宋体" w:cs="宋体"/>
                <w:sz w:val="24"/>
              </w:rPr>
            </w:pPr>
            <w:r>
              <w:rPr>
                <w:rFonts w:hint="eastAsia" w:ascii="宋体" w:hAnsi="宋体" w:cs="宋体"/>
                <w:sz w:val="24"/>
              </w:rPr>
              <w:t>邮    编：</w:t>
            </w:r>
            <w:r>
              <w:rPr>
                <w:rFonts w:hint="eastAsia" w:ascii="宋体" w:hAnsi="宋体" w:eastAsia="宋体" w:cs="宋体"/>
                <w:sz w:val="24"/>
              </w:rPr>
              <w:t>710026</w:t>
            </w:r>
          </w:p>
          <w:p>
            <w:pPr>
              <w:spacing w:line="480" w:lineRule="exact"/>
              <w:ind w:firstLine="480" w:firstLineChars="200"/>
              <w:rPr>
                <w:rFonts w:hint="eastAsia" w:ascii="宋体" w:hAnsi="宋体" w:cs="宋体"/>
                <w:sz w:val="24"/>
              </w:rPr>
            </w:pPr>
            <w:r>
              <w:rPr>
                <w:rFonts w:hint="eastAsia" w:ascii="宋体" w:hAnsi="宋体" w:cs="宋体"/>
                <w:sz w:val="24"/>
              </w:rPr>
              <w:t>电    话：</w:t>
            </w:r>
          </w:p>
          <w:p>
            <w:pPr>
              <w:spacing w:line="480" w:lineRule="exact"/>
              <w:ind w:firstLine="480" w:firstLineChars="200"/>
              <w:rPr>
                <w:rFonts w:hint="eastAsia" w:ascii="宋体" w:hAnsi="宋体" w:eastAsia="宋体" w:cs="宋体"/>
                <w:sz w:val="24"/>
                <w:lang w:val="en-US" w:eastAsia="zh-CN"/>
              </w:rPr>
            </w:pPr>
            <w:r>
              <w:rPr>
                <w:rFonts w:hint="eastAsia" w:ascii="宋体" w:hAnsi="宋体" w:cs="宋体"/>
                <w:sz w:val="24"/>
              </w:rPr>
              <w:t>传    真：</w:t>
            </w:r>
            <w:r>
              <w:rPr>
                <w:rFonts w:hint="eastAsia" w:ascii="宋体" w:hAnsi="宋体" w:cs="宋体"/>
                <w:sz w:val="24"/>
                <w:lang w:val="en-US" w:eastAsia="zh-CN"/>
              </w:rPr>
              <w:t>/</w:t>
            </w:r>
          </w:p>
          <w:p>
            <w:pPr>
              <w:spacing w:line="480" w:lineRule="exact"/>
              <w:ind w:firstLine="480" w:firstLineChars="200"/>
              <w:rPr>
                <w:rFonts w:hint="eastAsia" w:ascii="宋体" w:hAnsi="宋体" w:cs="宋体"/>
                <w:sz w:val="24"/>
              </w:rPr>
            </w:pPr>
          </w:p>
          <w:p>
            <w:pPr>
              <w:spacing w:line="480" w:lineRule="exact"/>
              <w:ind w:firstLine="480" w:firstLineChars="200"/>
              <w:rPr>
                <w:rFonts w:hint="eastAsia" w:ascii="宋体" w:hAnsi="宋体" w:cs="宋体"/>
                <w:sz w:val="24"/>
              </w:rPr>
            </w:pPr>
            <w:r>
              <w:rPr>
                <w:rFonts w:hint="eastAsia" w:ascii="宋体" w:hAnsi="宋体" w:cs="宋体"/>
                <w:sz w:val="24"/>
                <w:lang w:val="en-US" w:eastAsia="zh-CN"/>
              </w:rPr>
              <w:t>法定代表人/授权</w:t>
            </w:r>
            <w:r>
              <w:rPr>
                <w:rFonts w:hint="eastAsia" w:ascii="宋体" w:hAnsi="宋体" w:cs="宋体"/>
                <w:sz w:val="24"/>
              </w:rPr>
              <w:t>代表签字：</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rPr>
            </w:pPr>
            <w:r>
              <w:rPr>
                <w:rFonts w:hint="eastAsia" w:ascii="宋体" w:hAnsi="宋体" w:cs="宋体"/>
                <w:sz w:val="24"/>
              </w:rPr>
              <w:t xml:space="preserve"> 年  月  日       </w:t>
            </w:r>
          </w:p>
        </w:tc>
        <w:tc>
          <w:tcPr>
            <w:tcW w:w="4615"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卖方名称： </w:t>
            </w:r>
          </w:p>
          <w:p>
            <w:pPr>
              <w:spacing w:line="480" w:lineRule="exact"/>
              <w:ind w:firstLine="480" w:firstLineChars="200"/>
              <w:rPr>
                <w:rFonts w:hint="eastAsia" w:ascii="宋体" w:hAnsi="宋体" w:cs="宋体"/>
                <w:sz w:val="24"/>
              </w:rPr>
            </w:pPr>
            <w:r>
              <w:rPr>
                <w:rFonts w:hint="eastAsia" w:ascii="宋体" w:hAnsi="宋体" w:cs="宋体"/>
                <w:sz w:val="24"/>
              </w:rPr>
              <w:t>地    址：</w:t>
            </w:r>
          </w:p>
          <w:p>
            <w:pPr>
              <w:spacing w:line="480" w:lineRule="exact"/>
              <w:ind w:firstLine="480" w:firstLineChars="200"/>
              <w:rPr>
                <w:rFonts w:hint="eastAsia" w:ascii="宋体" w:hAnsi="宋体" w:cs="宋体"/>
                <w:sz w:val="24"/>
              </w:rPr>
            </w:pPr>
            <w:r>
              <w:rPr>
                <w:rFonts w:hint="eastAsia" w:ascii="宋体" w:hAnsi="宋体" w:cs="宋体"/>
                <w:sz w:val="24"/>
              </w:rPr>
              <w:t xml:space="preserve">邮    编： </w:t>
            </w:r>
          </w:p>
          <w:p>
            <w:pPr>
              <w:spacing w:line="480" w:lineRule="exact"/>
              <w:ind w:firstLine="480" w:firstLineChars="200"/>
              <w:rPr>
                <w:rFonts w:hint="eastAsia" w:ascii="宋体" w:hAnsi="宋体" w:cs="宋体"/>
                <w:sz w:val="24"/>
              </w:rPr>
            </w:pPr>
            <w:r>
              <w:rPr>
                <w:rFonts w:hint="eastAsia" w:ascii="宋体" w:hAnsi="宋体" w:cs="宋体"/>
                <w:sz w:val="24"/>
              </w:rPr>
              <w:t>电    话：</w:t>
            </w:r>
          </w:p>
          <w:p>
            <w:pPr>
              <w:spacing w:line="480" w:lineRule="exact"/>
              <w:ind w:firstLine="480" w:firstLineChars="200"/>
              <w:rPr>
                <w:rFonts w:hint="eastAsia" w:ascii="宋体" w:hAnsi="宋体" w:cs="宋体"/>
                <w:sz w:val="24"/>
              </w:rPr>
            </w:pPr>
            <w:r>
              <w:rPr>
                <w:rFonts w:hint="eastAsia" w:ascii="宋体" w:hAnsi="宋体" w:cs="宋体"/>
                <w:sz w:val="24"/>
              </w:rPr>
              <w:t xml:space="preserve">传    真：  </w:t>
            </w:r>
          </w:p>
          <w:p>
            <w:pPr>
              <w:spacing w:line="480" w:lineRule="exact"/>
              <w:ind w:firstLine="480" w:firstLineChars="200"/>
              <w:rPr>
                <w:rFonts w:hint="eastAsia" w:ascii="宋体" w:hAnsi="宋体" w:cs="宋体"/>
                <w:sz w:val="24"/>
              </w:rPr>
            </w:pPr>
            <w:r>
              <w:rPr>
                <w:rFonts w:hint="eastAsia" w:ascii="宋体" w:hAnsi="宋体" w:cs="宋体"/>
                <w:sz w:val="24"/>
              </w:rPr>
              <w:t xml:space="preserve">开户银行： </w:t>
            </w:r>
          </w:p>
          <w:p>
            <w:pPr>
              <w:spacing w:line="480" w:lineRule="exact"/>
              <w:ind w:firstLine="480" w:firstLineChars="200"/>
              <w:rPr>
                <w:rFonts w:hint="eastAsia" w:ascii="宋体" w:hAnsi="宋体" w:cs="宋体"/>
                <w:sz w:val="24"/>
              </w:rPr>
            </w:pPr>
            <w:r>
              <w:rPr>
                <w:rFonts w:hint="eastAsia" w:ascii="宋体" w:hAnsi="宋体" w:cs="宋体"/>
                <w:sz w:val="24"/>
              </w:rPr>
              <w:t xml:space="preserve">帐    号： </w:t>
            </w:r>
          </w:p>
          <w:p>
            <w:pPr>
              <w:spacing w:line="480" w:lineRule="exact"/>
              <w:ind w:firstLine="480" w:firstLineChars="200"/>
              <w:rPr>
                <w:rFonts w:hint="eastAsia" w:ascii="宋体" w:hAnsi="宋体" w:eastAsia="宋体" w:cs="宋体"/>
                <w:sz w:val="24"/>
                <w:lang w:eastAsia="zh-CN"/>
              </w:rPr>
            </w:pPr>
            <w:r>
              <w:rPr>
                <w:rFonts w:hint="eastAsia" w:ascii="宋体" w:hAnsi="宋体" w:cs="宋体"/>
                <w:sz w:val="24"/>
                <w:lang w:val="en-US" w:eastAsia="zh-CN"/>
              </w:rPr>
              <w:t>法定代表人/授权</w:t>
            </w:r>
            <w:r>
              <w:rPr>
                <w:rFonts w:hint="eastAsia" w:ascii="宋体" w:hAnsi="宋体" w:cs="宋体"/>
                <w:sz w:val="24"/>
              </w:rPr>
              <w:t>代表签字</w:t>
            </w:r>
            <w:r>
              <w:rPr>
                <w:rFonts w:hint="eastAsia" w:ascii="宋体" w:hAnsi="宋体" w:cs="宋体"/>
                <w:sz w:val="24"/>
                <w:lang w:eastAsia="zh-CN"/>
              </w:rPr>
              <w:t>：</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w:t>
            </w:r>
          </w:p>
        </w:tc>
      </w:tr>
    </w:tbl>
    <w:p>
      <w:pPr>
        <w:spacing w:line="480" w:lineRule="auto"/>
        <w:rPr>
          <w:rFonts w:hint="eastAsia" w:ascii="Times New Roman" w:hAnsi="Times New Roman" w:eastAsia="宋体" w:cs="Times New Roman"/>
          <w:sz w:val="24"/>
          <w:szCs w:val="20"/>
        </w:rPr>
      </w:pP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鉴证方名称：</w:t>
      </w:r>
      <w:r>
        <w:rPr>
          <w:rFonts w:hint="eastAsia" w:ascii="宋体" w:hAnsi="宋体" w:eastAsia="宋体" w:cs="宋体"/>
          <w:sz w:val="24"/>
          <w:szCs w:val="20"/>
          <w:lang w:val="en-US" w:eastAsia="zh-CN"/>
        </w:rPr>
        <w:t>中昊项目管理有限公司</w:t>
      </w: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地      址：</w:t>
      </w:r>
      <w:r>
        <w:rPr>
          <w:rFonts w:hint="eastAsia" w:ascii="宋体" w:hAnsi="宋体" w:eastAsia="宋体" w:cs="宋体"/>
          <w:color w:val="000000"/>
          <w:kern w:val="0"/>
          <w:sz w:val="24"/>
          <w:szCs w:val="24"/>
          <w:lang w:val="en-US" w:eastAsia="zh-CN" w:bidi="ar"/>
        </w:rPr>
        <w:t>西安市高新区丈八街办团结南路35号高新新天地2号楼2402室</w:t>
      </w: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邮      编：</w:t>
      </w:r>
      <w:r>
        <w:rPr>
          <w:rFonts w:hint="eastAsia" w:ascii="宋体" w:hAnsi="宋体" w:eastAsia="宋体" w:cs="宋体"/>
          <w:color w:val="000000"/>
          <w:kern w:val="0"/>
          <w:sz w:val="24"/>
          <w:szCs w:val="24"/>
          <w:lang w:val="en-US" w:eastAsia="zh-CN" w:bidi="ar"/>
        </w:rPr>
        <w:t>710075</w:t>
      </w: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鉴证方代表签字：</w:t>
      </w: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 xml:space="preserve">鉴证方盖章：                                </w:t>
      </w:r>
    </w:p>
    <w:p>
      <w:pPr>
        <w:spacing w:line="48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 xml:space="preserve">                         年  月  日</w:t>
      </w:r>
    </w:p>
    <w:p>
      <w:pPr>
        <w:spacing w:line="480" w:lineRule="exact"/>
        <w:ind w:firstLine="480" w:firstLineChars="200"/>
        <w:rPr>
          <w:rFonts w:hint="eastAsia" w:ascii="宋体" w:hAnsi="宋体" w:cs="宋体"/>
          <w:sz w:val="24"/>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autoSpaceDE w:val="0"/>
        <w:autoSpaceDN w:val="0"/>
        <w:spacing w:line="480" w:lineRule="exact"/>
        <w:rPr>
          <w:rFonts w:hint="eastAsia" w:ascii="宋体" w:hAnsi="宋体" w:cs="宋体"/>
          <w:sz w:val="24"/>
        </w:rPr>
      </w:pPr>
      <w:r>
        <w:rPr>
          <w:rFonts w:hint="eastAsia" w:ascii="宋体" w:hAnsi="宋体" w:cs="宋体"/>
          <w:sz w:val="24"/>
        </w:rPr>
        <w:t>二、合同条款</w:t>
      </w:r>
    </w:p>
    <w:p>
      <w:pPr>
        <w:autoSpaceDE w:val="0"/>
        <w:autoSpaceDN w:val="0"/>
        <w:adjustRightInd w:val="0"/>
        <w:snapToGrid w:val="0"/>
        <w:spacing w:line="480" w:lineRule="exact"/>
        <w:ind w:firstLine="480" w:firstLineChars="200"/>
        <w:rPr>
          <w:rFonts w:hint="eastAsia" w:ascii="宋体" w:hAnsi="宋体" w:cs="宋体"/>
          <w:kern w:val="0"/>
          <w:sz w:val="24"/>
        </w:rPr>
      </w:pPr>
      <w:r>
        <w:rPr>
          <w:rFonts w:hint="eastAsia" w:ascii="宋体" w:hAnsi="宋体" w:cs="宋体"/>
          <w:kern w:val="0"/>
          <w:sz w:val="24"/>
        </w:rPr>
        <w:t>1、定义</w:t>
      </w:r>
    </w:p>
    <w:p>
      <w:pPr>
        <w:autoSpaceDE w:val="0"/>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本合同下列术语应解释为：</w:t>
      </w:r>
    </w:p>
    <w:p>
      <w:pPr>
        <w:spacing w:line="480" w:lineRule="exact"/>
        <w:ind w:firstLine="480" w:firstLineChars="200"/>
        <w:rPr>
          <w:rFonts w:hint="eastAsia" w:ascii="宋体" w:hAnsi="宋体" w:cs="宋体"/>
          <w:sz w:val="24"/>
        </w:rPr>
      </w:pPr>
      <w:r>
        <w:rPr>
          <w:rFonts w:hint="eastAsia" w:ascii="宋体" w:hAnsi="宋体" w:cs="宋体"/>
          <w:sz w:val="24"/>
        </w:rPr>
        <w:t>1-1、“合同”系指买卖双方及鉴证方签署的、合同格式中载明的买卖双方所达成的协议，包括所有的附件、附录和招、投标文件所提到的构成合同的所有文件。</w:t>
      </w:r>
    </w:p>
    <w:p>
      <w:pPr>
        <w:spacing w:line="480" w:lineRule="exact"/>
        <w:ind w:firstLine="480" w:firstLineChars="200"/>
        <w:rPr>
          <w:rFonts w:hint="eastAsia" w:ascii="宋体" w:hAnsi="宋体" w:cs="宋体"/>
          <w:sz w:val="24"/>
        </w:rPr>
      </w:pPr>
      <w:r>
        <w:rPr>
          <w:rFonts w:hint="eastAsia" w:ascii="宋体" w:hAnsi="宋体" w:cs="宋体"/>
          <w:sz w:val="24"/>
        </w:rPr>
        <w:t>1-2、“合同价”系指根据本合同规定卖方在正确地完全履行合同义务后买方应支付给卖方的价款。</w:t>
      </w:r>
    </w:p>
    <w:p>
      <w:pPr>
        <w:adjustRightInd w:val="0"/>
        <w:spacing w:line="480" w:lineRule="exact"/>
        <w:ind w:firstLine="480" w:firstLineChars="200"/>
        <w:rPr>
          <w:rFonts w:hint="eastAsia" w:ascii="宋体" w:hAnsi="宋体" w:cs="宋体"/>
          <w:sz w:val="24"/>
        </w:rPr>
      </w:pPr>
      <w:r>
        <w:rPr>
          <w:rFonts w:hint="eastAsia" w:ascii="宋体" w:hAnsi="宋体" w:cs="宋体"/>
          <w:sz w:val="24"/>
        </w:rPr>
        <w:t>1-3、“货物”系指卖方根据本合同规定须向买方提供的一切产品、部件或其它材料。</w:t>
      </w:r>
    </w:p>
    <w:p>
      <w:pPr>
        <w:adjustRightInd w:val="0"/>
        <w:spacing w:line="480" w:lineRule="exact"/>
        <w:ind w:firstLine="480" w:firstLineChars="200"/>
        <w:rPr>
          <w:rFonts w:hint="eastAsia" w:ascii="宋体" w:hAnsi="宋体" w:cs="宋体"/>
          <w:sz w:val="24"/>
        </w:rPr>
      </w:pPr>
      <w:r>
        <w:rPr>
          <w:rFonts w:hint="eastAsia" w:ascii="宋体" w:hAnsi="宋体" w:cs="宋体"/>
          <w:sz w:val="24"/>
        </w:rPr>
        <w:t>1-4、“配套服务”系指根据本合同规定卖方承担与供货有关的辅助服务如运输、保险以及其它的伴随服务，例如调试、提供技术援助、培训和合同中规定卖方应承担的其它义务。</w:t>
      </w:r>
    </w:p>
    <w:p>
      <w:pPr>
        <w:adjustRightInd w:val="0"/>
        <w:spacing w:line="480" w:lineRule="exact"/>
        <w:ind w:firstLine="480" w:firstLineChars="200"/>
        <w:rPr>
          <w:rFonts w:hint="eastAsia"/>
        </w:rPr>
      </w:pPr>
      <w:r>
        <w:rPr>
          <w:rFonts w:hint="eastAsia" w:ascii="宋体" w:hAnsi="宋体" w:cs="宋体"/>
          <w:sz w:val="24"/>
        </w:rPr>
        <w:t>1-5、“配套施工”系指根据本合同规定卖方承担与供货有关的辅助施工，例如布线、装饰装修、修缮和合同中规定卖方应承担的其它义务。</w:t>
      </w:r>
    </w:p>
    <w:p>
      <w:pPr>
        <w:adjustRightInd w:val="0"/>
        <w:spacing w:line="480" w:lineRule="exact"/>
        <w:ind w:firstLine="480" w:firstLineChars="200"/>
        <w:rPr>
          <w:rFonts w:hint="eastAsia" w:ascii="宋体" w:hAnsi="宋体" w:cs="宋体"/>
          <w:sz w:val="24"/>
        </w:rPr>
      </w:pPr>
      <w:r>
        <w:rPr>
          <w:rFonts w:hint="eastAsia" w:ascii="宋体" w:hAnsi="宋体" w:cs="宋体"/>
          <w:sz w:val="24"/>
        </w:rPr>
        <w:t>1-6、“项目现场”系指本合同项下货物安装、运行的场地。</w:t>
      </w:r>
    </w:p>
    <w:p>
      <w:pPr>
        <w:spacing w:line="480" w:lineRule="exact"/>
        <w:ind w:firstLine="480" w:firstLineChars="200"/>
        <w:rPr>
          <w:rFonts w:hint="eastAsia" w:ascii="宋体" w:hAnsi="宋体" w:cs="宋体"/>
          <w:sz w:val="24"/>
        </w:rPr>
      </w:pPr>
      <w:r>
        <w:rPr>
          <w:rFonts w:hint="eastAsia" w:ascii="宋体" w:hAnsi="宋体" w:cs="宋体"/>
          <w:sz w:val="24"/>
        </w:rPr>
        <w:t>1-7、“合同条款”系指本合同条款。</w:t>
      </w:r>
    </w:p>
    <w:p>
      <w:pPr>
        <w:spacing w:line="480" w:lineRule="exact"/>
        <w:ind w:firstLine="480" w:firstLineChars="200"/>
        <w:rPr>
          <w:rFonts w:hint="eastAsia" w:ascii="宋体" w:hAnsi="宋体" w:cs="宋体"/>
          <w:sz w:val="24"/>
        </w:rPr>
      </w:pPr>
      <w:r>
        <w:rPr>
          <w:rFonts w:hint="eastAsia" w:ascii="宋体" w:hAnsi="宋体" w:cs="宋体"/>
          <w:sz w:val="24"/>
        </w:rPr>
        <w:t>1-8、“买方”是指购买货物及配套服务的单位即</w:t>
      </w:r>
      <w:r>
        <w:rPr>
          <w:rFonts w:hint="eastAsia" w:ascii="宋体" w:hAnsi="宋体" w:cs="宋体"/>
          <w:kern w:val="0"/>
          <w:sz w:val="24"/>
        </w:rPr>
        <w:t>西安铁路职业技术学院</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1-9、“卖方”是指提供本合同内的货物及配套服务的公司或其它实体即</w:t>
      </w:r>
      <w:r>
        <w:rPr>
          <w:rFonts w:hint="eastAsia" w:ascii="宋体" w:hAnsi="宋体" w:cs="宋体"/>
          <w:b/>
          <w:bCs/>
          <w:sz w:val="24"/>
          <w:u w:val="single"/>
        </w:rPr>
        <w:t xml:space="preserve">          </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1-10、“天”指日历天数。</w:t>
      </w:r>
    </w:p>
    <w:p>
      <w:pPr>
        <w:spacing w:line="480" w:lineRule="exact"/>
        <w:ind w:firstLine="480" w:firstLineChars="200"/>
        <w:rPr>
          <w:rFonts w:hint="eastAsia" w:ascii="宋体" w:hAnsi="宋体" w:cs="宋体"/>
          <w:sz w:val="24"/>
        </w:rPr>
      </w:pPr>
      <w:r>
        <w:rPr>
          <w:rFonts w:hint="eastAsia" w:ascii="宋体" w:hAnsi="宋体" w:cs="宋体"/>
          <w:kern w:val="0"/>
          <w:sz w:val="24"/>
        </w:rPr>
        <w:t>2、</w:t>
      </w:r>
      <w:r>
        <w:rPr>
          <w:rFonts w:hint="eastAsia" w:ascii="宋体" w:hAnsi="宋体" w:cs="宋体"/>
          <w:sz w:val="24"/>
        </w:rPr>
        <w:t>使用合同文件和资料</w:t>
      </w:r>
    </w:p>
    <w:p>
      <w:pPr>
        <w:spacing w:line="480" w:lineRule="exact"/>
        <w:ind w:firstLine="480" w:firstLineChars="200"/>
        <w:rPr>
          <w:rFonts w:hint="eastAsia" w:ascii="宋体" w:hAnsi="宋体" w:cs="宋体"/>
          <w:sz w:val="24"/>
        </w:rPr>
      </w:pPr>
      <w:r>
        <w:rPr>
          <w:rFonts w:hint="eastAsia" w:ascii="宋体" w:hAnsi="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宋体" w:hAnsi="宋体" w:cs="宋体"/>
          <w:sz w:val="24"/>
        </w:rPr>
      </w:pPr>
      <w:r>
        <w:rPr>
          <w:rFonts w:hint="eastAsia" w:ascii="宋体" w:hAnsi="宋体" w:cs="宋体"/>
          <w:sz w:val="24"/>
        </w:rPr>
        <w:t>2-2、没有买方事先书面同意，除了履行本合同之外，卖方不应使用合同条款第2-1条所列举的任何文件和资料。</w:t>
      </w:r>
    </w:p>
    <w:p>
      <w:pPr>
        <w:spacing w:line="480" w:lineRule="exact"/>
        <w:ind w:firstLine="480" w:firstLineChars="200"/>
        <w:rPr>
          <w:rFonts w:hint="eastAsia" w:ascii="宋体" w:hAnsi="宋体" w:cs="宋体"/>
          <w:sz w:val="24"/>
        </w:rPr>
      </w:pPr>
      <w:r>
        <w:rPr>
          <w:rFonts w:hint="eastAsia" w:ascii="宋体" w:hAnsi="宋体" w:cs="宋体"/>
          <w:sz w:val="24"/>
        </w:rPr>
        <w:t>2-3、除了合同本身以外，合同条款第2-1条所列举的任何文件是买方的财产。如果买方有要求，卖方在完成合同后应将这些文件及全部复制件还给买方。</w:t>
      </w:r>
    </w:p>
    <w:p>
      <w:pPr>
        <w:spacing w:line="480" w:lineRule="exact"/>
        <w:ind w:firstLine="480" w:firstLineChars="200"/>
        <w:rPr>
          <w:rFonts w:hint="eastAsia" w:ascii="宋体" w:hAnsi="宋体" w:cs="宋体"/>
          <w:sz w:val="24"/>
        </w:rPr>
      </w:pPr>
      <w:r>
        <w:rPr>
          <w:rFonts w:hint="eastAsia" w:ascii="宋体" w:hAnsi="宋体" w:cs="宋体"/>
          <w:sz w:val="24"/>
        </w:rPr>
        <w:t>3、专利权</w:t>
      </w:r>
    </w:p>
    <w:p>
      <w:pPr>
        <w:spacing w:line="480" w:lineRule="exact"/>
        <w:ind w:firstLine="480" w:firstLineChars="200"/>
        <w:rPr>
          <w:rFonts w:hint="eastAsia" w:ascii="宋体" w:hAnsi="宋体" w:cs="宋体"/>
          <w:sz w:val="24"/>
        </w:rPr>
      </w:pPr>
      <w:r>
        <w:rPr>
          <w:rFonts w:hint="eastAsia" w:ascii="宋体" w:hAnsi="宋体" w:cs="宋体"/>
          <w:sz w:val="24"/>
        </w:rPr>
        <w:t>卖方应保证，买方在使用该货物或货物的任何一部分，免受第三方提出的侵犯（其专利权）、商标权、著作权或其它知识产权的起诉。</w:t>
      </w:r>
    </w:p>
    <w:p>
      <w:pPr>
        <w:spacing w:line="480" w:lineRule="exact"/>
        <w:ind w:firstLine="480" w:firstLineChars="200"/>
        <w:rPr>
          <w:rFonts w:hint="eastAsia" w:ascii="宋体" w:hAnsi="宋体" w:cs="宋体"/>
          <w:sz w:val="24"/>
        </w:rPr>
      </w:pPr>
      <w:r>
        <w:rPr>
          <w:rFonts w:hint="eastAsia" w:ascii="宋体" w:hAnsi="宋体" w:cs="宋体"/>
          <w:sz w:val="24"/>
        </w:rPr>
        <w:t>4、技术规格</w:t>
      </w:r>
    </w:p>
    <w:p>
      <w:pPr>
        <w:spacing w:line="480" w:lineRule="exact"/>
        <w:ind w:firstLine="480" w:firstLineChars="200"/>
        <w:rPr>
          <w:rFonts w:hint="eastAsia" w:ascii="宋体" w:hAnsi="宋体" w:cs="宋体"/>
          <w:sz w:val="24"/>
        </w:rPr>
      </w:pPr>
      <w:r>
        <w:rPr>
          <w:rFonts w:hint="eastAsia" w:ascii="宋体" w:hAnsi="宋体" w:cs="宋体"/>
          <w:sz w:val="24"/>
        </w:rPr>
        <w:t>本合同下交付的产品必须等同或优于本项目招标文件《技术规格与要求》所述的标准。若卖方在其投标文件中承诺的技术标准优于本项目招标文件《技术规格与要求》所述标准的，按投标文件的承诺执行。</w:t>
      </w:r>
    </w:p>
    <w:p>
      <w:pPr>
        <w:autoSpaceDE w:val="0"/>
        <w:autoSpaceDN w:val="0"/>
        <w:spacing w:line="480" w:lineRule="exact"/>
        <w:rPr>
          <w:rFonts w:hint="eastAsia" w:ascii="宋体" w:hAnsi="宋体" w:cs="宋体"/>
          <w:sz w:val="24"/>
        </w:rPr>
      </w:pPr>
      <w:r>
        <w:rPr>
          <w:rFonts w:hint="eastAsia" w:ascii="宋体" w:hAnsi="宋体" w:cs="宋体"/>
          <w:sz w:val="24"/>
        </w:rPr>
        <w:t xml:space="preserve">   5、检验和测试</w:t>
      </w:r>
    </w:p>
    <w:p>
      <w:pPr>
        <w:autoSpaceDE w:val="0"/>
        <w:autoSpaceDN w:val="0"/>
        <w:spacing w:line="480" w:lineRule="exact"/>
        <w:rPr>
          <w:rFonts w:hint="eastAsia" w:ascii="宋体" w:hAnsi="宋体" w:cs="宋体"/>
          <w:sz w:val="24"/>
        </w:rPr>
      </w:pPr>
      <w:r>
        <w:rPr>
          <w:rFonts w:hint="eastAsia" w:ascii="宋体" w:hAnsi="宋体" w:cs="宋体"/>
          <w:sz w:val="24"/>
        </w:rPr>
        <w:t xml:space="preserve">    5-1、买方或其代表应有权检验和测试货物及其部件，以确认所供货物是否符合合同规格的要求，并且不承担额外的费用。买方要求进行的检验和测试，以及在何处进行这些检验和测试，以书面形式通知卖方。</w:t>
      </w:r>
    </w:p>
    <w:p>
      <w:pPr>
        <w:autoSpaceDE w:val="0"/>
        <w:autoSpaceDN w:val="0"/>
        <w:spacing w:line="480" w:lineRule="exact"/>
        <w:rPr>
          <w:rFonts w:hint="eastAsia" w:ascii="宋体" w:hAnsi="宋体" w:cs="宋体"/>
          <w:sz w:val="24"/>
        </w:rPr>
      </w:pPr>
      <w:r>
        <w:rPr>
          <w:rFonts w:hint="eastAsia" w:ascii="宋体" w:hAnsi="宋体" w:cs="宋体"/>
          <w:sz w:val="24"/>
        </w:rPr>
        <w:t xml:space="preserve">    5-2、检验和测试在买方指定的交货地点进行。</w:t>
      </w:r>
    </w:p>
    <w:p>
      <w:pPr>
        <w:autoSpaceDE w:val="0"/>
        <w:autoSpaceDN w:val="0"/>
        <w:spacing w:line="480" w:lineRule="exact"/>
        <w:rPr>
          <w:rFonts w:hint="eastAsia" w:ascii="宋体" w:hAnsi="宋体" w:cs="宋体"/>
          <w:sz w:val="24"/>
        </w:rPr>
      </w:pPr>
      <w:r>
        <w:rPr>
          <w:rFonts w:hint="eastAsia" w:ascii="宋体" w:hAnsi="宋体" w:cs="宋体"/>
          <w:sz w:val="24"/>
        </w:rPr>
        <w:t xml:space="preserve">    5-3、如果任何被检验或测试的货物或部件不能满足招标文件及合同的要求，买方可以拒绝接受该货物或部件，卖方应更换被拒绝的货物或部件，或者免费进行必要的修改以满足规格的要求。</w:t>
      </w:r>
    </w:p>
    <w:p>
      <w:pPr>
        <w:autoSpaceDE w:val="0"/>
        <w:autoSpaceDN w:val="0"/>
        <w:spacing w:line="480" w:lineRule="exact"/>
        <w:rPr>
          <w:rFonts w:hint="eastAsia" w:ascii="宋体" w:hAnsi="宋体" w:cs="宋体"/>
          <w:sz w:val="24"/>
        </w:rPr>
      </w:pPr>
      <w:r>
        <w:rPr>
          <w:rFonts w:hint="eastAsia" w:ascii="宋体" w:hAnsi="宋体" w:cs="宋体"/>
          <w:sz w:val="24"/>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autoSpaceDE w:val="0"/>
        <w:autoSpaceDN w:val="0"/>
        <w:spacing w:line="480" w:lineRule="exact"/>
        <w:rPr>
          <w:rFonts w:hint="eastAsia" w:ascii="宋体" w:hAnsi="宋体" w:cs="宋体"/>
          <w:sz w:val="24"/>
        </w:rPr>
      </w:pPr>
      <w:r>
        <w:rPr>
          <w:rFonts w:hint="eastAsia" w:ascii="宋体" w:hAnsi="宋体" w:cs="宋体"/>
          <w:sz w:val="24"/>
        </w:rPr>
        <w:t xml:space="preserve">     5-5、如果在货物使用寿命期内，根据检验结果，发现货物的质量或规格与合同要求不符，或被证实有缺陷，包含潜在的缺陷或使用不合适的材料，买方应向卖方提出索赔。</w:t>
      </w:r>
    </w:p>
    <w:p>
      <w:pPr>
        <w:autoSpaceDE w:val="0"/>
        <w:autoSpaceDN w:val="0"/>
        <w:spacing w:line="480" w:lineRule="exact"/>
        <w:rPr>
          <w:rFonts w:hint="eastAsia" w:ascii="宋体" w:hAnsi="宋体" w:cs="宋体"/>
          <w:sz w:val="24"/>
        </w:rPr>
      </w:pPr>
      <w:r>
        <w:rPr>
          <w:rFonts w:hint="eastAsia" w:ascii="宋体" w:hAnsi="宋体" w:cs="宋体"/>
          <w:sz w:val="24"/>
        </w:rPr>
        <w:t xml:space="preserve">     6、包装及运输</w:t>
      </w:r>
    </w:p>
    <w:p>
      <w:pPr>
        <w:autoSpaceDE w:val="0"/>
        <w:autoSpaceDN w:val="0"/>
        <w:spacing w:line="480" w:lineRule="exact"/>
        <w:rPr>
          <w:rFonts w:hint="eastAsia" w:ascii="宋体" w:hAnsi="宋体" w:cs="宋体"/>
          <w:sz w:val="24"/>
        </w:rPr>
      </w:pPr>
      <w:r>
        <w:rPr>
          <w:rFonts w:hint="eastAsia" w:ascii="宋体" w:hAnsi="宋体" w:cs="宋体"/>
          <w:sz w:val="24"/>
        </w:rPr>
        <w:t xml:space="preserve">     6-1、卖方负责货物到达交货地点前的所有包装、运输、装卸及保险事项，相关费用应包括在合同总价中。</w:t>
      </w:r>
    </w:p>
    <w:p>
      <w:pPr>
        <w:autoSpaceDE w:val="0"/>
        <w:autoSpaceDN w:val="0"/>
        <w:spacing w:line="480" w:lineRule="exact"/>
        <w:rPr>
          <w:rFonts w:hint="eastAsia" w:ascii="宋体" w:hAnsi="宋体" w:cs="宋体"/>
          <w:sz w:val="24"/>
        </w:rPr>
      </w:pPr>
      <w:r>
        <w:rPr>
          <w:rFonts w:hint="eastAsia" w:ascii="宋体" w:hAnsi="宋体" w:cs="宋体"/>
          <w:sz w:val="24"/>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autoSpaceDE w:val="0"/>
        <w:autoSpaceDN w:val="0"/>
        <w:spacing w:line="480" w:lineRule="exact"/>
        <w:rPr>
          <w:rFonts w:hint="eastAsia" w:ascii="宋体" w:hAnsi="宋体" w:cs="宋体"/>
          <w:sz w:val="24"/>
        </w:rPr>
      </w:pPr>
      <w:r>
        <w:rPr>
          <w:rFonts w:hint="eastAsia" w:ascii="宋体" w:hAnsi="宋体" w:cs="宋体"/>
          <w:sz w:val="24"/>
        </w:rPr>
        <w:t xml:space="preserve">     6-3、货物的运输方式由卖方自行选择，但包装必须满足货物运输和装卸的要求，保证买方收到的是无任何损伤的货物。否则，因此造成的损失由卖方自行承担。 </w:t>
      </w:r>
    </w:p>
    <w:p>
      <w:pPr>
        <w:autoSpaceDE w:val="0"/>
        <w:autoSpaceDN w:val="0"/>
        <w:spacing w:line="480" w:lineRule="exact"/>
        <w:rPr>
          <w:rFonts w:hint="eastAsia" w:ascii="宋体" w:hAnsi="宋体" w:cs="宋体"/>
          <w:sz w:val="24"/>
        </w:rPr>
      </w:pPr>
      <w:r>
        <w:rPr>
          <w:rFonts w:hint="eastAsia" w:ascii="宋体" w:hAnsi="宋体" w:cs="宋体"/>
          <w:sz w:val="24"/>
        </w:rPr>
        <w:t xml:space="preserve">     7、伴随服务</w:t>
      </w:r>
    </w:p>
    <w:p>
      <w:pPr>
        <w:autoSpaceDE w:val="0"/>
        <w:autoSpaceDN w:val="0"/>
        <w:spacing w:line="480" w:lineRule="exact"/>
        <w:rPr>
          <w:rFonts w:hint="eastAsia" w:ascii="宋体" w:hAnsi="宋体" w:cs="宋体"/>
          <w:sz w:val="24"/>
        </w:rPr>
      </w:pPr>
      <w:r>
        <w:rPr>
          <w:rFonts w:hint="eastAsia" w:ascii="宋体" w:hAnsi="宋体" w:cs="宋体"/>
          <w:sz w:val="24"/>
        </w:rPr>
        <w:t xml:space="preserve">     7-1、卖方必须在合同生效后三十 (30)天内向买方提交所供货物的技术文件（中文技术文件），例如：货物说明、图纸、操作手册、使用说明、维护手册和／或服务指南等。</w:t>
      </w:r>
      <w:bookmarkStart w:id="325" w:name="_GoBack"/>
      <w:bookmarkEnd w:id="325"/>
    </w:p>
    <w:p>
      <w:pPr>
        <w:autoSpaceDE w:val="0"/>
        <w:autoSpaceDN w:val="0"/>
        <w:spacing w:line="480" w:lineRule="exact"/>
        <w:rPr>
          <w:rFonts w:hint="eastAsia" w:ascii="宋体" w:hAnsi="宋体" w:cs="宋体"/>
          <w:sz w:val="24"/>
        </w:rPr>
      </w:pPr>
      <w:r>
        <w:rPr>
          <w:rFonts w:hint="eastAsia" w:ascii="宋体" w:hAnsi="宋体" w:cs="宋体"/>
          <w:sz w:val="24"/>
        </w:rPr>
        <w:t xml:space="preserve">     7-2、卖方应向买方提供下列所有服务，包括本项目招标文件“商务条款”与“技术规格与要求”中规定的附加服务（如果有的话）：</w:t>
      </w:r>
    </w:p>
    <w:p>
      <w:pPr>
        <w:autoSpaceDE w:val="0"/>
        <w:autoSpaceDN w:val="0"/>
        <w:spacing w:line="480" w:lineRule="exact"/>
        <w:rPr>
          <w:rFonts w:hint="eastAsia" w:ascii="宋体" w:hAnsi="宋体" w:cs="宋体"/>
          <w:sz w:val="24"/>
        </w:rPr>
      </w:pPr>
      <w:r>
        <w:rPr>
          <w:rFonts w:hint="eastAsia" w:ascii="宋体" w:hAnsi="宋体" w:cs="宋体"/>
          <w:sz w:val="24"/>
        </w:rPr>
        <w:t xml:space="preserve">    （1）实施或监督所供货物的现场组装和试运行；</w:t>
      </w:r>
    </w:p>
    <w:p>
      <w:pPr>
        <w:autoSpaceDE w:val="0"/>
        <w:autoSpaceDN w:val="0"/>
        <w:spacing w:line="480" w:lineRule="exact"/>
        <w:rPr>
          <w:rFonts w:hint="eastAsia" w:ascii="宋体" w:hAnsi="宋体" w:cs="宋体"/>
          <w:sz w:val="24"/>
        </w:rPr>
      </w:pPr>
      <w:r>
        <w:rPr>
          <w:rFonts w:hint="eastAsia" w:ascii="宋体" w:hAnsi="宋体" w:cs="宋体"/>
          <w:sz w:val="24"/>
        </w:rPr>
        <w:t xml:space="preserve">    （2）提供货物组装和维修所需的工具；</w:t>
      </w:r>
    </w:p>
    <w:p>
      <w:pPr>
        <w:autoSpaceDE w:val="0"/>
        <w:autoSpaceDN w:val="0"/>
        <w:spacing w:line="480" w:lineRule="exact"/>
        <w:rPr>
          <w:rFonts w:hint="eastAsia" w:ascii="宋体" w:hAnsi="宋体" w:cs="宋体"/>
          <w:sz w:val="24"/>
        </w:rPr>
      </w:pPr>
      <w:r>
        <w:rPr>
          <w:rFonts w:hint="eastAsia" w:ascii="宋体" w:hAnsi="宋体" w:cs="宋体"/>
          <w:sz w:val="24"/>
        </w:rPr>
        <w:t xml:space="preserve">    （3）为所供货物的每一适当的单台货物提供详细的操作和维护手册；</w:t>
      </w:r>
    </w:p>
    <w:p>
      <w:pPr>
        <w:autoSpaceDE w:val="0"/>
        <w:autoSpaceDN w:val="0"/>
        <w:spacing w:line="480" w:lineRule="exact"/>
        <w:rPr>
          <w:rFonts w:hint="eastAsia" w:ascii="宋体" w:hAnsi="宋体" w:cs="宋体"/>
          <w:sz w:val="24"/>
        </w:rPr>
      </w:pPr>
      <w:r>
        <w:rPr>
          <w:rFonts w:hint="eastAsia" w:ascii="宋体" w:hAnsi="宋体" w:cs="宋体"/>
          <w:sz w:val="24"/>
        </w:rPr>
        <w:t xml:space="preserve">    （4）在双方商定的一定期限内对所供货物实施运行进行监督、维护、修理，但前提条件是该服务并不能免除卖方在合同保证期内所承担的义务；  </w:t>
      </w:r>
    </w:p>
    <w:p>
      <w:pPr>
        <w:autoSpaceDE w:val="0"/>
        <w:autoSpaceDN w:val="0"/>
        <w:spacing w:line="480" w:lineRule="exact"/>
        <w:rPr>
          <w:rFonts w:hint="eastAsia" w:ascii="宋体" w:hAnsi="宋体" w:cs="宋体"/>
          <w:sz w:val="24"/>
        </w:rPr>
      </w:pPr>
      <w:r>
        <w:rPr>
          <w:rFonts w:hint="eastAsia" w:ascii="宋体" w:hAnsi="宋体" w:cs="宋体"/>
          <w:sz w:val="24"/>
        </w:rPr>
        <w:t xml:space="preserve">    （5）卖方或制造厂在项目现场就所供货物的组装、试运行、运行、维护和修理、软硬件升级对买方人员进行培训。</w:t>
      </w:r>
    </w:p>
    <w:p>
      <w:pPr>
        <w:autoSpaceDE w:val="0"/>
        <w:autoSpaceDN w:val="0"/>
        <w:spacing w:line="480" w:lineRule="exact"/>
        <w:rPr>
          <w:rFonts w:hint="eastAsia" w:ascii="宋体" w:hAnsi="宋体" w:cs="宋体"/>
          <w:sz w:val="24"/>
        </w:rPr>
      </w:pPr>
      <w:r>
        <w:rPr>
          <w:rFonts w:hint="eastAsia" w:ascii="宋体" w:hAnsi="宋体" w:cs="宋体"/>
          <w:sz w:val="24"/>
        </w:rPr>
        <w:t xml:space="preserve">    7-3、卖方应提供本项目招标文件“商务条款”和“技术规格与要求”中规定的所有服务。为履行要求的伴随服务的报价或双方商定的费用应包括在合同价中。</w:t>
      </w:r>
    </w:p>
    <w:p>
      <w:pPr>
        <w:autoSpaceDE w:val="0"/>
        <w:autoSpaceDN w:val="0"/>
        <w:spacing w:line="480" w:lineRule="exact"/>
        <w:rPr>
          <w:rFonts w:hint="eastAsia" w:ascii="宋体" w:hAnsi="宋体" w:cs="宋体"/>
          <w:sz w:val="24"/>
        </w:rPr>
      </w:pPr>
      <w:r>
        <w:rPr>
          <w:rFonts w:hint="eastAsia" w:ascii="宋体" w:hAnsi="宋体" w:cs="宋体"/>
          <w:sz w:val="24"/>
        </w:rPr>
        <w:t xml:space="preserve">    7-4、如果卖方或制造厂提供的伴随服务的费用未含在货物的合同价中，双方应事先就其达成协议，但其费用单价不应超过卖方向其他人提供类似服务所收取的现行市场价。</w:t>
      </w:r>
    </w:p>
    <w:p>
      <w:pPr>
        <w:autoSpaceDE w:val="0"/>
        <w:autoSpaceDN w:val="0"/>
        <w:spacing w:line="480" w:lineRule="exact"/>
        <w:rPr>
          <w:rFonts w:hint="eastAsia" w:ascii="宋体" w:hAnsi="宋体" w:cs="宋体"/>
          <w:sz w:val="24"/>
        </w:rPr>
      </w:pPr>
      <w:r>
        <w:rPr>
          <w:rFonts w:hint="eastAsia" w:ascii="宋体" w:hAnsi="宋体" w:cs="宋体"/>
          <w:sz w:val="24"/>
        </w:rPr>
        <w:t xml:space="preserve">     8、备品备件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8-1、卖方可能被要求提供下列与备品备件有关的材料、通知和资料：</w:t>
      </w:r>
    </w:p>
    <w:p>
      <w:pPr>
        <w:autoSpaceDE w:val="0"/>
        <w:autoSpaceDN w:val="0"/>
        <w:spacing w:line="480" w:lineRule="exact"/>
        <w:rPr>
          <w:rFonts w:hint="eastAsia" w:ascii="宋体" w:hAnsi="宋体" w:cs="宋体"/>
          <w:sz w:val="24"/>
        </w:rPr>
      </w:pPr>
      <w:r>
        <w:rPr>
          <w:rFonts w:hint="eastAsia" w:ascii="宋体" w:hAnsi="宋体" w:cs="宋体"/>
          <w:sz w:val="24"/>
        </w:rPr>
        <w:t xml:space="preserve">   （1）买方从卖方选购备品备件，但前提条件是该选择并不能免除卖方在合同保证期内所承担的义务；</w:t>
      </w:r>
    </w:p>
    <w:p>
      <w:pPr>
        <w:autoSpaceDE w:val="0"/>
        <w:autoSpaceDN w:val="0"/>
        <w:spacing w:line="480" w:lineRule="exact"/>
        <w:rPr>
          <w:rFonts w:hint="eastAsia" w:ascii="宋体" w:hAnsi="宋体" w:cs="宋体"/>
          <w:sz w:val="24"/>
        </w:rPr>
      </w:pPr>
      <w:r>
        <w:rPr>
          <w:rFonts w:hint="eastAsia" w:ascii="宋体" w:hAnsi="宋体" w:cs="宋体"/>
          <w:sz w:val="24"/>
        </w:rPr>
        <w:t xml:space="preserve">   （2）在备品备件停止生产的情况下，卖方应事先将要停止生产的计划通知买方使买方有足够的时间采购所需的备品备件；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（3）在备品备件停止生产后，如果买方要求，卖方应免费向买方提供备品备件的蓝图、图纸和规格。</w:t>
      </w:r>
    </w:p>
    <w:p>
      <w:pPr>
        <w:autoSpaceDE w:val="0"/>
        <w:autoSpaceDN w:val="0"/>
        <w:spacing w:line="480" w:lineRule="exact"/>
        <w:rPr>
          <w:rFonts w:hint="eastAsia" w:ascii="宋体" w:hAnsi="宋体" w:cs="宋体"/>
          <w:sz w:val="24"/>
        </w:rPr>
      </w:pPr>
      <w:r>
        <w:rPr>
          <w:rFonts w:hint="eastAsia" w:ascii="宋体" w:hAnsi="宋体" w:cs="宋体"/>
          <w:sz w:val="24"/>
        </w:rPr>
        <w:t xml:space="preserve">    8-2、卖方应按照本项目招标文件“商务条款”和“技术规格与要求”中的规定提供所需的备品备件。</w:t>
      </w:r>
    </w:p>
    <w:p>
      <w:pPr>
        <w:autoSpaceDE w:val="0"/>
        <w:autoSpaceDN w:val="0"/>
        <w:spacing w:line="480" w:lineRule="exact"/>
        <w:rPr>
          <w:rFonts w:hint="eastAsia" w:ascii="宋体" w:hAnsi="宋体" w:cs="宋体"/>
          <w:sz w:val="24"/>
        </w:rPr>
      </w:pPr>
      <w:r>
        <w:rPr>
          <w:rFonts w:hint="eastAsia" w:ascii="宋体" w:hAnsi="宋体" w:cs="宋体"/>
          <w:sz w:val="24"/>
        </w:rPr>
        <w:t xml:space="preserve">     9、质量保证</w:t>
      </w:r>
    </w:p>
    <w:p>
      <w:pPr>
        <w:autoSpaceDE w:val="0"/>
        <w:autoSpaceDN w:val="0"/>
        <w:spacing w:line="480" w:lineRule="exact"/>
        <w:rPr>
          <w:rFonts w:hint="eastAsia" w:ascii="宋体" w:hAnsi="宋体" w:cs="宋体"/>
          <w:sz w:val="24"/>
        </w:rPr>
      </w:pPr>
      <w:r>
        <w:rPr>
          <w:rFonts w:hint="eastAsia" w:ascii="宋体" w:hAnsi="宋体" w:cs="宋体"/>
          <w:sz w:val="24"/>
        </w:rPr>
        <w:t xml:space="preserve">    9-1、质量保证期为终验合格之日起</w:t>
      </w:r>
      <w:r>
        <w:rPr>
          <w:rFonts w:hint="eastAsia" w:ascii="宋体" w:hAnsi="宋体" w:cs="宋体"/>
          <w:sz w:val="24"/>
          <w:u w:val="single"/>
        </w:rPr>
        <w:t xml:space="preserve">     </w:t>
      </w:r>
      <w:r>
        <w:rPr>
          <w:rFonts w:hint="eastAsia" w:ascii="宋体" w:hAnsi="宋体" w:cs="宋体"/>
          <w:sz w:val="24"/>
        </w:rPr>
        <w:t>个月。</w:t>
      </w:r>
    </w:p>
    <w:p>
      <w:pPr>
        <w:autoSpaceDE w:val="0"/>
        <w:autoSpaceDN w:val="0"/>
        <w:spacing w:line="480" w:lineRule="exact"/>
        <w:rPr>
          <w:rFonts w:hint="eastAsia" w:ascii="宋体" w:hAnsi="宋体" w:cs="宋体"/>
          <w:sz w:val="24"/>
        </w:rPr>
      </w:pPr>
      <w:r>
        <w:rPr>
          <w:rFonts w:hint="eastAsia" w:ascii="宋体" w:hAnsi="宋体" w:cs="宋体"/>
          <w:sz w:val="24"/>
        </w:rPr>
        <w:t xml:space="preserve">    9-2、卖方应保证合同项下所供货物是合同规定厂家制造的、全新的、未使用过的，并完全符合合同规定的质量、规格和性能要求的合格货物。卖方应保证其货物在正确安装、正常使用和保养条件下，在其使用寿命期内应具有满意的性能。在货物的质量保证期内，卖方对由于设计、工艺或材料等的缺陷而产生的故障负责。</w:t>
      </w:r>
    </w:p>
    <w:p>
      <w:pPr>
        <w:autoSpaceDE w:val="0"/>
        <w:autoSpaceDN w:val="0"/>
        <w:spacing w:line="480" w:lineRule="exact"/>
        <w:rPr>
          <w:rFonts w:hint="eastAsia" w:ascii="宋体" w:hAnsi="宋体" w:cs="宋体"/>
          <w:sz w:val="24"/>
        </w:rPr>
      </w:pPr>
      <w:r>
        <w:rPr>
          <w:rFonts w:hint="eastAsia" w:ascii="宋体" w:hAnsi="宋体" w:cs="宋体"/>
          <w:sz w:val="24"/>
        </w:rPr>
        <w:t xml:space="preserve">    9-3、根据检验结果或者在质量保证期内，如果货物的数量、质量或规格与合同不符，或证实货物是有缺陷的，包括潜在的缺陷，买方应尽快以书面形式向卖方提出所发现的缺陷。</w:t>
      </w:r>
    </w:p>
    <w:p>
      <w:pPr>
        <w:autoSpaceDE w:val="0"/>
        <w:autoSpaceDN w:val="0"/>
        <w:spacing w:line="480" w:lineRule="exact"/>
        <w:rPr>
          <w:rFonts w:hint="eastAsia" w:ascii="宋体" w:hAnsi="宋体" w:cs="宋体"/>
          <w:sz w:val="24"/>
        </w:rPr>
      </w:pPr>
      <w:r>
        <w:rPr>
          <w:rFonts w:hint="eastAsia" w:ascii="宋体" w:hAnsi="宋体" w:cs="宋体"/>
          <w:sz w:val="24"/>
        </w:rPr>
        <w:t xml:space="preserve">    9-4、卖方收到通知后应在招标文件规定的时间内以合理的速度免费维修或更换有缺陷的货物或部件。</w:t>
      </w:r>
    </w:p>
    <w:p>
      <w:pPr>
        <w:autoSpaceDE w:val="0"/>
        <w:autoSpaceDN w:val="0"/>
        <w:spacing w:line="480" w:lineRule="exact"/>
        <w:rPr>
          <w:rFonts w:hint="eastAsia" w:ascii="宋体" w:hAnsi="宋体" w:cs="宋体"/>
          <w:sz w:val="24"/>
        </w:rPr>
      </w:pPr>
      <w:r>
        <w:rPr>
          <w:rFonts w:hint="eastAsia" w:ascii="宋体" w:hAnsi="宋体" w:cs="宋体"/>
          <w:sz w:val="24"/>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pPr>
        <w:autoSpaceDE w:val="0"/>
        <w:autoSpaceDN w:val="0"/>
        <w:spacing w:line="480" w:lineRule="exact"/>
        <w:rPr>
          <w:rFonts w:hint="eastAsia" w:ascii="宋体" w:hAnsi="宋体" w:cs="宋体"/>
          <w:sz w:val="24"/>
        </w:rPr>
      </w:pPr>
      <w:r>
        <w:rPr>
          <w:rFonts w:hint="eastAsia" w:ascii="宋体" w:hAnsi="宋体" w:cs="宋体"/>
          <w:sz w:val="24"/>
        </w:rPr>
        <w:t xml:space="preserve">    10、索赔</w:t>
      </w:r>
    </w:p>
    <w:p>
      <w:pPr>
        <w:autoSpaceDE w:val="0"/>
        <w:autoSpaceDN w:val="0"/>
        <w:spacing w:line="480" w:lineRule="exact"/>
        <w:rPr>
          <w:rFonts w:hint="eastAsia" w:ascii="宋体" w:hAnsi="宋体" w:cs="宋体"/>
          <w:sz w:val="24"/>
        </w:rPr>
      </w:pPr>
      <w:r>
        <w:rPr>
          <w:rFonts w:hint="eastAsia" w:ascii="宋体" w:hAnsi="宋体" w:cs="宋体"/>
          <w:sz w:val="24"/>
        </w:rPr>
        <w:t xml:space="preserve">    10-1、如果卖方对偏差负有责任，而买方在安装、调试、验收和质量保证期内提出了索赔，卖方应按照买方同意的下列一种或几种方式结合起来解决索赔事宜：</w:t>
      </w:r>
    </w:p>
    <w:p>
      <w:pPr>
        <w:autoSpaceDE w:val="0"/>
        <w:autoSpaceDN w:val="0"/>
        <w:spacing w:line="480" w:lineRule="exact"/>
        <w:rPr>
          <w:rFonts w:hint="eastAsia" w:ascii="宋体" w:hAnsi="宋体" w:cs="宋体"/>
          <w:sz w:val="24"/>
        </w:rPr>
      </w:pPr>
      <w:r>
        <w:rPr>
          <w:rFonts w:hint="eastAsia" w:ascii="宋体" w:hAnsi="宋体" w:cs="宋体"/>
          <w:sz w:val="24"/>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pPr>
        <w:autoSpaceDE w:val="0"/>
        <w:autoSpaceDN w:val="0"/>
        <w:spacing w:line="480" w:lineRule="exact"/>
        <w:rPr>
          <w:rFonts w:hint="eastAsia" w:ascii="宋体" w:hAnsi="宋体" w:cs="宋体"/>
          <w:sz w:val="24"/>
        </w:rPr>
      </w:pPr>
      <w:r>
        <w:rPr>
          <w:rFonts w:hint="eastAsia" w:ascii="宋体" w:hAnsi="宋体" w:cs="宋体"/>
          <w:sz w:val="24"/>
        </w:rPr>
        <w:t xml:space="preserve">   （2）根据货物的偏差情况、损坏程度、以及买方所遭受损失的金额，经买卖双方商定降低货物的价格。</w:t>
      </w:r>
    </w:p>
    <w:p>
      <w:pPr>
        <w:autoSpaceDE w:val="0"/>
        <w:autoSpaceDN w:val="0"/>
        <w:spacing w:line="480" w:lineRule="exact"/>
        <w:rPr>
          <w:rFonts w:hint="eastAsia" w:ascii="宋体" w:hAnsi="宋体" w:cs="宋体"/>
          <w:sz w:val="24"/>
        </w:rPr>
      </w:pPr>
      <w:r>
        <w:rPr>
          <w:rFonts w:hint="eastAsia" w:ascii="宋体" w:hAnsi="宋体" w:cs="宋体"/>
          <w:sz w:val="24"/>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pPr>
        <w:autoSpaceDE w:val="0"/>
        <w:autoSpaceDN w:val="0"/>
        <w:spacing w:line="480" w:lineRule="exact"/>
        <w:rPr>
          <w:rFonts w:hint="eastAsia" w:ascii="宋体" w:hAnsi="宋体" w:cs="宋体"/>
          <w:sz w:val="24"/>
        </w:rPr>
      </w:pPr>
      <w:r>
        <w:rPr>
          <w:rFonts w:hint="eastAsia" w:ascii="宋体" w:hAnsi="宋体" w:cs="宋体"/>
          <w:sz w:val="24"/>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11、变更指令</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11-1、买方可以在任何时候书面向卖方发出指令，在本合同的一般范围内变更下述一项或几项：</w:t>
      </w:r>
    </w:p>
    <w:p>
      <w:pPr>
        <w:autoSpaceDN w:val="0"/>
        <w:adjustRightInd w:val="0"/>
        <w:spacing w:line="480" w:lineRule="exact"/>
        <w:ind w:firstLine="480" w:firstLineChars="200"/>
        <w:rPr>
          <w:rFonts w:hint="eastAsia" w:ascii="宋体" w:hAnsi="宋体" w:cs="宋体"/>
          <w:spacing w:val="-4"/>
          <w:kern w:val="0"/>
          <w:sz w:val="24"/>
        </w:rPr>
      </w:pPr>
      <w:r>
        <w:rPr>
          <w:rFonts w:hint="eastAsia" w:ascii="宋体" w:hAnsi="宋体" w:cs="宋体"/>
          <w:kern w:val="0"/>
          <w:sz w:val="24"/>
        </w:rPr>
        <w:t>（1）</w:t>
      </w:r>
      <w:r>
        <w:rPr>
          <w:rFonts w:hint="eastAsia" w:ascii="宋体" w:hAnsi="宋体" w:cs="宋体"/>
          <w:spacing w:val="-4"/>
          <w:kern w:val="0"/>
          <w:sz w:val="24"/>
        </w:rPr>
        <w:t>本合同项下提供的货物是专为买方制造时，变更图纸、设计或规格；</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（2）运输或包装的方法；</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（3）交货地点；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（4）卖方提供的服务。</w:t>
      </w:r>
    </w:p>
    <w:p>
      <w:pPr>
        <w:autoSpaceDN w:val="0"/>
        <w:adjustRightInd w:val="0"/>
        <w:spacing w:line="480" w:lineRule="exact"/>
        <w:ind w:firstLine="464" w:firstLineChars="200"/>
        <w:rPr>
          <w:rFonts w:hint="eastAsia" w:ascii="宋体" w:hAnsi="宋体" w:cs="宋体"/>
          <w:spacing w:val="-4"/>
          <w:kern w:val="0"/>
          <w:sz w:val="24"/>
        </w:rPr>
      </w:pPr>
      <w:r>
        <w:rPr>
          <w:rFonts w:hint="eastAsia" w:ascii="宋体" w:hAnsi="宋体" w:cs="宋体"/>
          <w:spacing w:val="-4"/>
          <w:kern w:val="0"/>
          <w:sz w:val="24"/>
        </w:rPr>
        <w:t>11-2、</w:t>
      </w:r>
      <w:r>
        <w:rPr>
          <w:rFonts w:hint="eastAsia" w:ascii="宋体" w:hAnsi="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如果上述变更使卖方履行合同义务的费用或时间增加或减少，将对合同价或交货时间或两者进行公平的调整，同时相应修改合同。卖方根据本条进行调整的要求必须在收到买方的变更指令后七（7）天内提出。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12、合同修改</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除了合同条款第11条的情况，不应对合同条款进行任何变更或修改，除非双方同意并签订书面的合同修改书。</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13、转让</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未经买方事先书面同意，卖方不得部分转让或全部转让其应履行的合同义务。</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14、卖方履约延误</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14-1、卖方应按照本项目招标文件“商务条款”中规定的交货时间交货和提供服务。</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spacing w:line="480" w:lineRule="exact"/>
        <w:ind w:firstLine="480" w:firstLineChars="200"/>
        <w:rPr>
          <w:rFonts w:hint="eastAsia" w:ascii="宋体" w:hAnsi="宋体" w:cs="宋体"/>
          <w:kern w:val="0"/>
          <w:sz w:val="24"/>
        </w:rPr>
      </w:pPr>
      <w:r>
        <w:rPr>
          <w:rFonts w:hint="eastAsia" w:ascii="宋体" w:hAnsi="宋体" w:cs="宋体"/>
          <w:kern w:val="0"/>
          <w:sz w:val="24"/>
        </w:rPr>
        <w:t>14-3、除合同条款第19条规定的情况外,除非拖延是根据合同条款第14-2条的规定取得同意而不收取误期赔偿费之外，卖方延误交货，将按合同条款第16条的规定被收取误期赔偿费。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15、验收</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15-1、项目验收分初验和终验:</w:t>
      </w:r>
    </w:p>
    <w:p>
      <w:pPr>
        <w:spacing w:line="500" w:lineRule="exact"/>
        <w:ind w:firstLine="480" w:firstLineChars="200"/>
        <w:rPr>
          <w:rFonts w:hint="eastAsia" w:ascii="宋体" w:hAnsi="宋体" w:cs="宋体"/>
          <w:sz w:val="24"/>
        </w:rPr>
      </w:pPr>
      <w:r>
        <w:rPr>
          <w:rFonts w:hint="eastAsia" w:ascii="宋体" w:hAnsi="宋体" w:cs="宋体"/>
          <w:sz w:val="24"/>
        </w:rPr>
        <w:t>初验：货物到达交货地点后，由使用单位（买方）根据合同对货物的名称、品牌、规格、型号、产地、数量进行检查。</w:t>
      </w:r>
    </w:p>
    <w:p>
      <w:pPr>
        <w:spacing w:line="500" w:lineRule="exact"/>
        <w:ind w:firstLine="480" w:firstLineChars="200"/>
        <w:rPr>
          <w:rFonts w:hint="eastAsia" w:ascii="宋体" w:hAnsi="宋体" w:cs="宋体"/>
          <w:sz w:val="24"/>
        </w:rPr>
      </w:pPr>
      <w:r>
        <w:rPr>
          <w:rFonts w:hint="eastAsia" w:ascii="宋体" w:hAnsi="宋体" w:cs="宋体"/>
          <w:sz w:val="24"/>
        </w:rPr>
        <w:t>终验：所有货物安装完毕，正常使用10个日历日后，由采购人（买方）、使用单位进行验收，合格后签发《验收合格单》。</w:t>
      </w:r>
      <w:r>
        <w:rPr>
          <w:rFonts w:hint="eastAsia" w:ascii="宋体" w:hAnsi="宋体" w:cs="宋体"/>
          <w:sz w:val="24"/>
        </w:rPr>
        <w:cr/>
      </w:r>
      <w:r>
        <w:rPr>
          <w:rFonts w:hint="eastAsia" w:ascii="宋体" w:hAnsi="宋体" w:cs="宋体"/>
          <w:sz w:val="24"/>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15-3、验收依据</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 xml:space="preserve">（1）合同文本及合同补充文件（条款）。 </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（2）产品的合法来源渠道证明文件。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（3）买方招标文件。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（4）成交供应商的投标文件。</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（5）合同货物清单。</w:t>
      </w:r>
    </w:p>
    <w:p>
      <w:pPr>
        <w:adjustRightInd w:val="0"/>
        <w:snapToGrid w:val="0"/>
        <w:spacing w:line="500" w:lineRule="exact"/>
        <w:ind w:firstLine="470" w:firstLineChars="196"/>
        <w:rPr>
          <w:rFonts w:hint="eastAsia" w:ascii="宋体" w:hAnsi="宋体" w:cs="宋体"/>
          <w:sz w:val="24"/>
        </w:rPr>
      </w:pPr>
      <w:r>
        <w:rPr>
          <w:rFonts w:hint="eastAsia" w:ascii="宋体" w:hAnsi="宋体" w:cs="宋体"/>
          <w:sz w:val="24"/>
        </w:rPr>
        <w:t>（6）生产厂家的企业资质、货物的执行标准。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16、误期赔偿费</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sz w:val="24"/>
        </w:rPr>
        <w:t>除合同条款第19条规定的情况外，如果卖方没有按照合同规定的时间交货和提供服务，买方应在不影响</w:t>
      </w:r>
      <w:r>
        <w:rPr>
          <w:rFonts w:hint="eastAsia" w:ascii="宋体" w:hAnsi="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17、违约终止合同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（1）如果卖方未能在合同规定的期限内或买方根据合同条款第14-2条的规定同意延长的期限内提供部分或全部货物；或</w:t>
      </w:r>
      <w:r>
        <w:rPr>
          <w:rFonts w:hint="eastAsia" w:ascii="宋体" w:hAnsi="宋体" w:cs="宋体"/>
          <w:sz w:val="24"/>
        </w:rPr>
        <w:t>误期赔偿费达到最高限额。</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（2）如果卖方未能履行合同规定的其它任何义务，则应承担合同约定价20%的违约金。</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18、不可抗力</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18-3、因合同一方迟延履行合同后发生不可抗力的，不能免除迟延履行方的相应责任。</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19、因破产而终止合同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20、因买方的便利而终止合同</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20-2、对卖方收到终止通知后十（10）天内已完成并准备装运的货物，买方应按原合同价格和条款予以接收，对于剩下的货物，买方可：</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（1）仅对部分货物按照原来的合同价格和条款予以接受；</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21、争议的解决</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因执行本合同所发生的或与本合同有关的一切争议,双方应通过友好协商解决。如果协商开始后三十（30）天还不能解决，</w:t>
      </w:r>
      <w:r>
        <w:rPr>
          <w:rFonts w:hint="eastAsia" w:ascii="宋体" w:hAnsi="宋体" w:cs="宋体"/>
          <w:kern w:val="0"/>
          <w:sz w:val="24"/>
          <w:lang w:val="en-US" w:eastAsia="zh-CN"/>
        </w:rPr>
        <w:t>任意一方均可向买方有管辖权的人民法院提起诉讼。</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22、适用法律</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本合同应按照中华人民共和国的现行法律进行解释。</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23、通知</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23-1、本合同一方给对方的通知应用书面形式送到合同专用条款中规定的对方的地址。传真要经书面确认。</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23-2、通知以送到日期或通知书的生效日期为生效日期，两者中以晚的一个日期为准。</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24、税款</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24-1、按照中华人民共和国税法和有关部门的规定，买方需交纳的与本合同有关的一切税费均应由买方负担。</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24-2、按照中华人民共和国税法和有关部门的规定，卖方需交纳的与本合同有关的一切税费均应由卖方负担。</w:t>
      </w:r>
    </w:p>
    <w:p>
      <w:pPr>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25、合同生效</w:t>
      </w:r>
    </w:p>
    <w:p>
      <w:pPr>
        <w:spacing w:line="480" w:lineRule="exact"/>
        <w:ind w:firstLine="424" w:firstLineChars="177"/>
        <w:rPr>
          <w:rFonts w:hint="eastAsia" w:ascii="宋体" w:hAnsi="宋体" w:cs="宋体"/>
          <w:kern w:val="0"/>
          <w:sz w:val="24"/>
        </w:rPr>
      </w:pPr>
      <w:r>
        <w:rPr>
          <w:rFonts w:hint="eastAsia" w:ascii="宋体" w:hAnsi="宋体" w:cs="宋体"/>
          <w:kern w:val="0"/>
          <w:sz w:val="24"/>
        </w:rPr>
        <w:t>本合同由买卖双方</w:t>
      </w:r>
      <w:r>
        <w:rPr>
          <w:rFonts w:hint="eastAsia" w:ascii="宋体" w:hAnsi="宋体" w:cs="宋体"/>
          <w:kern w:val="0"/>
          <w:sz w:val="24"/>
          <w:lang w:val="en-US" w:eastAsia="zh-CN"/>
        </w:rPr>
        <w:t>法定代表人/授权代表</w:t>
      </w:r>
      <w:r>
        <w:rPr>
          <w:rFonts w:hint="eastAsia" w:ascii="宋体" w:hAnsi="宋体" w:cs="宋体"/>
          <w:kern w:val="0"/>
          <w:sz w:val="24"/>
        </w:rPr>
        <w:t>及鉴证方共同签字</w:t>
      </w:r>
      <w:r>
        <w:rPr>
          <w:rFonts w:hint="eastAsia" w:ascii="宋体" w:hAnsi="宋体" w:cs="宋体"/>
          <w:kern w:val="0"/>
          <w:sz w:val="24"/>
          <w:lang w:val="en-US" w:eastAsia="zh-CN"/>
        </w:rPr>
        <w:t>并加</w:t>
      </w:r>
      <w:r>
        <w:rPr>
          <w:rFonts w:hint="eastAsia" w:ascii="宋体" w:hAnsi="宋体" w:cs="宋体"/>
          <w:kern w:val="0"/>
          <w:sz w:val="24"/>
        </w:rPr>
        <w:t>盖</w:t>
      </w:r>
      <w:r>
        <w:rPr>
          <w:rFonts w:hint="eastAsia" w:ascii="宋体" w:hAnsi="宋体" w:cs="宋体"/>
          <w:kern w:val="0"/>
          <w:sz w:val="24"/>
          <w:lang w:val="en-US" w:eastAsia="zh-CN"/>
        </w:rPr>
        <w:t>公</w:t>
      </w:r>
      <w:r>
        <w:rPr>
          <w:rFonts w:hint="eastAsia" w:ascii="宋体" w:hAnsi="宋体" w:cs="宋体"/>
          <w:kern w:val="0"/>
          <w:sz w:val="24"/>
        </w:rPr>
        <w:t>章</w:t>
      </w:r>
      <w:r>
        <w:rPr>
          <w:rFonts w:hint="eastAsia" w:ascii="宋体" w:hAnsi="宋体" w:cs="宋体"/>
          <w:kern w:val="0"/>
          <w:sz w:val="24"/>
          <w:lang w:val="en-US" w:eastAsia="zh-CN"/>
        </w:rPr>
        <w:t>/合同专用章</w:t>
      </w:r>
      <w:r>
        <w:rPr>
          <w:rFonts w:hint="eastAsia" w:ascii="宋体" w:hAnsi="宋体" w:cs="宋体"/>
          <w:kern w:val="0"/>
          <w:sz w:val="24"/>
        </w:rPr>
        <w:t>之日起生效。</w:t>
      </w:r>
    </w:p>
    <w:p>
      <w:pPr>
        <w:pStyle w:val="2"/>
        <w:rPr>
          <w:rFonts w:hint="eastAsia" w:ascii="宋体" w:hAnsi="宋体" w:cs="宋体"/>
          <w:kern w:val="0"/>
          <w:sz w:val="24"/>
        </w:rPr>
      </w:pPr>
    </w:p>
    <w:p>
      <w:pPr>
        <w:pStyle w:val="2"/>
        <w:rPr>
          <w:rFonts w:hint="eastAsia" w:ascii="宋体" w:hAnsi="宋体" w:cs="宋体"/>
          <w:kern w:val="0"/>
          <w:sz w:val="24"/>
        </w:rPr>
      </w:pPr>
    </w:p>
    <w:p>
      <w:pPr>
        <w:pStyle w:val="2"/>
        <w:rPr>
          <w:rFonts w:hint="eastAsia" w:ascii="宋体" w:hAnsi="宋体" w:cs="宋体"/>
          <w:kern w:val="0"/>
          <w:sz w:val="24"/>
        </w:rPr>
      </w:pPr>
    </w:p>
    <w:p>
      <w:pPr>
        <w:pStyle w:val="2"/>
        <w:rPr>
          <w:rFonts w:hint="eastAsia" w:ascii="宋体" w:hAnsi="宋体" w:cs="宋体"/>
          <w:kern w:val="0"/>
          <w:sz w:val="24"/>
        </w:rPr>
      </w:pPr>
    </w:p>
    <w:p>
      <w:pPr>
        <w:pStyle w:val="2"/>
        <w:rPr>
          <w:rFonts w:hint="eastAsia" w:ascii="宋体" w:hAnsi="宋体" w:cs="宋体"/>
          <w:kern w:val="0"/>
          <w:sz w:val="24"/>
        </w:rPr>
        <w:sectPr>
          <w:headerReference r:id="rId4" w:type="default"/>
          <w:footerReference r:id="rId5" w:type="default"/>
          <w:pgSz w:w="11906" w:h="16838"/>
          <w:pgMar w:top="1418" w:right="1418" w:bottom="1418" w:left="1134" w:header="907" w:footer="1021" w:gutter="567"/>
          <w:pgBorders>
            <w:top w:val="none" w:sz="0" w:space="0"/>
            <w:left w:val="none" w:sz="0" w:space="0"/>
            <w:bottom w:val="none" w:sz="0" w:space="0"/>
            <w:right w:val="none" w:sz="0" w:space="0"/>
          </w:pgBorders>
          <w:pgNumType w:start="1"/>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附件1—货物清单</w:t>
      </w:r>
    </w:p>
    <w:p>
      <w:pPr>
        <w:pStyle w:val="2"/>
        <w:rPr>
          <w:rFonts w:hint="eastAsia"/>
        </w:rPr>
      </w:pPr>
    </w:p>
    <w:tbl>
      <w:tblPr>
        <w:tblStyle w:val="55"/>
        <w:tblW w:w="0" w:type="auto"/>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序号</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名 称</w:t>
            </w: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品牌/型号</w:t>
            </w: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规格和说明</w:t>
            </w: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单位</w:t>
            </w: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数量</w:t>
            </w: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单价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总价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r>
      <w:tr>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1</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156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2</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3</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765"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4</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5</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765"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6</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285"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7</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285"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8</w:t>
            </w:r>
          </w:p>
        </w:tc>
        <w:tc>
          <w:tcPr>
            <w:tcW w:w="13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20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7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9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7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cs="宋体"/>
                <w:sz w:val="24"/>
              </w:rPr>
            </w:pPr>
          </w:p>
        </w:tc>
      </w:tr>
      <w:tr>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w:t>
            </w:r>
          </w:p>
        </w:tc>
      </w:tr>
      <w:tr>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r>
      <w:tr>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r>
      <w:tr>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r>
      <w:tr>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 xml:space="preserve">￥： </w:t>
            </w:r>
          </w:p>
        </w:tc>
      </w:tr>
      <w:tr>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总报价含（安装调试、运输费、税费、售后服务费、技术培训费、伴随费用等）</w:t>
            </w:r>
          </w:p>
        </w:tc>
      </w:tr>
    </w:tbl>
    <w:p>
      <w:pPr>
        <w:adjustRightInd w:val="0"/>
        <w:snapToGrid w:val="0"/>
        <w:spacing w:line="480" w:lineRule="exact"/>
        <w:rPr>
          <w:rFonts w:hint="eastAsia" w:ascii="宋体" w:hAnsi="宋体" w:cs="宋体"/>
          <w:b/>
          <w:bCs/>
          <w:kern w:val="0"/>
          <w:sz w:val="24"/>
        </w:rPr>
      </w:pPr>
      <w:r>
        <w:rPr>
          <w:rFonts w:hint="eastAsia" w:ascii="宋体" w:hAnsi="宋体" w:cs="宋体"/>
          <w:b/>
          <w:bCs/>
          <w:kern w:val="0"/>
          <w:sz w:val="24"/>
        </w:rPr>
        <w:t>交货期：自合同签订</w:t>
      </w:r>
      <w:r>
        <w:rPr>
          <w:rFonts w:hint="eastAsia" w:ascii="宋体" w:hAnsi="宋体"/>
          <w:b/>
          <w:bCs/>
          <w:kern w:val="0"/>
          <w:sz w:val="24"/>
        </w:rPr>
        <w:t>后</w:t>
      </w:r>
      <w:r>
        <w:rPr>
          <w:rFonts w:hint="eastAsia" w:ascii="宋体" w:hAnsi="宋体"/>
          <w:b/>
          <w:bCs/>
          <w:kern w:val="0"/>
          <w:sz w:val="24"/>
          <w:u w:val="single"/>
        </w:rPr>
        <w:t xml:space="preserve">            </w:t>
      </w:r>
      <w:r>
        <w:rPr>
          <w:rFonts w:hint="eastAsia" w:ascii="宋体" w:hAnsi="宋体"/>
          <w:b/>
          <w:bCs/>
          <w:kern w:val="0"/>
          <w:sz w:val="24"/>
        </w:rPr>
        <w:t>个日历日</w:t>
      </w:r>
      <w:r>
        <w:rPr>
          <w:rFonts w:hint="eastAsia" w:ascii="宋体" w:hAnsi="宋体" w:cs="宋体"/>
          <w:b/>
          <w:bCs/>
          <w:kern w:val="0"/>
          <w:sz w:val="24"/>
        </w:rPr>
        <w:t>内</w:t>
      </w:r>
    </w:p>
    <w:p>
      <w:pPr>
        <w:adjustRightInd w:val="0"/>
        <w:snapToGrid w:val="0"/>
        <w:spacing w:line="480" w:lineRule="exact"/>
        <w:rPr>
          <w:rFonts w:hint="eastAsia" w:ascii="宋体" w:hAnsi="宋体"/>
          <w:b/>
          <w:bCs/>
          <w:kern w:val="0"/>
          <w:sz w:val="24"/>
        </w:rPr>
      </w:pPr>
      <w:r>
        <w:rPr>
          <w:rFonts w:hint="eastAsia" w:ascii="宋体" w:hAnsi="宋体"/>
          <w:b/>
          <w:bCs/>
          <w:kern w:val="0"/>
          <w:sz w:val="24"/>
        </w:rPr>
        <w:t>注：该项目招、投标文件为本合同的附件：详细技术参数详见该项目招、投标文件。</w:t>
      </w:r>
    </w:p>
    <w:p>
      <w:pPr>
        <w:pStyle w:val="2"/>
        <w:rPr>
          <w:rFonts w:hint="eastAsia"/>
        </w:rPr>
        <w:sectPr>
          <w:pgSz w:w="16838" w:h="11906" w:orient="landscape"/>
          <w:pgMar w:top="1134" w:right="1418" w:bottom="1418" w:left="1418" w:header="907" w:footer="1021" w:gutter="567"/>
          <w:pgBorders>
            <w:top w:val="none" w:sz="0" w:space="0"/>
            <w:left w:val="none" w:sz="0" w:space="0"/>
            <w:bottom w:val="none" w:sz="0" w:space="0"/>
            <w:right w:val="none" w:sz="0" w:space="0"/>
          </w:pgBorders>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附件2—质量保证承诺（参考模板）</w:t>
      </w:r>
    </w:p>
    <w:p>
      <w:pPr>
        <w:spacing w:line="480" w:lineRule="exact"/>
        <w:ind w:firstLine="480" w:firstLineChars="200"/>
        <w:rPr>
          <w:rFonts w:hint="eastAsia" w:ascii="宋体" w:hAnsi="宋体" w:cs="宋体"/>
          <w:sz w:val="24"/>
        </w:rPr>
      </w:pPr>
      <w:r>
        <w:rPr>
          <w:rFonts w:hint="eastAsia" w:ascii="宋体" w:hAnsi="宋体" w:cs="宋体"/>
          <w:sz w:val="24"/>
        </w:rPr>
        <w:t>我公司对所提供的货物及服务做出如下承诺：</w:t>
      </w:r>
    </w:p>
    <w:p>
      <w:pPr>
        <w:spacing w:line="480" w:lineRule="exact"/>
        <w:ind w:firstLine="480" w:firstLineChars="200"/>
        <w:rPr>
          <w:rFonts w:hint="eastAsia" w:ascii="宋体" w:hAnsi="宋体" w:cs="宋体"/>
          <w:sz w:val="24"/>
        </w:rPr>
      </w:pPr>
      <w:r>
        <w:rPr>
          <w:rFonts w:hint="eastAsia" w:ascii="宋体" w:hAnsi="宋体" w:cs="宋体"/>
          <w:sz w:val="24"/>
        </w:rPr>
        <w:t>1、保证设备包装符合防潮、防雨、防锈、防腐及防震要求，标识清晰无误，使物品安全、及时运抵现场。</w:t>
      </w:r>
    </w:p>
    <w:p>
      <w:pPr>
        <w:spacing w:line="480" w:lineRule="exact"/>
        <w:ind w:firstLine="480" w:firstLineChars="200"/>
        <w:rPr>
          <w:rFonts w:hint="eastAsia" w:ascii="宋体" w:hAnsi="宋体" w:cs="宋体"/>
          <w:sz w:val="24"/>
        </w:rPr>
      </w:pPr>
      <w:r>
        <w:rPr>
          <w:rFonts w:hint="eastAsia" w:ascii="宋体" w:hAnsi="宋体" w:cs="宋体"/>
          <w:sz w:val="24"/>
        </w:rPr>
        <w:t>2、优质、快捷的技术服务</w:t>
      </w:r>
    </w:p>
    <w:p>
      <w:pPr>
        <w:spacing w:line="480" w:lineRule="exact"/>
        <w:ind w:firstLine="480" w:firstLineChars="200"/>
        <w:rPr>
          <w:rFonts w:hint="eastAsia" w:ascii="宋体" w:hAnsi="宋体" w:cs="宋体"/>
          <w:sz w:val="24"/>
        </w:rPr>
      </w:pPr>
      <w:r>
        <w:rPr>
          <w:rFonts w:hint="eastAsia" w:ascii="宋体" w:hAnsi="宋体" w:cs="宋体"/>
          <w:sz w:val="24"/>
        </w:rPr>
        <w:t>为更好地保证设备的正常运行，及时解答用户提出的疑问，帮助用户解决问题，公司的售后中心，负责各地的维护和技术咨询等服务。售后中心由专职工程师负责随时为客户免费提供技术咨询服务。</w:t>
      </w:r>
    </w:p>
    <w:p>
      <w:pPr>
        <w:spacing w:line="480" w:lineRule="exact"/>
        <w:ind w:firstLine="480" w:firstLineChars="200"/>
        <w:rPr>
          <w:rFonts w:hint="eastAsia" w:ascii="宋体" w:hAnsi="宋体" w:cs="宋体"/>
          <w:sz w:val="24"/>
        </w:rPr>
      </w:pPr>
      <w:r>
        <w:rPr>
          <w:rFonts w:hint="eastAsia" w:ascii="宋体" w:hAnsi="宋体" w:cs="宋体"/>
          <w:sz w:val="24"/>
        </w:rPr>
        <w:t>3、定期巡检</w:t>
      </w:r>
    </w:p>
    <w:p>
      <w:pPr>
        <w:spacing w:line="480" w:lineRule="exact"/>
        <w:ind w:firstLine="480" w:firstLineChars="200"/>
        <w:rPr>
          <w:rFonts w:hint="eastAsia" w:ascii="宋体" w:hAnsi="宋体" w:cs="宋体"/>
          <w:sz w:val="24"/>
        </w:rPr>
      </w:pPr>
      <w:r>
        <w:rPr>
          <w:rFonts w:hint="eastAsia" w:ascii="宋体" w:hAnsi="宋体" w:cs="宋体"/>
          <w:sz w:val="24"/>
        </w:rPr>
        <w:t>公司组织每年对运行的设备巡检不少于两次。公司巡检工程技术人员为主，有设计人员参与。并听取用户维护人员反映的问题及建议。</w:t>
      </w:r>
    </w:p>
    <w:p>
      <w:pPr>
        <w:spacing w:line="480" w:lineRule="exact"/>
        <w:ind w:firstLine="480" w:firstLineChars="200"/>
        <w:rPr>
          <w:rFonts w:hint="eastAsia" w:ascii="宋体" w:hAnsi="宋体" w:cs="宋体"/>
          <w:sz w:val="24"/>
        </w:rPr>
      </w:pPr>
      <w:r>
        <w:rPr>
          <w:rFonts w:hint="eastAsia" w:ascii="宋体" w:hAnsi="宋体" w:cs="宋体"/>
          <w:sz w:val="24"/>
        </w:rPr>
        <w:t>4、质保期</w:t>
      </w:r>
    </w:p>
    <w:p>
      <w:pPr>
        <w:spacing w:line="480" w:lineRule="exact"/>
        <w:ind w:firstLine="480" w:firstLineChars="200"/>
        <w:rPr>
          <w:rFonts w:hint="eastAsia" w:ascii="宋体" w:hAnsi="宋体" w:cs="宋体"/>
          <w:sz w:val="24"/>
        </w:rPr>
      </w:pPr>
      <w:r>
        <w:rPr>
          <w:rFonts w:hint="eastAsia" w:ascii="宋体" w:hAnsi="宋体" w:cs="宋体"/>
          <w:sz w:val="24"/>
        </w:rPr>
        <w:t>质保期：合同项下所有设备保修期为终验合格后</w:t>
      </w:r>
      <w:r>
        <w:rPr>
          <w:rFonts w:hint="eastAsia" w:ascii="宋体" w:hAnsi="宋体" w:cs="宋体"/>
          <w:sz w:val="24"/>
          <w:u w:val="single"/>
        </w:rPr>
        <w:t xml:space="preserve">     </w:t>
      </w:r>
      <w:r>
        <w:rPr>
          <w:rFonts w:hint="eastAsia" w:ascii="宋体" w:hAnsi="宋体" w:cs="宋体"/>
          <w:sz w:val="24"/>
        </w:rPr>
        <w:t>个月保修期内(除天灾及人为损害外)部件、原件费用、出差费用均由供方承担。</w:t>
      </w:r>
    </w:p>
    <w:p>
      <w:pPr>
        <w:spacing w:line="480" w:lineRule="exact"/>
        <w:ind w:firstLine="480" w:firstLineChars="200"/>
        <w:rPr>
          <w:rFonts w:hint="eastAsia" w:ascii="宋体" w:hAnsi="宋体" w:cs="宋体"/>
          <w:sz w:val="24"/>
        </w:rPr>
      </w:pPr>
      <w:r>
        <w:rPr>
          <w:rFonts w:hint="eastAsia" w:ascii="宋体" w:hAnsi="宋体" w:cs="宋体"/>
          <w:sz w:val="24"/>
        </w:rPr>
        <w:t>5、建立用户档案，完善产品质量</w:t>
      </w:r>
    </w:p>
    <w:p>
      <w:pPr>
        <w:spacing w:line="480" w:lineRule="exact"/>
        <w:ind w:firstLine="480" w:firstLineChars="200"/>
        <w:rPr>
          <w:rFonts w:hint="eastAsia" w:ascii="宋体" w:hAnsi="宋体" w:cs="宋体"/>
          <w:sz w:val="24"/>
        </w:rPr>
      </w:pPr>
      <w:r>
        <w:rPr>
          <w:rFonts w:hint="eastAsia" w:ascii="宋体" w:hAnsi="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480" w:lineRule="exact"/>
        <w:rPr>
          <w:rFonts w:hint="eastAsia" w:ascii="宋体" w:hAnsi="宋体" w:cs="宋体"/>
          <w:b/>
          <w:bCs/>
          <w:sz w:val="24"/>
        </w:rPr>
      </w:pPr>
      <w:r>
        <w:rPr>
          <w:rFonts w:hint="eastAsia" w:ascii="宋体" w:hAnsi="宋体" w:cs="宋体"/>
          <w:b/>
          <w:bCs/>
          <w:sz w:val="24"/>
        </w:rPr>
        <w:t>附件3—售后服务方案（参考模板）</w:t>
      </w:r>
    </w:p>
    <w:p>
      <w:pPr>
        <w:spacing w:line="480" w:lineRule="exact"/>
        <w:rPr>
          <w:rFonts w:hint="eastAsia" w:ascii="宋体" w:hAnsi="宋体" w:cs="宋体"/>
          <w:b/>
          <w:bCs/>
          <w:sz w:val="24"/>
        </w:rPr>
      </w:pPr>
      <w:bookmarkStart w:id="0" w:name="_Toc24535"/>
      <w:bookmarkStart w:id="1" w:name="_Toc13928"/>
      <w:bookmarkStart w:id="2" w:name="_Toc6840912"/>
      <w:bookmarkStart w:id="3" w:name="_Toc5281084"/>
      <w:bookmarkStart w:id="4" w:name="_Toc12169"/>
      <w:bookmarkStart w:id="5" w:name="_Toc4751267"/>
      <w:bookmarkStart w:id="6" w:name="_Toc3972"/>
      <w:bookmarkStart w:id="7" w:name="_Toc5819"/>
      <w:r>
        <w:rPr>
          <w:rFonts w:hint="eastAsia" w:ascii="宋体" w:hAnsi="宋体" w:cs="宋体"/>
          <w:b/>
          <w:bCs/>
          <w:sz w:val="24"/>
        </w:rPr>
        <w:t>一、产品售后服务承诺及有关说明</w:t>
      </w:r>
      <w:bookmarkEnd w:id="0"/>
      <w:bookmarkEnd w:id="1"/>
      <w:bookmarkEnd w:id="2"/>
      <w:bookmarkEnd w:id="3"/>
      <w:bookmarkEnd w:id="4"/>
      <w:bookmarkEnd w:id="5"/>
      <w:bookmarkEnd w:id="6"/>
      <w:bookmarkEnd w:id="7"/>
    </w:p>
    <w:p>
      <w:pPr>
        <w:spacing w:line="480" w:lineRule="exact"/>
        <w:ind w:firstLine="480" w:firstLineChars="200"/>
        <w:rPr>
          <w:rFonts w:hint="eastAsia" w:ascii="宋体" w:hAnsi="宋体" w:cs="宋体"/>
          <w:sz w:val="24"/>
        </w:rPr>
      </w:pPr>
      <w:r>
        <w:rPr>
          <w:rFonts w:hint="eastAsia" w:ascii="宋体" w:hAnsi="宋体" w:cs="宋体"/>
          <w:sz w:val="24"/>
        </w:rPr>
        <w:t>1、对产品售后服务在规定质保期内属本公司制造、安装质量问题，公司负责无偿维修或退换。</w:t>
      </w:r>
    </w:p>
    <w:p>
      <w:pPr>
        <w:spacing w:line="480" w:lineRule="exact"/>
        <w:ind w:firstLine="480" w:firstLineChars="200"/>
        <w:rPr>
          <w:rFonts w:hint="eastAsia" w:ascii="宋体" w:hAnsi="宋体" w:cs="宋体"/>
          <w:sz w:val="24"/>
        </w:rPr>
      </w:pPr>
      <w:r>
        <w:rPr>
          <w:rFonts w:hint="eastAsia" w:ascii="宋体" w:hAnsi="宋体" w:cs="宋体"/>
          <w:sz w:val="24"/>
        </w:rPr>
        <w:t>2、保修期为终验合格后</w:t>
      </w:r>
      <w:r>
        <w:rPr>
          <w:rFonts w:hint="eastAsia" w:ascii="宋体" w:hAnsi="宋体" w:cs="宋体"/>
          <w:sz w:val="24"/>
          <w:u w:val="single"/>
        </w:rPr>
        <w:t xml:space="preserve">       </w:t>
      </w:r>
      <w:r>
        <w:rPr>
          <w:rFonts w:hint="eastAsia" w:ascii="宋体" w:hAnsi="宋体" w:cs="宋体"/>
          <w:sz w:val="24"/>
        </w:rPr>
        <w:t>个月</w:t>
      </w:r>
    </w:p>
    <w:p>
      <w:pPr>
        <w:spacing w:line="480" w:lineRule="exact"/>
        <w:ind w:firstLine="480" w:firstLineChars="200"/>
        <w:rPr>
          <w:rFonts w:hint="eastAsia" w:ascii="宋体" w:hAnsi="宋体" w:cs="宋体"/>
          <w:sz w:val="24"/>
        </w:rPr>
      </w:pPr>
      <w:r>
        <w:rPr>
          <w:rFonts w:hint="eastAsia" w:ascii="宋体" w:hAnsi="宋体" w:cs="宋体"/>
          <w:sz w:val="24"/>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pPr>
        <w:spacing w:line="480" w:lineRule="exact"/>
        <w:ind w:firstLine="480" w:firstLineChars="200"/>
        <w:rPr>
          <w:rFonts w:hint="eastAsia" w:ascii="宋体" w:hAnsi="宋体" w:cs="宋体"/>
          <w:sz w:val="24"/>
        </w:rPr>
      </w:pPr>
      <w:r>
        <w:rPr>
          <w:rFonts w:hint="eastAsia" w:ascii="宋体" w:hAnsi="宋体" w:cs="宋体"/>
          <w:sz w:val="24"/>
        </w:rPr>
        <w:t>4、由于顾客使用不当等原因造成的产品损坏，由公司当事销售人员与顾客签订维修合同，根据维修合同，技术维修组负责如期完成维修任务。</w:t>
      </w:r>
    </w:p>
    <w:p>
      <w:pPr>
        <w:spacing w:line="480" w:lineRule="exact"/>
        <w:ind w:firstLine="480" w:firstLineChars="200"/>
        <w:rPr>
          <w:rFonts w:hint="eastAsia" w:ascii="宋体" w:hAnsi="宋体" w:cs="宋体"/>
          <w:sz w:val="24"/>
        </w:rPr>
      </w:pPr>
      <w:r>
        <w:rPr>
          <w:rFonts w:hint="eastAsia" w:ascii="宋体" w:hAnsi="宋体" w:cs="宋体"/>
          <w:sz w:val="24"/>
        </w:rPr>
        <w:t>5、除质保期内的售后服务外，本公司同时负责质保期后的设备维修工作，但其售后服务费用由需方承担。</w:t>
      </w:r>
    </w:p>
    <w:p>
      <w:pPr>
        <w:spacing w:line="480" w:lineRule="exact"/>
        <w:rPr>
          <w:rFonts w:hint="eastAsia" w:ascii="宋体" w:hAnsi="宋体" w:cs="宋体"/>
          <w:b/>
          <w:bCs/>
          <w:sz w:val="24"/>
        </w:rPr>
      </w:pPr>
      <w:bookmarkStart w:id="8" w:name="_Toc370999357"/>
      <w:bookmarkStart w:id="9" w:name="_Toc22846"/>
      <w:bookmarkStart w:id="10" w:name="_Toc22073"/>
      <w:bookmarkStart w:id="11" w:name="_Toc6840913"/>
      <w:bookmarkStart w:id="12" w:name="_Toc6322"/>
      <w:bookmarkStart w:id="13" w:name="_Toc387660032"/>
      <w:bookmarkStart w:id="14" w:name="_Toc366082471"/>
      <w:bookmarkStart w:id="15" w:name="_Toc217571392"/>
      <w:bookmarkStart w:id="16" w:name="_Toc4751268"/>
      <w:bookmarkStart w:id="17" w:name="_Toc4747813"/>
      <w:bookmarkStart w:id="18" w:name="_Toc277248385"/>
      <w:bookmarkStart w:id="19" w:name="_Toc245883665"/>
      <w:bookmarkStart w:id="20" w:name="_Toc415087029"/>
      <w:bookmarkStart w:id="21" w:name="_Toc219621656"/>
      <w:bookmarkStart w:id="22" w:name="_Toc357397591"/>
      <w:bookmarkStart w:id="23" w:name="_Toc6940"/>
      <w:bookmarkStart w:id="24" w:name="_Toc444423909"/>
      <w:bookmarkStart w:id="25" w:name="_Toc15269"/>
      <w:r>
        <w:rPr>
          <w:rFonts w:hint="eastAsia" w:ascii="宋体" w:hAnsi="宋体" w:cs="宋体"/>
          <w:b/>
          <w:bCs/>
          <w:sz w:val="24"/>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spacing w:line="480" w:lineRule="exact"/>
        <w:ind w:firstLine="480" w:firstLineChars="200"/>
        <w:rPr>
          <w:rFonts w:hint="eastAsia" w:ascii="宋体" w:hAnsi="宋体" w:cs="宋体"/>
          <w:sz w:val="24"/>
        </w:rPr>
      </w:pPr>
      <w:r>
        <w:rPr>
          <w:rFonts w:hint="eastAsia" w:ascii="宋体" w:hAnsi="宋体" w:cs="宋体"/>
          <w:sz w:val="24"/>
        </w:rPr>
        <w:t>投标设备最终验收前，我公司向招标人提供下列现场技术服务：</w:t>
      </w:r>
    </w:p>
    <w:p>
      <w:pPr>
        <w:spacing w:line="480" w:lineRule="exact"/>
        <w:rPr>
          <w:rFonts w:hint="eastAsia" w:ascii="宋体" w:hAnsi="宋体" w:cs="宋体"/>
          <w:b/>
          <w:bCs/>
          <w:sz w:val="24"/>
        </w:rPr>
      </w:pPr>
      <w:bookmarkStart w:id="26" w:name="_Toc219621657"/>
      <w:bookmarkStart w:id="27" w:name="_Toc217571393"/>
      <w:bookmarkStart w:id="28" w:name="_Toc243980082"/>
      <w:r>
        <w:rPr>
          <w:rFonts w:hint="eastAsia" w:ascii="宋体" w:hAnsi="宋体" w:cs="宋体"/>
          <w:b/>
          <w:bCs/>
          <w:sz w:val="24"/>
        </w:rPr>
        <w:t>安装督导</w:t>
      </w:r>
      <w:bookmarkEnd w:id="26"/>
      <w:bookmarkEnd w:id="27"/>
      <w:bookmarkEnd w:id="28"/>
    </w:p>
    <w:p>
      <w:pPr>
        <w:spacing w:line="480" w:lineRule="exact"/>
        <w:ind w:firstLine="480" w:firstLineChars="200"/>
        <w:rPr>
          <w:rFonts w:hint="eastAsia" w:ascii="宋体" w:hAnsi="宋体" w:cs="宋体"/>
          <w:sz w:val="24"/>
        </w:rPr>
      </w:pPr>
      <w:bookmarkStart w:id="29" w:name="_Toc219621658"/>
      <w:r>
        <w:rPr>
          <w:rFonts w:hint="eastAsia" w:ascii="宋体" w:hAnsi="宋体" w:cs="宋体"/>
          <w:sz w:val="24"/>
        </w:rPr>
        <w:t>设备安装的准备工作</w:t>
      </w:r>
      <w:bookmarkEnd w:id="29"/>
    </w:p>
    <w:p>
      <w:pPr>
        <w:spacing w:line="480" w:lineRule="exact"/>
        <w:ind w:firstLine="480" w:firstLineChars="200"/>
        <w:rPr>
          <w:rFonts w:hint="eastAsia" w:ascii="宋体" w:hAnsi="宋体" w:cs="宋体"/>
          <w:sz w:val="24"/>
        </w:rPr>
      </w:pPr>
      <w:r>
        <w:rPr>
          <w:rFonts w:hint="eastAsia" w:ascii="宋体" w:hAnsi="宋体" w:cs="宋体"/>
          <w:sz w:val="24"/>
        </w:rPr>
        <w:t>我公司负责提供相应的设备安装文件。我公司负责设备的安装督导，安装前应保证人员到位，并具备督导必须的条件。</w:t>
      </w:r>
    </w:p>
    <w:p>
      <w:pPr>
        <w:spacing w:line="480" w:lineRule="exact"/>
        <w:ind w:firstLine="480" w:firstLineChars="200"/>
        <w:rPr>
          <w:rFonts w:hint="eastAsia" w:ascii="宋体" w:hAnsi="宋体" w:cs="宋体"/>
          <w:sz w:val="24"/>
        </w:rPr>
      </w:pPr>
      <w:bookmarkStart w:id="30" w:name="_Toc219621659"/>
      <w:r>
        <w:rPr>
          <w:rFonts w:hint="eastAsia" w:ascii="宋体" w:hAnsi="宋体" w:cs="宋体"/>
          <w:sz w:val="24"/>
        </w:rPr>
        <w:t>安装和开通期间</w:t>
      </w:r>
      <w:bookmarkEnd w:id="30"/>
    </w:p>
    <w:p>
      <w:pPr>
        <w:spacing w:line="480" w:lineRule="exact"/>
        <w:ind w:firstLine="480" w:firstLineChars="200"/>
        <w:rPr>
          <w:rFonts w:hint="eastAsia" w:ascii="宋体" w:hAnsi="宋体" w:cs="宋体"/>
          <w:sz w:val="24"/>
        </w:rPr>
      </w:pPr>
      <w:r>
        <w:rPr>
          <w:rFonts w:hint="eastAsia" w:ascii="宋体" w:hAnsi="宋体" w:cs="宋体"/>
          <w:sz w:val="24"/>
        </w:rPr>
        <w:t>我公司会按照已获招标人确认的工程所有工作的实施方法和措施，在合同规定的竣工日期前完成工程的施工安装督导、调试和验收。</w:t>
      </w:r>
    </w:p>
    <w:p>
      <w:pPr>
        <w:spacing w:line="480" w:lineRule="exact"/>
        <w:ind w:firstLine="480" w:firstLineChars="200"/>
        <w:rPr>
          <w:rFonts w:hint="eastAsia" w:ascii="宋体" w:hAnsi="宋体" w:cs="宋体"/>
          <w:sz w:val="24"/>
        </w:rPr>
      </w:pPr>
      <w:r>
        <w:rPr>
          <w:rFonts w:hint="eastAsia" w:ascii="宋体" w:hAnsi="宋体" w:cs="宋体"/>
          <w:sz w:val="24"/>
        </w:rPr>
        <w:t>我公司派遣足够的、具有适当资质和经验的人员到现场完成施工安装督导、调试和验收的工作。</w:t>
      </w:r>
    </w:p>
    <w:p>
      <w:pPr>
        <w:spacing w:line="480" w:lineRule="exact"/>
        <w:ind w:firstLine="480" w:firstLineChars="200"/>
        <w:rPr>
          <w:rFonts w:hint="eastAsia" w:ascii="宋体" w:hAnsi="宋体" w:cs="宋体"/>
          <w:sz w:val="24"/>
        </w:rPr>
      </w:pPr>
      <w:r>
        <w:rPr>
          <w:rFonts w:hint="eastAsia" w:ascii="宋体" w:hAnsi="宋体" w:cs="宋体"/>
          <w:sz w:val="24"/>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pPr>
        <w:spacing w:line="480" w:lineRule="exact"/>
        <w:ind w:firstLine="480" w:firstLineChars="200"/>
        <w:rPr>
          <w:rFonts w:hint="eastAsia" w:ascii="宋体" w:hAnsi="宋体" w:cs="宋体"/>
          <w:sz w:val="24"/>
        </w:rPr>
      </w:pPr>
      <w:bookmarkStart w:id="31" w:name="_Toc219621660"/>
      <w:r>
        <w:rPr>
          <w:rFonts w:hint="eastAsia" w:ascii="宋体" w:hAnsi="宋体" w:cs="宋体"/>
          <w:sz w:val="24"/>
        </w:rPr>
        <w:t>人员</w:t>
      </w:r>
      <w:bookmarkEnd w:id="31"/>
    </w:p>
    <w:p>
      <w:pPr>
        <w:spacing w:line="480" w:lineRule="exact"/>
        <w:ind w:firstLine="480" w:firstLineChars="200"/>
        <w:rPr>
          <w:rFonts w:hint="eastAsia" w:ascii="宋体" w:hAnsi="宋体" w:cs="宋体"/>
          <w:sz w:val="24"/>
        </w:rPr>
      </w:pPr>
      <w:r>
        <w:rPr>
          <w:rFonts w:hint="eastAsia" w:ascii="宋体" w:hAnsi="宋体" w:cs="宋体"/>
          <w:sz w:val="24"/>
        </w:rPr>
        <w:t>执行安装督导的项目经理具有项目管理经验，具有较强的沟通协调与现场工程管理能力，确保工程实施的进度与质量。</w:t>
      </w:r>
    </w:p>
    <w:p>
      <w:pPr>
        <w:spacing w:line="480" w:lineRule="exact"/>
        <w:ind w:firstLine="480" w:firstLineChars="200"/>
        <w:rPr>
          <w:rFonts w:hint="eastAsia" w:ascii="宋体" w:hAnsi="宋体" w:cs="宋体"/>
          <w:sz w:val="24"/>
        </w:rPr>
      </w:pPr>
      <w:r>
        <w:rPr>
          <w:rFonts w:hint="eastAsia" w:ascii="宋体" w:hAnsi="宋体" w:cs="宋体"/>
          <w:sz w:val="24"/>
        </w:rPr>
        <w:t>执行安装督导技术人员是受过我公司专业培训的工程师，负责项目建设中所分派的由其执行的安装、指导和测试工作，并且和招标人一起参与开通程序，并根据进度表，达到工程要求和质量标准。</w:t>
      </w:r>
    </w:p>
    <w:p>
      <w:pPr>
        <w:spacing w:line="480" w:lineRule="exact"/>
        <w:ind w:firstLine="480" w:firstLineChars="200"/>
        <w:rPr>
          <w:rFonts w:hint="eastAsia" w:ascii="宋体" w:hAnsi="宋体" w:cs="宋体"/>
          <w:sz w:val="24"/>
        </w:rPr>
      </w:pPr>
      <w:bookmarkStart w:id="32" w:name="_Toc219621661"/>
      <w:r>
        <w:rPr>
          <w:rFonts w:hint="eastAsia" w:ascii="宋体" w:hAnsi="宋体" w:cs="宋体"/>
          <w:sz w:val="24"/>
        </w:rPr>
        <w:t>施工安装督导工作描述</w:t>
      </w:r>
      <w:bookmarkEnd w:id="32"/>
    </w:p>
    <w:p>
      <w:pPr>
        <w:spacing w:line="480" w:lineRule="exact"/>
        <w:ind w:firstLine="480" w:firstLineChars="200"/>
        <w:rPr>
          <w:rFonts w:hint="eastAsia" w:ascii="宋体" w:hAnsi="宋体" w:cs="宋体"/>
          <w:sz w:val="24"/>
        </w:rPr>
      </w:pPr>
      <w:r>
        <w:rPr>
          <w:rFonts w:hint="eastAsia" w:ascii="宋体" w:hAnsi="宋体" w:cs="宋体"/>
          <w:sz w:val="24"/>
        </w:rPr>
        <w:t>（1）根据进度表确保所提供系统的安装工作并保证达到质量标准，遵守相关的安装指导原则及经济原则，并对现场的安装人员进行安全指导；</w:t>
      </w:r>
    </w:p>
    <w:p>
      <w:pPr>
        <w:spacing w:line="480" w:lineRule="exact"/>
        <w:ind w:firstLine="480" w:firstLineChars="200"/>
        <w:rPr>
          <w:rFonts w:hint="eastAsia" w:ascii="宋体" w:hAnsi="宋体" w:cs="宋体"/>
          <w:sz w:val="24"/>
        </w:rPr>
      </w:pPr>
      <w:r>
        <w:rPr>
          <w:rFonts w:hint="eastAsia" w:ascii="宋体" w:hAnsi="宋体" w:cs="宋体"/>
          <w:sz w:val="24"/>
        </w:rPr>
        <w:t>（2）根据工程进度完成测试和开通工作，达到工程和质量要求；</w:t>
      </w:r>
    </w:p>
    <w:p>
      <w:pPr>
        <w:spacing w:line="480" w:lineRule="exact"/>
        <w:ind w:firstLine="480" w:firstLineChars="200"/>
        <w:rPr>
          <w:rFonts w:hint="eastAsia" w:ascii="宋体" w:hAnsi="宋体" w:cs="宋体"/>
          <w:sz w:val="24"/>
        </w:rPr>
      </w:pPr>
      <w:r>
        <w:rPr>
          <w:rFonts w:hint="eastAsia" w:ascii="宋体" w:hAnsi="宋体" w:cs="宋体"/>
          <w:sz w:val="24"/>
        </w:rPr>
        <w:t>（3）协调与内部的特定部门，外部的公司，业主或业主委托的公司的关系；</w:t>
      </w:r>
    </w:p>
    <w:p>
      <w:pPr>
        <w:spacing w:line="480" w:lineRule="exact"/>
        <w:ind w:firstLine="480" w:firstLineChars="200"/>
        <w:rPr>
          <w:rFonts w:hint="eastAsia" w:ascii="宋体" w:hAnsi="宋体" w:cs="宋体"/>
          <w:sz w:val="24"/>
        </w:rPr>
      </w:pPr>
      <w:r>
        <w:rPr>
          <w:rFonts w:hint="eastAsia" w:ascii="宋体" w:hAnsi="宋体" w:cs="宋体"/>
          <w:sz w:val="24"/>
        </w:rPr>
        <w:t>（4）指出工程的障碍；</w:t>
      </w:r>
    </w:p>
    <w:p>
      <w:pPr>
        <w:spacing w:line="480" w:lineRule="exact"/>
        <w:ind w:firstLine="480" w:firstLineChars="200"/>
        <w:rPr>
          <w:rFonts w:hint="eastAsia" w:ascii="宋体" w:hAnsi="宋体" w:cs="宋体"/>
          <w:sz w:val="24"/>
        </w:rPr>
      </w:pPr>
      <w:r>
        <w:rPr>
          <w:rFonts w:hint="eastAsia" w:ascii="宋体" w:hAnsi="宋体" w:cs="宋体"/>
          <w:sz w:val="24"/>
        </w:rPr>
        <w:t>（5）与招标人共同参与有关问题的会议/讨论，澄清；</w:t>
      </w:r>
    </w:p>
    <w:p>
      <w:pPr>
        <w:spacing w:line="480" w:lineRule="exact"/>
        <w:ind w:firstLine="480" w:firstLineChars="200"/>
        <w:rPr>
          <w:rFonts w:hint="eastAsia" w:ascii="宋体" w:hAnsi="宋体" w:cs="宋体"/>
          <w:sz w:val="24"/>
        </w:rPr>
      </w:pPr>
      <w:r>
        <w:rPr>
          <w:rFonts w:hint="eastAsia" w:ascii="宋体" w:hAnsi="宋体" w:cs="宋体"/>
          <w:sz w:val="24"/>
        </w:rPr>
        <w:t>（6）根据时间进度表，协调安装工作；</w:t>
      </w:r>
    </w:p>
    <w:p>
      <w:pPr>
        <w:spacing w:line="480" w:lineRule="exact"/>
        <w:ind w:firstLine="480" w:firstLineChars="200"/>
        <w:rPr>
          <w:rFonts w:hint="eastAsia" w:ascii="宋体" w:hAnsi="宋体" w:cs="宋体"/>
          <w:sz w:val="24"/>
        </w:rPr>
      </w:pPr>
      <w:r>
        <w:rPr>
          <w:rFonts w:hint="eastAsia" w:ascii="宋体" w:hAnsi="宋体" w:cs="宋体"/>
          <w:sz w:val="24"/>
        </w:rPr>
        <w:t>（7）参与技术问题的澄清；</w:t>
      </w:r>
    </w:p>
    <w:p>
      <w:pPr>
        <w:spacing w:line="480" w:lineRule="exact"/>
        <w:ind w:firstLine="480" w:firstLineChars="200"/>
        <w:rPr>
          <w:rFonts w:hint="eastAsia" w:ascii="宋体" w:hAnsi="宋体" w:cs="宋体"/>
          <w:sz w:val="24"/>
        </w:rPr>
      </w:pPr>
      <w:r>
        <w:rPr>
          <w:rFonts w:hint="eastAsia" w:ascii="宋体" w:hAnsi="宋体" w:cs="宋体"/>
          <w:sz w:val="24"/>
        </w:rPr>
        <w:t>（8）负责相关的测试和验收工作；</w:t>
      </w:r>
    </w:p>
    <w:p>
      <w:pPr>
        <w:spacing w:line="480" w:lineRule="exact"/>
        <w:ind w:firstLine="480" w:firstLineChars="200"/>
        <w:rPr>
          <w:rFonts w:hint="eastAsia" w:ascii="宋体" w:hAnsi="宋体" w:cs="宋体"/>
          <w:sz w:val="24"/>
        </w:rPr>
      </w:pPr>
      <w:r>
        <w:rPr>
          <w:rFonts w:hint="eastAsia" w:ascii="宋体" w:hAnsi="宋体" w:cs="宋体"/>
          <w:sz w:val="24"/>
        </w:rPr>
        <w:t>（9）工作文件的保存；</w:t>
      </w:r>
    </w:p>
    <w:p>
      <w:pPr>
        <w:spacing w:line="480" w:lineRule="exact"/>
        <w:ind w:firstLine="480" w:firstLineChars="200"/>
        <w:rPr>
          <w:rFonts w:hint="eastAsia" w:ascii="宋体" w:hAnsi="宋体" w:cs="宋体"/>
          <w:sz w:val="24"/>
        </w:rPr>
      </w:pPr>
      <w:r>
        <w:rPr>
          <w:rFonts w:hint="eastAsia" w:ascii="宋体" w:hAnsi="宋体" w:cs="宋体"/>
          <w:sz w:val="24"/>
        </w:rPr>
        <w:t>（10）遵守法律规章和内部指导原则；</w:t>
      </w:r>
    </w:p>
    <w:p>
      <w:pPr>
        <w:spacing w:line="480" w:lineRule="exact"/>
        <w:ind w:firstLine="480" w:firstLineChars="200"/>
        <w:rPr>
          <w:rFonts w:hint="eastAsia" w:ascii="宋体" w:hAnsi="宋体" w:cs="宋体"/>
          <w:sz w:val="24"/>
        </w:rPr>
      </w:pPr>
      <w:r>
        <w:rPr>
          <w:rFonts w:hint="eastAsia" w:ascii="宋体" w:hAnsi="宋体" w:cs="宋体"/>
          <w:sz w:val="24"/>
        </w:rPr>
        <w:t>（11）工程现场设备安装指导、安装检查；</w:t>
      </w:r>
    </w:p>
    <w:p>
      <w:pPr>
        <w:spacing w:line="480" w:lineRule="exact"/>
        <w:ind w:firstLine="480" w:firstLineChars="200"/>
        <w:rPr>
          <w:rFonts w:hint="eastAsia" w:ascii="宋体" w:hAnsi="宋体" w:cs="宋体"/>
          <w:sz w:val="24"/>
        </w:rPr>
      </w:pPr>
      <w:r>
        <w:rPr>
          <w:rFonts w:hint="eastAsia" w:ascii="宋体" w:hAnsi="宋体" w:cs="宋体"/>
          <w:sz w:val="24"/>
        </w:rPr>
        <w:t>（12）设备单机加电调试</w:t>
      </w:r>
    </w:p>
    <w:p>
      <w:pPr>
        <w:spacing w:line="480" w:lineRule="exact"/>
        <w:ind w:firstLine="482" w:firstLineChars="200"/>
        <w:rPr>
          <w:rFonts w:hint="eastAsia" w:ascii="宋体" w:hAnsi="宋体" w:cs="宋体"/>
          <w:b/>
          <w:bCs/>
          <w:sz w:val="24"/>
        </w:rPr>
      </w:pPr>
      <w:bookmarkStart w:id="33" w:name="_Toc219621663"/>
      <w:bookmarkStart w:id="34" w:name="_Toc217571394"/>
      <w:bookmarkStart w:id="35" w:name="_Toc243980083"/>
      <w:r>
        <w:rPr>
          <w:rFonts w:hint="eastAsia" w:ascii="宋体" w:hAnsi="宋体" w:cs="宋体"/>
          <w:b/>
          <w:bCs/>
          <w:sz w:val="24"/>
        </w:rPr>
        <w:t>系统调试</w:t>
      </w:r>
      <w:bookmarkEnd w:id="33"/>
      <w:bookmarkEnd w:id="34"/>
      <w:bookmarkEnd w:id="35"/>
    </w:p>
    <w:p>
      <w:pPr>
        <w:spacing w:line="480" w:lineRule="exact"/>
        <w:ind w:firstLine="480" w:firstLineChars="200"/>
        <w:rPr>
          <w:rFonts w:hint="eastAsia" w:ascii="宋体" w:hAnsi="宋体" w:cs="宋体"/>
          <w:sz w:val="24"/>
        </w:rPr>
      </w:pPr>
      <w:r>
        <w:rPr>
          <w:rFonts w:hint="eastAsia" w:ascii="宋体" w:hAnsi="宋体" w:cs="宋体"/>
          <w:sz w:val="24"/>
        </w:rPr>
        <w:t>我公司向招标人提出所供系统调试开通方案、调试仪表和工具清单，经招标人进行确认后实施，配合招标人的自验收工作，并对执行系统验收测试提供技术支持。</w:t>
      </w:r>
    </w:p>
    <w:p>
      <w:pPr>
        <w:spacing w:line="480" w:lineRule="exact"/>
        <w:ind w:firstLine="480" w:firstLineChars="200"/>
        <w:rPr>
          <w:rFonts w:hint="eastAsia" w:ascii="宋体" w:hAnsi="宋体" w:cs="宋体"/>
          <w:sz w:val="24"/>
        </w:rPr>
      </w:pPr>
      <w:r>
        <w:rPr>
          <w:rFonts w:hint="eastAsia" w:ascii="宋体" w:hAnsi="宋体" w:cs="宋体"/>
          <w:sz w:val="24"/>
        </w:rPr>
        <w:t>我公司所供系统调试开通并经招标人确认后，我公司向招标人提供所共系统调试开通文件,包括：</w:t>
      </w:r>
    </w:p>
    <w:p>
      <w:pPr>
        <w:spacing w:line="480" w:lineRule="exact"/>
        <w:ind w:firstLine="480" w:firstLineChars="200"/>
        <w:rPr>
          <w:rFonts w:hint="eastAsia" w:ascii="宋体" w:hAnsi="宋体" w:cs="宋体"/>
          <w:sz w:val="24"/>
        </w:rPr>
      </w:pPr>
      <w:r>
        <w:rPr>
          <w:rFonts w:hint="eastAsia" w:ascii="宋体" w:hAnsi="宋体" w:cs="宋体"/>
          <w:sz w:val="24"/>
        </w:rPr>
        <w:t>（1）供货设备清单；</w:t>
      </w:r>
    </w:p>
    <w:p>
      <w:pPr>
        <w:spacing w:line="480" w:lineRule="exact"/>
        <w:ind w:firstLine="480" w:firstLineChars="200"/>
        <w:rPr>
          <w:rFonts w:hint="eastAsia" w:ascii="宋体" w:hAnsi="宋体" w:cs="宋体"/>
          <w:sz w:val="24"/>
        </w:rPr>
      </w:pPr>
      <w:r>
        <w:rPr>
          <w:rFonts w:hint="eastAsia" w:ascii="宋体" w:hAnsi="宋体" w:cs="宋体"/>
          <w:sz w:val="24"/>
        </w:rPr>
        <w:t>（2）设备缺陷处理记录；</w:t>
      </w:r>
    </w:p>
    <w:p>
      <w:pPr>
        <w:spacing w:line="480" w:lineRule="exact"/>
        <w:ind w:firstLine="480" w:firstLineChars="200"/>
        <w:rPr>
          <w:rFonts w:hint="eastAsia" w:ascii="宋体" w:hAnsi="宋体" w:cs="宋体"/>
          <w:sz w:val="24"/>
        </w:rPr>
      </w:pPr>
      <w:r>
        <w:rPr>
          <w:rFonts w:hint="eastAsia" w:ascii="宋体" w:hAnsi="宋体" w:cs="宋体"/>
          <w:sz w:val="24"/>
        </w:rPr>
        <w:t>（3）系统的测试记录及分析报告；</w:t>
      </w:r>
    </w:p>
    <w:p>
      <w:pPr>
        <w:spacing w:line="480" w:lineRule="exact"/>
        <w:ind w:firstLine="482" w:firstLineChars="200"/>
        <w:rPr>
          <w:rFonts w:hint="eastAsia" w:ascii="宋体" w:hAnsi="宋体" w:cs="宋体"/>
          <w:b/>
          <w:bCs/>
          <w:sz w:val="24"/>
        </w:rPr>
      </w:pPr>
      <w:bookmarkStart w:id="36" w:name="_Toc219621667"/>
      <w:bookmarkStart w:id="37" w:name="_Toc243980084"/>
      <w:bookmarkStart w:id="38" w:name="_Toc217571395"/>
      <w:r>
        <w:rPr>
          <w:rFonts w:hint="eastAsia" w:ascii="宋体" w:hAnsi="宋体" w:cs="宋体"/>
          <w:b/>
          <w:bCs/>
          <w:sz w:val="24"/>
        </w:rPr>
        <w:t>故障处理</w:t>
      </w:r>
      <w:bookmarkEnd w:id="36"/>
      <w:bookmarkEnd w:id="37"/>
      <w:bookmarkEnd w:id="38"/>
    </w:p>
    <w:p>
      <w:pPr>
        <w:spacing w:line="480" w:lineRule="exact"/>
        <w:ind w:firstLine="480" w:firstLineChars="200"/>
        <w:rPr>
          <w:rFonts w:hint="eastAsia" w:ascii="宋体" w:hAnsi="宋体" w:cs="宋体"/>
          <w:sz w:val="24"/>
        </w:rPr>
      </w:pPr>
      <w:r>
        <w:rPr>
          <w:rFonts w:hint="eastAsia" w:ascii="宋体" w:hAnsi="宋体" w:cs="宋体"/>
          <w:sz w:val="24"/>
        </w:rPr>
        <w:t>在设备最终验收前，我公司免费提供任何由于系统设计、设备制造、安装等缺陷引起的更换设备及所需工具。</w:t>
      </w:r>
    </w:p>
    <w:p>
      <w:pPr>
        <w:spacing w:line="480" w:lineRule="exact"/>
        <w:ind w:firstLine="480" w:firstLineChars="200"/>
        <w:rPr>
          <w:rFonts w:hint="eastAsia" w:ascii="宋体" w:hAnsi="宋体" w:cs="宋体"/>
          <w:sz w:val="24"/>
        </w:rPr>
      </w:pPr>
      <w:r>
        <w:rPr>
          <w:rFonts w:hint="eastAsia" w:ascii="宋体" w:hAnsi="宋体" w:cs="宋体"/>
          <w:sz w:val="24"/>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pPr>
        <w:spacing w:line="480" w:lineRule="exact"/>
        <w:ind w:firstLine="482" w:firstLineChars="200"/>
        <w:rPr>
          <w:rFonts w:hint="eastAsia" w:ascii="宋体" w:hAnsi="宋体" w:cs="宋体"/>
          <w:b/>
          <w:bCs/>
          <w:sz w:val="24"/>
        </w:rPr>
      </w:pPr>
      <w:bookmarkStart w:id="39" w:name="_Toc219621668"/>
      <w:bookmarkStart w:id="40" w:name="_Toc217571396"/>
      <w:bookmarkStart w:id="41" w:name="_Toc243980085"/>
      <w:bookmarkStart w:id="42" w:name="_Toc180248773"/>
      <w:r>
        <w:rPr>
          <w:rFonts w:hint="eastAsia" w:ascii="宋体" w:hAnsi="宋体" w:cs="宋体"/>
          <w:b/>
          <w:bCs/>
          <w:sz w:val="24"/>
        </w:rPr>
        <w:t>现场巡检服务</w:t>
      </w:r>
      <w:bookmarkEnd w:id="39"/>
      <w:bookmarkEnd w:id="40"/>
      <w:bookmarkEnd w:id="41"/>
      <w:bookmarkEnd w:id="42"/>
    </w:p>
    <w:p>
      <w:pPr>
        <w:spacing w:line="480" w:lineRule="exact"/>
        <w:ind w:firstLine="480" w:firstLineChars="200"/>
        <w:rPr>
          <w:rFonts w:hint="eastAsia" w:ascii="宋体" w:hAnsi="宋体" w:cs="宋体"/>
          <w:sz w:val="24"/>
        </w:rPr>
      </w:pPr>
      <w:r>
        <w:rPr>
          <w:rFonts w:hint="eastAsia" w:ascii="宋体" w:hAnsi="宋体" w:cs="宋体"/>
          <w:sz w:val="24"/>
        </w:rPr>
        <w:t>我公司针对设备运行情况进行定期或不定期的巡回检查（包括电话回访与现场回访），了解招标人设备的运行情况，及时处理存在的问题，并进行有关技术指导。</w:t>
      </w:r>
    </w:p>
    <w:p>
      <w:pPr>
        <w:spacing w:line="480" w:lineRule="exact"/>
        <w:ind w:firstLine="480" w:firstLineChars="200"/>
        <w:rPr>
          <w:rFonts w:hint="eastAsia" w:ascii="宋体" w:hAnsi="宋体" w:cs="宋体"/>
          <w:sz w:val="24"/>
        </w:rPr>
      </w:pPr>
      <w:r>
        <w:rPr>
          <w:rFonts w:hint="eastAsia" w:ascii="宋体" w:hAnsi="宋体" w:cs="宋体"/>
          <w:sz w:val="24"/>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pPr>
        <w:spacing w:line="480" w:lineRule="exact"/>
        <w:ind w:firstLine="480" w:firstLineChars="200"/>
        <w:rPr>
          <w:rFonts w:hint="eastAsia" w:ascii="宋体" w:hAnsi="宋体" w:cs="宋体"/>
          <w:sz w:val="24"/>
        </w:rPr>
      </w:pPr>
      <w:r>
        <w:rPr>
          <w:rFonts w:hint="eastAsia" w:ascii="宋体" w:hAnsi="宋体" w:cs="宋体"/>
          <w:sz w:val="24"/>
        </w:rPr>
        <w:t>产品在招标人现场使用3个月后将再次进行电话回访，了解设备的使用状况，同时售后服务人员将重新说明设备的特点，及相关注意事项。</w:t>
      </w:r>
    </w:p>
    <w:p>
      <w:pPr>
        <w:spacing w:line="480" w:lineRule="exact"/>
        <w:ind w:firstLine="480" w:firstLineChars="200"/>
        <w:rPr>
          <w:rFonts w:hint="eastAsia" w:ascii="宋体" w:hAnsi="宋体" w:cs="宋体"/>
          <w:sz w:val="24"/>
        </w:rPr>
      </w:pPr>
      <w:r>
        <w:rPr>
          <w:rFonts w:hint="eastAsia" w:ascii="宋体" w:hAnsi="宋体" w:cs="宋体"/>
          <w:sz w:val="24"/>
        </w:rPr>
        <w:t>每年定期进行招标人现场回访。彻底检查设备关键部位，及时发现设备运行隐患，为招标人免费升级软件，并将新功能告知招标人。</w:t>
      </w:r>
    </w:p>
    <w:p>
      <w:pPr>
        <w:spacing w:line="480" w:lineRule="exact"/>
        <w:ind w:firstLine="480" w:firstLineChars="200"/>
        <w:rPr>
          <w:rFonts w:hint="eastAsia" w:ascii="宋体" w:hAnsi="宋体" w:cs="宋体"/>
          <w:sz w:val="24"/>
        </w:rPr>
      </w:pPr>
      <w:r>
        <w:rPr>
          <w:rFonts w:hint="eastAsia" w:ascii="宋体" w:hAnsi="宋体" w:cs="宋体"/>
          <w:sz w:val="24"/>
        </w:rPr>
        <w:t>我公司为招标人对系统的巡检提供7*24小时专家电话支持。</w:t>
      </w:r>
    </w:p>
    <w:p>
      <w:pPr>
        <w:spacing w:line="480" w:lineRule="exact"/>
        <w:ind w:firstLine="482" w:firstLineChars="200"/>
        <w:rPr>
          <w:rFonts w:hint="eastAsia" w:ascii="宋体" w:hAnsi="宋体" w:cs="宋体"/>
          <w:b/>
          <w:bCs/>
          <w:sz w:val="24"/>
        </w:rPr>
      </w:pPr>
      <w:r>
        <w:rPr>
          <w:rFonts w:hint="eastAsia" w:ascii="宋体" w:hAnsi="宋体" w:cs="宋体"/>
          <w:b/>
          <w:bCs/>
          <w:sz w:val="24"/>
        </w:rPr>
        <w:t>资料服务</w:t>
      </w:r>
    </w:p>
    <w:p>
      <w:pPr>
        <w:spacing w:line="480" w:lineRule="exact"/>
        <w:ind w:firstLine="480" w:firstLineChars="200"/>
        <w:rPr>
          <w:rFonts w:hint="eastAsia" w:ascii="宋体" w:hAnsi="宋体" w:cs="宋体"/>
          <w:sz w:val="24"/>
        </w:rPr>
      </w:pPr>
      <w:r>
        <w:rPr>
          <w:rFonts w:hint="eastAsia" w:ascii="宋体" w:hAnsi="宋体" w:cs="宋体"/>
          <w:sz w:val="24"/>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pPr>
        <w:spacing w:line="480" w:lineRule="exact"/>
        <w:ind w:firstLine="482" w:firstLineChars="200"/>
        <w:rPr>
          <w:rFonts w:hint="eastAsia" w:ascii="宋体" w:hAnsi="宋体" w:cs="宋体"/>
          <w:b/>
          <w:bCs/>
          <w:sz w:val="24"/>
        </w:rPr>
      </w:pPr>
      <w:r>
        <w:rPr>
          <w:rFonts w:hint="eastAsia" w:ascii="宋体" w:hAnsi="宋体" w:cs="宋体"/>
          <w:b/>
          <w:bCs/>
          <w:sz w:val="24"/>
        </w:rPr>
        <w:t>故障件维修服务</w:t>
      </w:r>
    </w:p>
    <w:p>
      <w:pPr>
        <w:spacing w:line="480" w:lineRule="exact"/>
        <w:ind w:firstLine="480" w:firstLineChars="200"/>
        <w:rPr>
          <w:rFonts w:hint="eastAsia" w:ascii="宋体" w:hAnsi="宋体" w:cs="宋体"/>
          <w:sz w:val="24"/>
        </w:rPr>
      </w:pPr>
      <w:r>
        <w:rPr>
          <w:rFonts w:hint="eastAsia" w:ascii="宋体" w:hAnsi="宋体" w:cs="宋体"/>
          <w:sz w:val="24"/>
        </w:rPr>
        <w:t>我方对用户在使用过程中出现的故障板件进行修复以保证设备持续可用的服务。</w:t>
      </w:r>
    </w:p>
    <w:p>
      <w:pPr>
        <w:spacing w:line="480" w:lineRule="exact"/>
        <w:ind w:firstLine="482" w:firstLineChars="200"/>
        <w:rPr>
          <w:rFonts w:hint="eastAsia" w:ascii="宋体" w:hAnsi="宋体" w:cs="宋体"/>
          <w:b/>
          <w:bCs/>
          <w:sz w:val="24"/>
        </w:rPr>
      </w:pPr>
      <w:r>
        <w:rPr>
          <w:rFonts w:hint="eastAsia" w:ascii="宋体" w:hAnsi="宋体" w:cs="宋体"/>
          <w:b/>
          <w:bCs/>
          <w:sz w:val="24"/>
        </w:rPr>
        <w:t>备件同步升级服务</w:t>
      </w:r>
    </w:p>
    <w:p>
      <w:pPr>
        <w:spacing w:line="480" w:lineRule="exact"/>
        <w:ind w:firstLine="480" w:firstLineChars="200"/>
        <w:rPr>
          <w:rFonts w:hint="eastAsia" w:ascii="宋体" w:hAnsi="宋体" w:cs="宋体"/>
          <w:sz w:val="24"/>
        </w:rPr>
      </w:pPr>
      <w:r>
        <w:rPr>
          <w:rFonts w:hint="eastAsia" w:ascii="宋体" w:hAnsi="宋体" w:cs="宋体"/>
          <w:sz w:val="24"/>
        </w:rPr>
        <w:t>网络设备升级后，投标方应提供备件的同步升级服务，使备件与在用系统设备相一致。</w:t>
      </w:r>
    </w:p>
    <w:p>
      <w:pPr>
        <w:spacing w:line="480" w:lineRule="exact"/>
        <w:ind w:firstLine="482" w:firstLineChars="200"/>
        <w:rPr>
          <w:rFonts w:hint="eastAsia" w:ascii="宋体" w:hAnsi="宋体" w:cs="宋体"/>
          <w:b/>
          <w:bCs/>
          <w:sz w:val="24"/>
        </w:rPr>
      </w:pPr>
      <w:r>
        <w:rPr>
          <w:rFonts w:hint="eastAsia" w:ascii="宋体" w:hAnsi="宋体" w:cs="宋体"/>
          <w:b/>
          <w:bCs/>
          <w:sz w:val="24"/>
        </w:rPr>
        <w:t>设备巡检及健康检查服务</w:t>
      </w:r>
    </w:p>
    <w:p>
      <w:pPr>
        <w:spacing w:line="480" w:lineRule="exact"/>
        <w:ind w:firstLine="480" w:firstLineChars="200"/>
        <w:rPr>
          <w:rFonts w:hint="eastAsia" w:ascii="宋体" w:hAnsi="宋体" w:cs="宋体"/>
          <w:sz w:val="24"/>
        </w:rPr>
      </w:pPr>
      <w:r>
        <w:rPr>
          <w:rFonts w:hint="eastAsia" w:ascii="宋体" w:hAnsi="宋体" w:cs="宋体"/>
          <w:sz w:val="24"/>
        </w:rPr>
        <w:t>每年一次对系统设备进行巡检服务，并提出健康检查项目，经用户认可后执行健康检查，检查结束提交健康检查报告。</w:t>
      </w:r>
    </w:p>
    <w:p>
      <w:pPr>
        <w:spacing w:line="480" w:lineRule="exact"/>
        <w:ind w:firstLine="482" w:firstLineChars="200"/>
        <w:rPr>
          <w:rFonts w:hint="eastAsia" w:ascii="宋体" w:hAnsi="宋体" w:cs="宋体"/>
          <w:b/>
          <w:bCs/>
          <w:sz w:val="24"/>
        </w:rPr>
      </w:pPr>
      <w:r>
        <w:rPr>
          <w:rFonts w:hint="eastAsia" w:ascii="宋体" w:hAnsi="宋体" w:cs="宋体"/>
          <w:b/>
          <w:bCs/>
          <w:sz w:val="24"/>
        </w:rPr>
        <w:t>第三方设备技术支持服务</w:t>
      </w:r>
    </w:p>
    <w:p>
      <w:pPr>
        <w:spacing w:line="480" w:lineRule="exact"/>
        <w:ind w:firstLine="480" w:firstLineChars="200"/>
        <w:rPr>
          <w:rFonts w:hint="eastAsia" w:ascii="宋体" w:hAnsi="宋体" w:cs="宋体"/>
          <w:sz w:val="24"/>
        </w:rPr>
      </w:pPr>
      <w:r>
        <w:rPr>
          <w:rFonts w:hint="eastAsia" w:ascii="宋体" w:hAnsi="宋体" w:cs="宋体"/>
          <w:sz w:val="24"/>
        </w:rPr>
        <w:t>我方统一受理系统中的第三方设备的技术支持，包括第三方设备的技术咨询、故障处理、备件升级等。</w:t>
      </w:r>
    </w:p>
    <w:p>
      <w:pPr>
        <w:spacing w:line="480" w:lineRule="exact"/>
        <w:ind w:firstLine="482" w:firstLineChars="200"/>
        <w:rPr>
          <w:rFonts w:hint="eastAsia" w:ascii="宋体" w:hAnsi="宋体" w:cs="宋体"/>
          <w:b/>
          <w:bCs/>
          <w:sz w:val="24"/>
        </w:rPr>
      </w:pPr>
      <w:r>
        <w:rPr>
          <w:rFonts w:hint="eastAsia" w:ascii="宋体" w:hAnsi="宋体" w:cs="宋体"/>
          <w:b/>
          <w:bCs/>
          <w:sz w:val="24"/>
        </w:rPr>
        <w:t>质保期内（</w:t>
      </w:r>
      <w:r>
        <w:rPr>
          <w:rFonts w:hint="eastAsia" w:ascii="宋体" w:hAnsi="宋体" w:cs="宋体"/>
          <w:b/>
          <w:bCs/>
          <w:sz w:val="24"/>
          <w:u w:val="single"/>
        </w:rPr>
        <w:t xml:space="preserve">     </w:t>
      </w:r>
      <w:r>
        <w:rPr>
          <w:rFonts w:hint="eastAsia" w:ascii="宋体" w:hAnsi="宋体" w:cs="宋体"/>
          <w:b/>
          <w:bCs/>
          <w:sz w:val="24"/>
        </w:rPr>
        <w:t>个月）技术支持服务</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一、缺陷通知期</w:t>
            </w:r>
            <w:r>
              <w:rPr>
                <w:rFonts w:hint="eastAsia" w:ascii="宋体" w:hAnsi="宋体" w:cs="宋体"/>
                <w:sz w:val="24"/>
                <w:u w:val="single"/>
              </w:rPr>
              <w:t xml:space="preserve">     </w:t>
            </w:r>
            <w:r>
              <w:rPr>
                <w:rFonts w:hint="eastAsia" w:ascii="宋体" w:hAnsi="宋体" w:cs="宋体"/>
                <w:sz w:val="24"/>
              </w:rPr>
              <w:t>个月内技术服务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noWrap w:val="0"/>
            <w:vAlign w:val="center"/>
          </w:tcPr>
          <w:p>
            <w:pPr>
              <w:spacing w:line="360" w:lineRule="auto"/>
              <w:jc w:val="center"/>
              <w:rPr>
                <w:rFonts w:hint="eastAsia" w:ascii="宋体" w:hAnsi="宋体" w:cs="宋体"/>
                <w:sz w:val="24"/>
              </w:rPr>
            </w:pPr>
            <w:r>
              <w:rPr>
                <w:rFonts w:hint="eastAsia" w:ascii="宋体" w:hAnsi="宋体" w:cs="宋体"/>
                <w:sz w:val="24"/>
              </w:rPr>
              <w:t>服务项目内容及服务地点</w:t>
            </w:r>
          </w:p>
        </w:tc>
        <w:tc>
          <w:tcPr>
            <w:tcW w:w="1490" w:type="dxa"/>
            <w:noWrap w:val="0"/>
            <w:vAlign w:val="center"/>
          </w:tcPr>
          <w:p>
            <w:pPr>
              <w:spacing w:line="360" w:lineRule="auto"/>
              <w:jc w:val="center"/>
              <w:rPr>
                <w:rFonts w:hint="eastAsia" w:ascii="宋体" w:hAnsi="宋体" w:cs="宋体"/>
                <w:sz w:val="24"/>
              </w:rPr>
            </w:pPr>
            <w:r>
              <w:rPr>
                <w:rFonts w:hint="eastAsia" w:ascii="宋体" w:hAnsi="宋体" w:cs="宋体"/>
                <w:sz w:val="24"/>
              </w:rPr>
              <w:t>响应时间</w:t>
            </w:r>
          </w:p>
        </w:tc>
        <w:tc>
          <w:tcPr>
            <w:tcW w:w="1961" w:type="dxa"/>
            <w:noWrap w:val="0"/>
            <w:vAlign w:val="center"/>
          </w:tcPr>
          <w:p>
            <w:pPr>
              <w:spacing w:line="360" w:lineRule="auto"/>
              <w:jc w:val="center"/>
              <w:rPr>
                <w:rFonts w:hint="eastAsia" w:ascii="宋体" w:hAnsi="宋体" w:cs="宋体"/>
                <w:sz w:val="24"/>
              </w:rPr>
            </w:pPr>
            <w:r>
              <w:rPr>
                <w:rFonts w:hint="eastAsia" w:ascii="宋体" w:hAnsi="宋体" w:cs="宋体"/>
                <w:sz w:val="24"/>
              </w:rPr>
              <w:t>人员数量</w:t>
            </w:r>
          </w:p>
        </w:tc>
        <w:tc>
          <w:tcPr>
            <w:tcW w:w="2804" w:type="dxa"/>
            <w:noWrap w:val="0"/>
            <w:vAlign w:val="center"/>
          </w:tcPr>
          <w:p>
            <w:pPr>
              <w:spacing w:line="360" w:lineRule="auto"/>
              <w:jc w:val="center"/>
              <w:rPr>
                <w:rFonts w:hint="eastAsia" w:ascii="宋体" w:hAnsi="宋体" w:cs="宋体"/>
                <w:sz w:val="24"/>
              </w:rPr>
            </w:pPr>
            <w:r>
              <w:rPr>
                <w:rFonts w:hint="eastAsia" w:ascii="宋体" w:hAnsi="宋体" w:cs="宋体"/>
                <w:sz w:val="24"/>
              </w:rPr>
              <w:t>人员资质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noWrap w:val="0"/>
            <w:vAlign w:val="center"/>
          </w:tcPr>
          <w:p>
            <w:pPr>
              <w:spacing w:line="360" w:lineRule="auto"/>
              <w:jc w:val="center"/>
              <w:rPr>
                <w:rFonts w:hint="eastAsia" w:ascii="宋体" w:hAnsi="宋体" w:cs="宋体"/>
                <w:sz w:val="24"/>
              </w:rPr>
            </w:pPr>
            <w:r>
              <w:rPr>
                <w:rFonts w:hint="eastAsia" w:ascii="宋体" w:hAnsi="宋体" w:cs="宋体"/>
                <w:sz w:val="24"/>
              </w:rPr>
              <w:t>远程-电话支持</w:t>
            </w:r>
          </w:p>
        </w:tc>
        <w:tc>
          <w:tcPr>
            <w:tcW w:w="1490" w:type="dxa"/>
            <w:noWrap w:val="0"/>
            <w:vAlign w:val="center"/>
          </w:tcPr>
          <w:p>
            <w:pPr>
              <w:spacing w:line="360" w:lineRule="auto"/>
              <w:jc w:val="center"/>
              <w:rPr>
                <w:rFonts w:hint="eastAsia" w:ascii="宋体" w:hAnsi="宋体" w:cs="宋体"/>
                <w:sz w:val="24"/>
              </w:rPr>
            </w:pPr>
            <w:r>
              <w:rPr>
                <w:rFonts w:hint="eastAsia" w:ascii="宋体" w:hAnsi="宋体" w:cs="宋体"/>
                <w:sz w:val="24"/>
              </w:rPr>
              <w:t>1小时内</w:t>
            </w:r>
          </w:p>
        </w:tc>
        <w:tc>
          <w:tcPr>
            <w:tcW w:w="1961" w:type="dxa"/>
            <w:noWrap w:val="0"/>
            <w:vAlign w:val="center"/>
          </w:tcPr>
          <w:p>
            <w:pPr>
              <w:spacing w:line="360" w:lineRule="auto"/>
              <w:jc w:val="center"/>
              <w:rPr>
                <w:rFonts w:hint="eastAsia" w:ascii="宋体" w:hAnsi="宋体" w:cs="宋体"/>
                <w:sz w:val="24"/>
              </w:rPr>
            </w:pPr>
            <w:r>
              <w:rPr>
                <w:rFonts w:hint="eastAsia" w:ascii="宋体" w:hAnsi="宋体" w:cs="宋体"/>
                <w:sz w:val="24"/>
              </w:rPr>
              <w:t>2</w:t>
            </w:r>
          </w:p>
        </w:tc>
        <w:tc>
          <w:tcPr>
            <w:tcW w:w="2804" w:type="dxa"/>
            <w:noWrap w:val="0"/>
            <w:vAlign w:val="center"/>
          </w:tcPr>
          <w:p>
            <w:pPr>
              <w:spacing w:line="360" w:lineRule="auto"/>
              <w:jc w:val="center"/>
              <w:rPr>
                <w:rFonts w:hint="eastAsia" w:ascii="宋体" w:hAnsi="宋体" w:cs="宋体"/>
                <w:sz w:val="24"/>
              </w:rPr>
            </w:pPr>
            <w:r>
              <w:rPr>
                <w:rFonts w:hint="eastAsia" w:ascii="宋体" w:hAnsi="宋体" w:cs="宋体"/>
                <w:sz w:val="24"/>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noWrap w:val="0"/>
            <w:vAlign w:val="center"/>
          </w:tcPr>
          <w:p>
            <w:pPr>
              <w:spacing w:line="360" w:lineRule="auto"/>
              <w:jc w:val="center"/>
              <w:rPr>
                <w:rFonts w:hint="eastAsia" w:ascii="宋体" w:hAnsi="宋体" w:cs="宋体"/>
                <w:sz w:val="24"/>
              </w:rPr>
            </w:pPr>
            <w:r>
              <w:rPr>
                <w:rFonts w:hint="eastAsia" w:ascii="宋体" w:hAnsi="宋体" w:cs="宋体"/>
                <w:sz w:val="24"/>
              </w:rPr>
              <w:t>现场-更换故障设备</w:t>
            </w:r>
          </w:p>
        </w:tc>
        <w:tc>
          <w:tcPr>
            <w:tcW w:w="1490" w:type="dxa"/>
            <w:noWrap w:val="0"/>
            <w:vAlign w:val="center"/>
          </w:tcPr>
          <w:p>
            <w:pPr>
              <w:spacing w:line="360" w:lineRule="auto"/>
              <w:jc w:val="center"/>
              <w:rPr>
                <w:rFonts w:hint="eastAsia" w:ascii="宋体" w:hAnsi="宋体" w:cs="宋体"/>
                <w:sz w:val="24"/>
              </w:rPr>
            </w:pPr>
            <w:r>
              <w:rPr>
                <w:rFonts w:hint="eastAsia" w:ascii="宋体" w:hAnsi="宋体" w:cs="宋体"/>
                <w:sz w:val="24"/>
              </w:rPr>
              <w:t>3～6小时</w:t>
            </w:r>
          </w:p>
        </w:tc>
        <w:tc>
          <w:tcPr>
            <w:tcW w:w="1961" w:type="dxa"/>
            <w:noWrap w:val="0"/>
            <w:vAlign w:val="center"/>
          </w:tcPr>
          <w:p>
            <w:pPr>
              <w:spacing w:line="360" w:lineRule="auto"/>
              <w:jc w:val="center"/>
              <w:rPr>
                <w:rFonts w:hint="eastAsia" w:ascii="宋体" w:hAnsi="宋体" w:cs="宋体"/>
                <w:sz w:val="24"/>
              </w:rPr>
            </w:pPr>
            <w:r>
              <w:rPr>
                <w:rFonts w:hint="eastAsia" w:ascii="宋体" w:hAnsi="宋体" w:cs="宋体"/>
                <w:sz w:val="24"/>
              </w:rPr>
              <w:t>2</w:t>
            </w:r>
          </w:p>
        </w:tc>
        <w:tc>
          <w:tcPr>
            <w:tcW w:w="2804" w:type="dxa"/>
            <w:noWrap w:val="0"/>
            <w:vAlign w:val="center"/>
          </w:tcPr>
          <w:p>
            <w:pPr>
              <w:spacing w:line="360" w:lineRule="auto"/>
              <w:jc w:val="center"/>
              <w:rPr>
                <w:rFonts w:hint="eastAsia" w:ascii="宋体" w:hAnsi="宋体" w:cs="宋体"/>
                <w:b/>
                <w:sz w:val="24"/>
              </w:rPr>
            </w:pPr>
            <w:r>
              <w:rPr>
                <w:rFonts w:hint="eastAsia" w:ascii="宋体" w:hAnsi="宋体" w:cs="宋体"/>
                <w:sz w:val="24"/>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noWrap w:val="0"/>
            <w:vAlign w:val="center"/>
          </w:tcPr>
          <w:p>
            <w:pPr>
              <w:spacing w:line="360" w:lineRule="auto"/>
              <w:jc w:val="center"/>
              <w:rPr>
                <w:rFonts w:hint="eastAsia" w:ascii="宋体" w:hAnsi="宋体" w:cs="宋体"/>
                <w:sz w:val="24"/>
              </w:rPr>
            </w:pPr>
            <w:r>
              <w:rPr>
                <w:rFonts w:hint="eastAsia" w:ascii="宋体" w:hAnsi="宋体" w:cs="宋体"/>
                <w:sz w:val="24"/>
              </w:rPr>
              <w:t>现场-判断并处理故障</w:t>
            </w:r>
          </w:p>
        </w:tc>
        <w:tc>
          <w:tcPr>
            <w:tcW w:w="1490" w:type="dxa"/>
            <w:noWrap w:val="0"/>
            <w:vAlign w:val="center"/>
          </w:tcPr>
          <w:p>
            <w:pPr>
              <w:spacing w:line="360" w:lineRule="auto"/>
              <w:jc w:val="center"/>
              <w:rPr>
                <w:rFonts w:hint="eastAsia" w:ascii="宋体" w:hAnsi="宋体" w:cs="宋体"/>
                <w:sz w:val="24"/>
              </w:rPr>
            </w:pPr>
            <w:r>
              <w:rPr>
                <w:rFonts w:hint="eastAsia" w:ascii="宋体" w:hAnsi="宋体" w:cs="宋体"/>
                <w:sz w:val="24"/>
              </w:rPr>
              <w:t>3～12小时</w:t>
            </w:r>
          </w:p>
        </w:tc>
        <w:tc>
          <w:tcPr>
            <w:tcW w:w="1961" w:type="dxa"/>
            <w:noWrap w:val="0"/>
            <w:vAlign w:val="center"/>
          </w:tcPr>
          <w:p>
            <w:pPr>
              <w:spacing w:line="360" w:lineRule="auto"/>
              <w:jc w:val="center"/>
              <w:rPr>
                <w:rFonts w:hint="eastAsia" w:ascii="宋体" w:hAnsi="宋体" w:cs="宋体"/>
                <w:sz w:val="24"/>
              </w:rPr>
            </w:pPr>
            <w:r>
              <w:rPr>
                <w:rFonts w:hint="eastAsia" w:ascii="宋体" w:hAnsi="宋体" w:cs="宋体"/>
                <w:sz w:val="24"/>
              </w:rPr>
              <w:t>2</w:t>
            </w:r>
          </w:p>
        </w:tc>
        <w:tc>
          <w:tcPr>
            <w:tcW w:w="2804" w:type="dxa"/>
            <w:noWrap w:val="0"/>
            <w:vAlign w:val="center"/>
          </w:tcPr>
          <w:p>
            <w:pPr>
              <w:spacing w:line="360" w:lineRule="auto"/>
              <w:jc w:val="center"/>
              <w:rPr>
                <w:rFonts w:hint="eastAsia" w:ascii="宋体" w:hAnsi="宋体" w:cs="宋体"/>
                <w:sz w:val="24"/>
              </w:rPr>
            </w:pPr>
            <w:r>
              <w:rPr>
                <w:rFonts w:hint="eastAsia" w:ascii="宋体" w:hAnsi="宋体" w:cs="宋体"/>
                <w:sz w:val="24"/>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二、与维护单位间详细的工作界面及责任划分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noWrap w:val="0"/>
            <w:vAlign w:val="center"/>
          </w:tcPr>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（1）远程支持服务</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远程支持服务是指向用户提供关于设备设备日常操作维护的咨询和非紧急情况下的故障处理。服务热线提供7×24小时服务。远程支持服务内容为：</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一般系统咨询；</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产品咨询；</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硬件咨询；</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软件咨询；</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数据咨询；</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获取资料。</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（2）现场支持服务</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现场支持是指用户通过电话或传真等方式寻求技术支持和帮助，在经过双方商议确定需要进行现场支持的情况下，经验丰富的工程师将赴现场提供现场支持服务。</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现场处理用户故障，通过部件的维修或更换等措施将系统在最短时间内修复。</w:t>
            </w:r>
          </w:p>
          <w:p>
            <w:pPr>
              <w:pStyle w:val="165"/>
              <w:widowControl w:val="0"/>
              <w:adjustRightInd w:val="0"/>
              <w:snapToGrid w:val="0"/>
              <w:spacing w:before="0" w:after="0" w:line="360" w:lineRule="auto"/>
              <w:ind w:firstLine="0" w:firstLineChars="0"/>
              <w:jc w:val="both"/>
              <w:rPr>
                <w:rFonts w:hint="eastAsia" w:hAnsi="宋体" w:cs="宋体"/>
                <w:spacing w:val="0"/>
                <w:w w:val="100"/>
                <w:sz w:val="24"/>
                <w:szCs w:val="24"/>
              </w:rPr>
            </w:pPr>
            <w:r>
              <w:rPr>
                <w:rFonts w:hint="eastAsia" w:hAnsi="宋体" w:cs="宋体"/>
                <w:spacing w:val="0"/>
                <w:w w:val="100"/>
                <w:sz w:val="24"/>
                <w:szCs w:val="24"/>
              </w:rPr>
              <w:t>根据不同故障级别，现场支持服务要求如下：</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级别</w:t>
                  </w:r>
                </w:p>
              </w:tc>
              <w:tc>
                <w:tcPr>
                  <w:tcW w:w="304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具体现象</w:t>
                  </w:r>
                </w:p>
              </w:tc>
              <w:tc>
                <w:tcPr>
                  <w:tcW w:w="157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到达现场时间</w:t>
                  </w:r>
                </w:p>
              </w:tc>
              <w:tc>
                <w:tcPr>
                  <w:tcW w:w="3487"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一级故障</w:t>
                  </w:r>
                </w:p>
              </w:tc>
              <w:tc>
                <w:tcPr>
                  <w:tcW w:w="304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整个系统处于完全瘫痪状态，不能运行</w:t>
                  </w:r>
                </w:p>
              </w:tc>
              <w:tc>
                <w:tcPr>
                  <w:tcW w:w="157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3-6小时</w:t>
                  </w:r>
                </w:p>
              </w:tc>
              <w:tc>
                <w:tcPr>
                  <w:tcW w:w="3487"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我方迅速及时到达故障现场处理故障。如果不能够定位故障原因，将协调派出资深的专家组奔赴现场。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二级故障</w:t>
                  </w:r>
                </w:p>
              </w:tc>
              <w:tc>
                <w:tcPr>
                  <w:tcW w:w="304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系统性能严重下降：包括网络性能明显下降、设备出现故障或软件系统出现非瘫痪性错误等，客户业务运作受到严重影响。</w:t>
                  </w:r>
                </w:p>
              </w:tc>
              <w:tc>
                <w:tcPr>
                  <w:tcW w:w="157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rPr>
                    <w:t>8</w:t>
                  </w:r>
                  <w:r>
                    <w:rPr>
                      <w:rFonts w:hint="eastAsia" w:ascii="宋体" w:hAnsi="宋体" w:cs="宋体"/>
                      <w:sz w:val="24"/>
                      <w:lang w:val="fr-FR"/>
                    </w:rPr>
                    <w:t>小时</w:t>
                  </w:r>
                </w:p>
              </w:tc>
              <w:tc>
                <w:tcPr>
                  <w:tcW w:w="3487"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我方迅速到达故障现场处理故障，并提供全面的设备运行报告和故障现象。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三级故障</w:t>
                  </w:r>
                </w:p>
              </w:tc>
              <w:tc>
                <w:tcPr>
                  <w:tcW w:w="304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系统部分设备或者软件出现故障，但整个系统仍可正常运行，客户业务运作受到一定影响。</w:t>
                  </w:r>
                </w:p>
              </w:tc>
              <w:tc>
                <w:tcPr>
                  <w:tcW w:w="157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rPr>
                    <w:t>12</w:t>
                  </w:r>
                  <w:r>
                    <w:rPr>
                      <w:rFonts w:hint="eastAsia" w:ascii="宋体" w:hAnsi="宋体" w:cs="宋体"/>
                      <w:sz w:val="24"/>
                      <w:lang w:val="fr-FR"/>
                    </w:rPr>
                    <w:t>小时</w:t>
                  </w:r>
                </w:p>
              </w:tc>
              <w:tc>
                <w:tcPr>
                  <w:tcW w:w="3487"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lang w:val="fr-FR"/>
                    </w:rPr>
                    <w:t>四级故障</w:t>
                  </w:r>
                </w:p>
              </w:tc>
              <w:tc>
                <w:tcPr>
                  <w:tcW w:w="304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需要硬件、软件产品功能、安装或配置方面的信息和支援，对客户的业务运作几乎没有影响或者根本没有影响</w:t>
                  </w:r>
                </w:p>
              </w:tc>
              <w:tc>
                <w:tcPr>
                  <w:tcW w:w="1575"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sz w:val="24"/>
                    </w:rPr>
                    <w:t>24</w:t>
                  </w:r>
                  <w:r>
                    <w:rPr>
                      <w:rFonts w:hint="eastAsia" w:ascii="宋体" w:hAnsi="宋体" w:cs="宋体"/>
                      <w:sz w:val="24"/>
                      <w:lang w:val="fr-FR"/>
                    </w:rPr>
                    <w:t>小时</w:t>
                  </w:r>
                </w:p>
              </w:tc>
              <w:tc>
                <w:tcPr>
                  <w:tcW w:w="3487" w:type="dxa"/>
                  <w:noWrap w:val="0"/>
                  <w:vAlign w:val="center"/>
                </w:tcPr>
                <w:p>
                  <w:pPr>
                    <w:spacing w:line="360" w:lineRule="auto"/>
                    <w:ind w:firstLine="24" w:firstLineChars="10"/>
                    <w:rPr>
                      <w:rFonts w:hint="eastAsia" w:ascii="宋体" w:hAnsi="宋体" w:cs="宋体"/>
                      <w:sz w:val="24"/>
                      <w:lang w:val="fr-FR"/>
                    </w:rPr>
                  </w:pPr>
                  <w:r>
                    <w:rPr>
                      <w:rFonts w:hint="eastAsia" w:ascii="宋体" w:hAnsi="宋体" w:cs="宋体"/>
                      <w:bCs/>
                      <w:sz w:val="24"/>
                    </w:rPr>
                    <w:t>我方工程师首先确定故障原因，协调找出损坏的设备部件并替换掉，使设备正常运行。此事件将被记录在案。</w:t>
                  </w:r>
                </w:p>
              </w:tc>
            </w:tr>
          </w:tbl>
          <w:p>
            <w:pPr>
              <w:spacing w:line="360" w:lineRule="auto"/>
              <w:rPr>
                <w:rFonts w:hint="eastAsia" w:ascii="宋体" w:hAnsi="宋体" w:cs="宋体"/>
                <w:sz w:val="24"/>
              </w:rPr>
            </w:pPr>
          </w:p>
        </w:tc>
      </w:tr>
    </w:tbl>
    <w:p>
      <w:pPr>
        <w:pStyle w:val="222"/>
        <w:tabs>
          <w:tab w:val="left" w:pos="567"/>
          <w:tab w:val="left" w:pos="980"/>
        </w:tabs>
        <w:spacing w:line="360" w:lineRule="auto"/>
        <w:ind w:left="-420" w:firstLine="241" w:firstLineChars="100"/>
        <w:rPr>
          <w:rFonts w:hint="eastAsia" w:ascii="宋体" w:hAnsi="宋体" w:cs="宋体"/>
          <w:b/>
          <w:sz w:val="24"/>
        </w:rPr>
      </w:pPr>
      <w:r>
        <w:rPr>
          <w:rFonts w:hint="eastAsia" w:ascii="宋体" w:hAnsi="宋体" w:cs="宋体"/>
          <w:b/>
          <w:sz w:val="24"/>
        </w:rPr>
        <w:t>大修周期内技术支持</w:t>
      </w:r>
    </w:p>
    <w:tbl>
      <w:tblPr>
        <w:tblStyle w:val="5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序号</w:t>
            </w:r>
          </w:p>
        </w:tc>
        <w:tc>
          <w:tcPr>
            <w:tcW w:w="321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服务项目</w:t>
            </w:r>
          </w:p>
        </w:tc>
        <w:tc>
          <w:tcPr>
            <w:tcW w:w="222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服务标准</w:t>
            </w:r>
          </w:p>
        </w:tc>
        <w:tc>
          <w:tcPr>
            <w:tcW w:w="270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1</w:t>
            </w:r>
          </w:p>
        </w:tc>
        <w:tc>
          <w:tcPr>
            <w:tcW w:w="321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咨询和电话支持服务7×24小时</w:t>
            </w:r>
          </w:p>
        </w:tc>
        <w:tc>
          <w:tcPr>
            <w:tcW w:w="222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支持</w:t>
            </w:r>
          </w:p>
        </w:tc>
        <w:tc>
          <w:tcPr>
            <w:tcW w:w="2709" w:type="dxa"/>
            <w:noWrap w:val="0"/>
            <w:vAlign w:val="center"/>
          </w:tcPr>
          <w:p>
            <w:pPr>
              <w:spacing w:line="360" w:lineRule="auto"/>
              <w:ind w:firstLine="24" w:firstLineChars="10"/>
              <w:jc w:val="center"/>
              <w:rPr>
                <w:rFonts w:hint="eastAsia" w:ascii="宋体" w:hAnsi="宋体" w:cs="宋体"/>
                <w:sz w:val="24"/>
                <w:lang w:val="fr-F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2</w:t>
            </w:r>
          </w:p>
        </w:tc>
        <w:tc>
          <w:tcPr>
            <w:tcW w:w="321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远程技术支持服务</w:t>
            </w:r>
          </w:p>
        </w:tc>
        <w:tc>
          <w:tcPr>
            <w:tcW w:w="222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支持</w:t>
            </w:r>
          </w:p>
        </w:tc>
        <w:tc>
          <w:tcPr>
            <w:tcW w:w="270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电话及网络技术支持</w:t>
            </w:r>
          </w:p>
        </w:tc>
      </w:tr>
    </w:tbl>
    <w:p>
      <w:pPr>
        <w:pStyle w:val="5"/>
        <w:spacing w:before="0" w:after="0" w:line="360" w:lineRule="auto"/>
        <w:rPr>
          <w:rFonts w:hint="eastAsia" w:ascii="宋体" w:hAnsi="宋体" w:eastAsia="宋体" w:cs="宋体"/>
          <w:sz w:val="24"/>
          <w:szCs w:val="24"/>
        </w:rPr>
      </w:pPr>
      <w:bookmarkStart w:id="43" w:name="_Toc357397592"/>
      <w:bookmarkStart w:id="44" w:name="_Toc15660"/>
      <w:bookmarkStart w:id="45" w:name="_Toc4751269"/>
      <w:bookmarkStart w:id="46" w:name="_Toc387660033"/>
      <w:bookmarkStart w:id="47" w:name="_Toc18698"/>
      <w:bookmarkStart w:id="48" w:name="_Toc243980087"/>
      <w:bookmarkStart w:id="49" w:name="_Toc219621670"/>
      <w:bookmarkStart w:id="50" w:name="_Toc19954"/>
      <w:bookmarkStart w:id="51" w:name="_Toc370999358"/>
      <w:bookmarkStart w:id="52" w:name="_Toc25887"/>
      <w:bookmarkStart w:id="53" w:name="_Toc415087030"/>
      <w:bookmarkStart w:id="54" w:name="_Toc217571398"/>
      <w:bookmarkStart w:id="55" w:name="_Toc444423910"/>
      <w:bookmarkStart w:id="56" w:name="_Toc277248386"/>
      <w:bookmarkStart w:id="57" w:name="_Toc6840914"/>
      <w:bookmarkStart w:id="58" w:name="_Toc31435"/>
      <w:bookmarkStart w:id="59" w:name="_Toc4747814"/>
      <w:bookmarkStart w:id="60" w:name="_Toc366082472"/>
      <w:r>
        <w:rPr>
          <w:rFonts w:hint="eastAsia" w:ascii="宋体" w:hAnsi="宋体" w:eastAsia="宋体" w:cs="宋体"/>
          <w:sz w:val="24"/>
          <w:szCs w:val="24"/>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远程支持服务是指向招标人提供关于设备日常操作维护的咨询和非紧急情况下的故障处理。</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对于招标人非故障类问题，我公司提供全天侯7×24小时的咨询接收服务和全天侯7×24小时的咨询受理服务。</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对于招标人故障类问题，我公司提供全天侯7×24小时电话技术指导服务，通过电话指导招标人排除设备故障。</w:t>
      </w:r>
    </w:p>
    <w:p>
      <w:pPr>
        <w:pStyle w:val="5"/>
        <w:spacing w:before="0" w:after="0" w:line="360" w:lineRule="auto"/>
        <w:rPr>
          <w:rFonts w:hint="eastAsia" w:ascii="宋体" w:hAnsi="宋体" w:eastAsia="宋体" w:cs="宋体"/>
          <w:sz w:val="24"/>
          <w:szCs w:val="24"/>
        </w:rPr>
      </w:pPr>
      <w:bookmarkStart w:id="61" w:name="_Toc6840915"/>
      <w:bookmarkStart w:id="62" w:name="_Toc28329"/>
      <w:bookmarkStart w:id="63" w:name="_Toc4751270"/>
      <w:bookmarkStart w:id="64" w:name="_Toc18209"/>
      <w:bookmarkStart w:id="65" w:name="_Toc26679"/>
      <w:bookmarkStart w:id="66" w:name="_Toc5281085"/>
      <w:bookmarkStart w:id="67" w:name="_Toc19143"/>
      <w:bookmarkStart w:id="68" w:name="_Toc1236"/>
      <w:r>
        <w:rPr>
          <w:rFonts w:hint="eastAsia" w:ascii="宋体" w:hAnsi="宋体" w:eastAsia="宋体" w:cs="宋体"/>
          <w:sz w:val="24"/>
          <w:szCs w:val="24"/>
        </w:rPr>
        <w:t>四、售后服务的实施方案</w:t>
      </w:r>
      <w:bookmarkEnd w:id="61"/>
      <w:bookmarkEnd w:id="62"/>
      <w:bookmarkEnd w:id="63"/>
      <w:bookmarkEnd w:id="64"/>
      <w:bookmarkEnd w:id="65"/>
      <w:bookmarkEnd w:id="66"/>
      <w:bookmarkEnd w:id="67"/>
      <w:bookmarkEnd w:id="68"/>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(1)、产品售后服务工作程序。</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(2)、本公司对产品出厂后进行的调试验收及运行过程的服务直至产品合格并经需方认可后所做的工作，即为产品的售后服务工作。</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(3)、售后服务部根据客户的要求，详细询问所发生的质量问题及顾客要求填写《售后服务工作联络单》，必要时派技术维修人员到现场了解情况。</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(4)、售后服务部根据维修方案，并视其工作量的大小合理调派售后服务人员立即到达客户现场。</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(5)、售后服务人员到达客户现场后，请需方技术人员对维修方案进行确认。如有异议，由生产技术部组织相关部门协调解决。</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pPr>
        <w:tabs>
          <w:tab w:val="left" w:pos="567"/>
        </w:tabs>
        <w:spacing w:line="360" w:lineRule="auto"/>
        <w:rPr>
          <w:rFonts w:hint="eastAsia" w:ascii="宋体" w:hAnsi="宋体" w:cs="宋体"/>
          <w:b/>
          <w:bCs/>
          <w:sz w:val="24"/>
        </w:rPr>
      </w:pPr>
      <w:bookmarkStart w:id="69" w:name="_Toc26550"/>
      <w:bookmarkStart w:id="70" w:name="_Toc6840916"/>
      <w:bookmarkStart w:id="71" w:name="_Toc26892"/>
      <w:bookmarkStart w:id="72" w:name="_Toc32555"/>
      <w:bookmarkStart w:id="73" w:name="_Toc5281086"/>
      <w:bookmarkStart w:id="74" w:name="_Toc28488"/>
      <w:bookmarkStart w:id="75" w:name="_Toc4751271"/>
      <w:bookmarkStart w:id="76" w:name="_Toc25966"/>
      <w:r>
        <w:rPr>
          <w:rFonts w:hint="eastAsia" w:ascii="宋体" w:hAnsi="宋体" w:cs="宋体"/>
          <w:b/>
          <w:bCs/>
          <w:sz w:val="24"/>
        </w:rPr>
        <w:t>五、售后服务内容</w:t>
      </w:r>
      <w:bookmarkEnd w:id="69"/>
      <w:bookmarkEnd w:id="70"/>
      <w:bookmarkEnd w:id="71"/>
      <w:bookmarkEnd w:id="72"/>
      <w:bookmarkEnd w:id="73"/>
      <w:bookmarkEnd w:id="74"/>
      <w:bookmarkEnd w:id="75"/>
      <w:bookmarkEnd w:id="76"/>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(1)、包括产品的安装调试工作、设备运行操作和维护保养人员的指导培训工作、保修期内涉及产品质量问题或安装质量问题的维修工作。</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(2)重大项目服务规定</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(3)在用户单位就近设立售后服务联络点，配备具有一定资质、经验丰富的售后服务人员负责进行产品运行前的操作、维护、保养培训工作，并提供在保修期内的维修保养计划书。</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(4)对质保期内的产品进行定期免费保养，同时对产品运行情况进行认真的检查和记录。</w:t>
      </w:r>
    </w:p>
    <w:p>
      <w:pPr>
        <w:tabs>
          <w:tab w:val="left" w:pos="567"/>
        </w:tabs>
        <w:spacing w:line="360" w:lineRule="auto"/>
        <w:rPr>
          <w:rFonts w:hint="eastAsia" w:ascii="宋体" w:hAnsi="宋体" w:cs="宋体"/>
          <w:b/>
          <w:bCs/>
          <w:sz w:val="24"/>
        </w:rPr>
      </w:pPr>
      <w:bookmarkStart w:id="77" w:name="_Toc24731"/>
      <w:bookmarkStart w:id="78" w:name="_Toc1750"/>
      <w:bookmarkStart w:id="79" w:name="_Toc13879"/>
      <w:bookmarkStart w:id="80" w:name="_Toc19547"/>
      <w:bookmarkStart w:id="81" w:name="_Toc16014"/>
      <w:bookmarkStart w:id="82" w:name="_Toc6840917"/>
      <w:bookmarkStart w:id="83" w:name="_Toc4751272"/>
      <w:bookmarkStart w:id="84" w:name="_Toc5281087"/>
      <w:r>
        <w:rPr>
          <w:rFonts w:hint="eastAsia" w:ascii="宋体" w:hAnsi="宋体" w:cs="宋体"/>
          <w:b/>
          <w:bCs/>
          <w:sz w:val="24"/>
        </w:rPr>
        <w:t>六、产品质量回访工作要求</w:t>
      </w:r>
      <w:bookmarkEnd w:id="77"/>
      <w:bookmarkEnd w:id="78"/>
      <w:bookmarkEnd w:id="79"/>
      <w:bookmarkEnd w:id="80"/>
      <w:bookmarkEnd w:id="81"/>
      <w:bookmarkEnd w:id="82"/>
      <w:bookmarkEnd w:id="83"/>
      <w:bookmarkEnd w:id="84"/>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(1)售后服务部每年以信访形式了解产品运行情况及顾客的要求、意见和建议，并把有关信息反馈至公司相关职能部门。</w:t>
      </w:r>
    </w:p>
    <w:p>
      <w:pPr>
        <w:tabs>
          <w:tab w:val="left" w:pos="567"/>
        </w:tabs>
        <w:spacing w:line="360" w:lineRule="auto"/>
        <w:ind w:firstLine="480" w:firstLineChars="200"/>
        <w:rPr>
          <w:rFonts w:hint="eastAsia" w:ascii="宋体" w:hAnsi="宋体" w:cs="宋体"/>
          <w:sz w:val="24"/>
        </w:rPr>
      </w:pPr>
      <w:r>
        <w:rPr>
          <w:rFonts w:hint="eastAsia" w:ascii="宋体" w:hAnsi="宋体" w:cs="宋体"/>
          <w:sz w:val="24"/>
        </w:rPr>
        <w:t>(2)对于重大工程项目及重点顾客，必要时由售后服务部派专人进行走访，对走访中获得的信息、意见及改进要求进行记录整理。</w:t>
      </w:r>
      <w:bookmarkStart w:id="85" w:name="_Toc10721"/>
      <w:bookmarkStart w:id="86" w:name="_Toc5281088"/>
      <w:bookmarkStart w:id="87" w:name="_Toc18029"/>
      <w:bookmarkStart w:id="88" w:name="_Toc6840918"/>
      <w:bookmarkStart w:id="89" w:name="_Toc4751273"/>
      <w:bookmarkStart w:id="90" w:name="_Toc8501"/>
      <w:bookmarkStart w:id="91" w:name="_Toc24578"/>
      <w:bookmarkStart w:id="92" w:name="_Toc29798"/>
    </w:p>
    <w:p>
      <w:pPr>
        <w:tabs>
          <w:tab w:val="left" w:pos="567"/>
        </w:tabs>
        <w:spacing w:line="360" w:lineRule="auto"/>
        <w:rPr>
          <w:rFonts w:hint="eastAsia" w:ascii="宋体" w:hAnsi="宋体" w:cs="宋体"/>
          <w:b/>
          <w:bCs/>
          <w:sz w:val="24"/>
        </w:rPr>
      </w:pPr>
      <w:r>
        <w:rPr>
          <w:rFonts w:hint="eastAsia" w:ascii="宋体" w:hAnsi="宋体" w:cs="宋体"/>
          <w:b/>
          <w:bCs/>
          <w:sz w:val="24"/>
        </w:rPr>
        <w:t>七、故障分类</w:t>
      </w:r>
      <w:bookmarkEnd w:id="85"/>
      <w:bookmarkEnd w:id="86"/>
      <w:bookmarkEnd w:id="87"/>
      <w:bookmarkEnd w:id="88"/>
      <w:bookmarkEnd w:id="89"/>
      <w:bookmarkEnd w:id="90"/>
      <w:bookmarkEnd w:id="91"/>
      <w:bookmarkEnd w:id="92"/>
    </w:p>
    <w:p>
      <w:pPr>
        <w:spacing w:line="360" w:lineRule="auto"/>
        <w:ind w:firstLine="480" w:firstLineChars="200"/>
        <w:rPr>
          <w:rFonts w:hint="eastAsia" w:ascii="宋体" w:hAnsi="宋体" w:cs="宋体"/>
          <w:sz w:val="24"/>
        </w:rPr>
      </w:pPr>
      <w:r>
        <w:rPr>
          <w:rFonts w:hint="eastAsia" w:ascii="宋体" w:hAnsi="宋体" w:cs="宋体"/>
          <w:sz w:val="24"/>
        </w:rPr>
        <w:t>为保证系统可靠运行，达到故障影响最小化，我方根据信息电源系统的实际情况和长期积累的技术服务经验，将信息电源系统故障等级分为四级，具体如下：</w:t>
      </w:r>
    </w:p>
    <w:p>
      <w:pPr>
        <w:widowControl/>
        <w:jc w:val="center"/>
        <w:rPr>
          <w:rFonts w:hint="eastAsia" w:ascii="宋体" w:hAnsi="宋体" w:cs="宋体"/>
          <w:b/>
          <w:spacing w:val="10"/>
          <w:kern w:val="0"/>
          <w:sz w:val="24"/>
        </w:rPr>
      </w:pPr>
      <w:r>
        <w:rPr>
          <w:rFonts w:hint="eastAsia" w:ascii="宋体" w:hAnsi="宋体" w:cs="宋体"/>
          <w:sz w:val="24"/>
        </w:rPr>
        <w:br w:type="page"/>
      </w:r>
      <w:r>
        <w:rPr>
          <w:rFonts w:hint="eastAsia" w:ascii="宋体" w:hAnsi="宋体" w:cs="宋体"/>
          <w:b/>
          <w:spacing w:val="10"/>
          <w:kern w:val="0"/>
          <w:sz w:val="24"/>
        </w:rPr>
        <w:t>故障分级表</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级别</w:t>
            </w:r>
          </w:p>
        </w:tc>
        <w:tc>
          <w:tcPr>
            <w:tcW w:w="312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具体现象</w:t>
            </w:r>
          </w:p>
        </w:tc>
        <w:tc>
          <w:tcPr>
            <w:tcW w:w="1288"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到达现场时间</w:t>
            </w:r>
          </w:p>
        </w:tc>
        <w:tc>
          <w:tcPr>
            <w:tcW w:w="353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一级故障</w:t>
            </w:r>
          </w:p>
        </w:tc>
        <w:tc>
          <w:tcPr>
            <w:tcW w:w="312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整个系统处于完全瘫痪状态，不能运行</w:t>
            </w:r>
          </w:p>
        </w:tc>
        <w:tc>
          <w:tcPr>
            <w:tcW w:w="1288"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3-6小时</w:t>
            </w:r>
          </w:p>
        </w:tc>
        <w:tc>
          <w:tcPr>
            <w:tcW w:w="353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我方迅速及时到达故障现场处理故障。如果不能够定位故障原因，将协调派出资深的专家组奔赴现场。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二级故障</w:t>
            </w:r>
          </w:p>
        </w:tc>
        <w:tc>
          <w:tcPr>
            <w:tcW w:w="312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系统性能严重下降：包括网络性能明显下降、设备出现故障或软件系统出现非瘫痪性错误等，客户业务运作受到严重影响。</w:t>
            </w:r>
          </w:p>
        </w:tc>
        <w:tc>
          <w:tcPr>
            <w:tcW w:w="1288"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rPr>
              <w:t>8</w:t>
            </w:r>
            <w:r>
              <w:rPr>
                <w:rFonts w:hint="eastAsia" w:ascii="宋体" w:hAnsi="宋体" w:cs="宋体"/>
                <w:sz w:val="24"/>
                <w:lang w:val="fr-FR"/>
              </w:rPr>
              <w:t>小时</w:t>
            </w:r>
          </w:p>
        </w:tc>
        <w:tc>
          <w:tcPr>
            <w:tcW w:w="3539"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我方迅速到达故障现场处理故障，并提供全面的设备运行报告和故障现象。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三级故障</w:t>
            </w:r>
          </w:p>
        </w:tc>
        <w:tc>
          <w:tcPr>
            <w:tcW w:w="312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系统部分设备或者软件出现故障，但整个系统仍可正常运行，客户业务运作受到一定影响。</w:t>
            </w:r>
          </w:p>
        </w:tc>
        <w:tc>
          <w:tcPr>
            <w:tcW w:w="1288"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rPr>
              <w:t>12</w:t>
            </w:r>
            <w:r>
              <w:rPr>
                <w:rFonts w:hint="eastAsia" w:ascii="宋体" w:hAnsi="宋体" w:cs="宋体"/>
                <w:sz w:val="24"/>
                <w:lang w:val="fr-FR"/>
              </w:rPr>
              <w:t>小时</w:t>
            </w:r>
          </w:p>
        </w:tc>
        <w:tc>
          <w:tcPr>
            <w:tcW w:w="3539" w:type="dxa"/>
            <w:noWrap w:val="0"/>
            <w:vAlign w:val="center"/>
          </w:tcPr>
          <w:p>
            <w:pPr>
              <w:spacing w:line="360" w:lineRule="auto"/>
              <w:ind w:firstLine="24" w:firstLineChars="10"/>
              <w:jc w:val="left"/>
              <w:rPr>
                <w:rFonts w:hint="eastAsia" w:ascii="宋体" w:hAnsi="宋体" w:cs="宋体"/>
                <w:sz w:val="24"/>
                <w:lang w:val="fr-FR"/>
              </w:rPr>
            </w:pPr>
            <w:r>
              <w:rPr>
                <w:rFonts w:hint="eastAsia" w:ascii="宋体" w:hAnsi="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lang w:val="fr-FR"/>
              </w:rPr>
              <w:t>四级故障</w:t>
            </w:r>
          </w:p>
        </w:tc>
        <w:tc>
          <w:tcPr>
            <w:tcW w:w="3120"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bCs/>
                <w:sz w:val="24"/>
              </w:rPr>
              <w:t>需要硬件、软件产品功能、安装或配置方面的信息和支援，对客户的业务运作几乎没有影响或者根本没有影响</w:t>
            </w:r>
          </w:p>
        </w:tc>
        <w:tc>
          <w:tcPr>
            <w:tcW w:w="1288" w:type="dxa"/>
            <w:noWrap w:val="0"/>
            <w:vAlign w:val="center"/>
          </w:tcPr>
          <w:p>
            <w:pPr>
              <w:spacing w:line="360" w:lineRule="auto"/>
              <w:ind w:firstLine="24" w:firstLineChars="10"/>
              <w:jc w:val="center"/>
              <w:rPr>
                <w:rFonts w:hint="eastAsia" w:ascii="宋体" w:hAnsi="宋体" w:cs="宋体"/>
                <w:sz w:val="24"/>
                <w:lang w:val="fr-FR"/>
              </w:rPr>
            </w:pPr>
            <w:r>
              <w:rPr>
                <w:rFonts w:hint="eastAsia" w:ascii="宋体" w:hAnsi="宋体" w:cs="宋体"/>
                <w:sz w:val="24"/>
              </w:rPr>
              <w:t>24</w:t>
            </w:r>
            <w:r>
              <w:rPr>
                <w:rFonts w:hint="eastAsia" w:ascii="宋体" w:hAnsi="宋体" w:cs="宋体"/>
                <w:sz w:val="24"/>
                <w:lang w:val="fr-FR"/>
              </w:rPr>
              <w:t>小时</w:t>
            </w:r>
          </w:p>
        </w:tc>
        <w:tc>
          <w:tcPr>
            <w:tcW w:w="3539" w:type="dxa"/>
            <w:noWrap w:val="0"/>
            <w:vAlign w:val="center"/>
          </w:tcPr>
          <w:p>
            <w:pPr>
              <w:spacing w:line="360" w:lineRule="auto"/>
              <w:ind w:firstLine="24" w:firstLineChars="10"/>
              <w:jc w:val="left"/>
              <w:rPr>
                <w:rFonts w:hint="eastAsia" w:ascii="宋体" w:hAnsi="宋体" w:cs="宋体"/>
                <w:sz w:val="24"/>
                <w:lang w:val="fr-FR"/>
              </w:rPr>
            </w:pPr>
            <w:r>
              <w:rPr>
                <w:rFonts w:hint="eastAsia" w:ascii="宋体" w:hAnsi="宋体" w:cs="宋体"/>
                <w:bCs/>
                <w:sz w:val="24"/>
              </w:rPr>
              <w:t>我方工程师首先确定故障原因，协调找出损坏的设备部件并替换掉，使设备正常运行。此事件将被记录在案。</w:t>
            </w:r>
          </w:p>
        </w:tc>
      </w:tr>
    </w:tbl>
    <w:p>
      <w:pPr>
        <w:pStyle w:val="5"/>
        <w:spacing w:before="0" w:after="0" w:line="360" w:lineRule="auto"/>
        <w:rPr>
          <w:rFonts w:hint="eastAsia" w:ascii="宋体" w:hAnsi="宋体" w:eastAsia="宋体" w:cs="宋体"/>
          <w:sz w:val="24"/>
          <w:szCs w:val="24"/>
        </w:rPr>
      </w:pPr>
      <w:bookmarkStart w:id="93" w:name="_Toc5281089"/>
      <w:bookmarkStart w:id="94" w:name="_Toc11940"/>
      <w:bookmarkStart w:id="95" w:name="_Toc4751274"/>
      <w:bookmarkStart w:id="96" w:name="_Toc6840919"/>
      <w:r>
        <w:rPr>
          <w:rFonts w:hint="eastAsia" w:ascii="宋体" w:hAnsi="宋体" w:eastAsia="宋体" w:cs="宋体"/>
          <w:sz w:val="24"/>
          <w:szCs w:val="24"/>
        </w:rPr>
        <w:t>八、出现故障响应时间分类表</w:t>
      </w:r>
      <w:bookmarkEnd w:id="93"/>
      <w:bookmarkEnd w:id="94"/>
      <w:bookmarkEnd w:id="95"/>
      <w:bookmarkEnd w:id="96"/>
    </w:p>
    <w:p>
      <w:pPr>
        <w:spacing w:line="360" w:lineRule="auto"/>
        <w:ind w:firstLine="480" w:firstLineChars="200"/>
        <w:rPr>
          <w:rFonts w:hint="eastAsia" w:ascii="宋体" w:hAnsi="宋体" w:cs="宋体"/>
          <w:sz w:val="24"/>
        </w:rPr>
      </w:pPr>
      <w:r>
        <w:rPr>
          <w:rFonts w:hint="eastAsia" w:ascii="宋体" w:hAnsi="宋体" w:cs="宋体"/>
          <w:sz w:val="24"/>
        </w:rPr>
        <w:t>对于不同级别的故障，我方将进行分级处理，等级越高，处理的时间越短，派出人员的能力也越高。对于不同级别故障的故障响应人和故障处理方案如下：</w:t>
      </w:r>
    </w:p>
    <w:p>
      <w:pPr>
        <w:widowControl/>
        <w:jc w:val="center"/>
        <w:rPr>
          <w:rFonts w:hint="eastAsia" w:ascii="宋体" w:hAnsi="宋体" w:cs="宋体"/>
          <w:b/>
          <w:spacing w:val="10"/>
          <w:kern w:val="0"/>
          <w:sz w:val="24"/>
        </w:rPr>
      </w:pPr>
      <w:r>
        <w:rPr>
          <w:rFonts w:hint="eastAsia" w:ascii="宋体" w:hAnsi="宋体" w:cs="宋体"/>
          <w:sz w:val="24"/>
        </w:rPr>
        <w:br w:type="page"/>
      </w:r>
      <w:r>
        <w:rPr>
          <w:rFonts w:hint="eastAsia" w:ascii="宋体" w:hAnsi="宋体" w:cs="宋体"/>
          <w:b/>
          <w:spacing w:val="10"/>
          <w:kern w:val="0"/>
          <w:sz w:val="24"/>
        </w:rPr>
        <w:t>故障响应处理表</w:t>
      </w:r>
    </w:p>
    <w:tbl>
      <w:tblPr>
        <w:tblStyle w:val="55"/>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noWrap w:val="0"/>
            <w:vAlign w:val="center"/>
          </w:tcPr>
          <w:p>
            <w:pPr>
              <w:pStyle w:val="204"/>
              <w:tabs>
                <w:tab w:val="left" w:pos="567"/>
              </w:tabs>
              <w:spacing w:beforeLines="0" w:afterLines="0" w:line="360" w:lineRule="exact"/>
              <w:jc w:val="center"/>
              <w:rPr>
                <w:rFonts w:hint="eastAsia" w:ascii="宋体" w:hAnsi="宋体" w:cs="宋体"/>
                <w:b/>
                <w:spacing w:val="10"/>
                <w:sz w:val="24"/>
                <w:szCs w:val="24"/>
              </w:rPr>
            </w:pPr>
            <w:r>
              <w:rPr>
                <w:rFonts w:hint="eastAsia" w:ascii="宋体" w:hAnsi="宋体" w:cs="宋体"/>
                <w:b/>
                <w:spacing w:val="10"/>
                <w:sz w:val="24"/>
                <w:szCs w:val="24"/>
              </w:rPr>
              <w:t>故障</w:t>
            </w:r>
          </w:p>
          <w:p>
            <w:pPr>
              <w:pStyle w:val="204"/>
              <w:tabs>
                <w:tab w:val="left" w:pos="567"/>
              </w:tabs>
              <w:spacing w:beforeLines="0" w:afterLines="0" w:line="360" w:lineRule="exact"/>
              <w:jc w:val="center"/>
              <w:rPr>
                <w:rFonts w:hint="eastAsia" w:ascii="宋体" w:hAnsi="宋体" w:cs="宋体"/>
                <w:b/>
                <w:spacing w:val="10"/>
                <w:sz w:val="24"/>
                <w:szCs w:val="24"/>
              </w:rPr>
            </w:pPr>
            <w:r>
              <w:rPr>
                <w:rFonts w:hint="eastAsia" w:ascii="宋体" w:hAnsi="宋体" w:cs="宋体"/>
                <w:b/>
                <w:spacing w:val="10"/>
                <w:sz w:val="24"/>
                <w:szCs w:val="24"/>
              </w:rPr>
              <w:t>级别</w:t>
            </w:r>
          </w:p>
        </w:tc>
        <w:tc>
          <w:tcPr>
            <w:tcW w:w="2203" w:type="dxa"/>
            <w:noWrap w:val="0"/>
            <w:vAlign w:val="center"/>
          </w:tcPr>
          <w:p>
            <w:pPr>
              <w:pStyle w:val="204"/>
              <w:tabs>
                <w:tab w:val="left" w:pos="567"/>
              </w:tabs>
              <w:spacing w:beforeLines="0" w:afterLines="0" w:line="360" w:lineRule="exact"/>
              <w:jc w:val="center"/>
              <w:rPr>
                <w:rFonts w:hint="eastAsia" w:ascii="宋体" w:hAnsi="宋体" w:cs="宋体"/>
                <w:b/>
                <w:spacing w:val="10"/>
                <w:sz w:val="24"/>
                <w:szCs w:val="24"/>
              </w:rPr>
            </w:pPr>
            <w:r>
              <w:rPr>
                <w:rFonts w:hint="eastAsia" w:ascii="宋体" w:hAnsi="宋体" w:cs="宋体"/>
                <w:b/>
                <w:spacing w:val="10"/>
                <w:sz w:val="24"/>
                <w:szCs w:val="24"/>
              </w:rPr>
              <w:t>故障响应人</w:t>
            </w:r>
          </w:p>
        </w:tc>
        <w:tc>
          <w:tcPr>
            <w:tcW w:w="5492" w:type="dxa"/>
            <w:noWrap w:val="0"/>
            <w:vAlign w:val="center"/>
          </w:tcPr>
          <w:p>
            <w:pPr>
              <w:pStyle w:val="204"/>
              <w:tabs>
                <w:tab w:val="left" w:pos="567"/>
              </w:tabs>
              <w:spacing w:beforeLines="0" w:afterLines="0" w:line="360" w:lineRule="exact"/>
              <w:jc w:val="center"/>
              <w:rPr>
                <w:rFonts w:hint="eastAsia" w:ascii="宋体" w:hAnsi="宋体" w:cs="宋体"/>
                <w:b/>
                <w:spacing w:val="10"/>
                <w:sz w:val="24"/>
                <w:szCs w:val="24"/>
              </w:rPr>
            </w:pPr>
            <w:r>
              <w:rPr>
                <w:rFonts w:hint="eastAsia" w:ascii="宋体" w:hAnsi="宋体" w:cs="宋体"/>
                <w:b/>
                <w:spacing w:val="10"/>
                <w:sz w:val="24"/>
                <w:szCs w:val="24"/>
              </w:rPr>
              <w:t>故障处理方案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一级故障</w:t>
            </w:r>
          </w:p>
        </w:tc>
        <w:tc>
          <w:tcPr>
            <w:tcW w:w="2203"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我方主管领导</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技术服务负责人</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技术中心负责人</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技术骨干工程师</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技术服务工程师</w:t>
            </w:r>
          </w:p>
        </w:tc>
        <w:tc>
          <w:tcPr>
            <w:tcW w:w="5492" w:type="dxa"/>
            <w:noWrap w:val="0"/>
            <w:vAlign w:val="center"/>
          </w:tcPr>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电话支持解决；无法远程解决，进行现场技术服务；</w:t>
            </w:r>
          </w:p>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我方主管领导现场指挥；</w:t>
            </w:r>
          </w:p>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安排相关部门负责人及技术骨干到场；</w:t>
            </w:r>
          </w:p>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启用应急方案，恢复系统运行；</w:t>
            </w:r>
          </w:p>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技术人员查找问题并解决问题；</w:t>
            </w:r>
          </w:p>
          <w:p>
            <w:pPr>
              <w:pStyle w:val="204"/>
              <w:widowControl/>
              <w:numPr>
                <w:ilvl w:val="0"/>
                <w:numId w:val="16"/>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向招标方提交问题调查报告，并提供防止再次发生同类故障的措施和办法。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二级故障</w:t>
            </w:r>
          </w:p>
        </w:tc>
        <w:tc>
          <w:tcPr>
            <w:tcW w:w="2203"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技术服务负责人</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技术中心负责人</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技术骨干工程师</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技术服务工程师</w:t>
            </w:r>
          </w:p>
        </w:tc>
        <w:tc>
          <w:tcPr>
            <w:tcW w:w="5492" w:type="dxa"/>
            <w:noWrap w:val="0"/>
            <w:vAlign w:val="center"/>
          </w:tcPr>
          <w:p>
            <w:pPr>
              <w:pStyle w:val="204"/>
              <w:widowControl/>
              <w:numPr>
                <w:ilvl w:val="0"/>
                <w:numId w:val="17"/>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电话支持解决；无法远程解决，进行现场技术服务；</w:t>
            </w:r>
          </w:p>
          <w:p>
            <w:pPr>
              <w:pStyle w:val="204"/>
              <w:widowControl/>
              <w:numPr>
                <w:ilvl w:val="0"/>
                <w:numId w:val="17"/>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设备故障，停运出现故障的相关设备，进行隔离，在维修模式下或者接入调试系统诊断问题；</w:t>
            </w:r>
          </w:p>
          <w:p>
            <w:pPr>
              <w:pStyle w:val="204"/>
              <w:widowControl/>
              <w:numPr>
                <w:ilvl w:val="0"/>
                <w:numId w:val="17"/>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网络问题，使用专用工具或者软件进行分析诊断，找到问题，必要时候，要求生产商到场协助解决；</w:t>
            </w:r>
          </w:p>
          <w:p>
            <w:pPr>
              <w:pStyle w:val="204"/>
              <w:widowControl/>
              <w:numPr>
                <w:ilvl w:val="0"/>
                <w:numId w:val="17"/>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向招标方提交问题调查报告，提供防止再次发生同类故障的措施和办法。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三级故障</w:t>
            </w:r>
          </w:p>
        </w:tc>
        <w:tc>
          <w:tcPr>
            <w:tcW w:w="2203" w:type="dxa"/>
            <w:noWrap w:val="0"/>
            <w:vAlign w:val="center"/>
          </w:tcPr>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技术服务负责人</w:t>
            </w:r>
          </w:p>
          <w:p>
            <w:pPr>
              <w:pStyle w:val="204"/>
              <w:tabs>
                <w:tab w:val="left" w:pos="567"/>
              </w:tabs>
              <w:spacing w:beforeLines="0" w:afterLines="0" w:line="360" w:lineRule="exact"/>
              <w:jc w:val="center"/>
              <w:rPr>
                <w:rFonts w:hint="eastAsia" w:ascii="宋体" w:hAnsi="宋体" w:cs="宋体"/>
                <w:sz w:val="24"/>
                <w:szCs w:val="24"/>
              </w:rPr>
            </w:pPr>
            <w:r>
              <w:rPr>
                <w:rFonts w:hint="eastAsia" w:ascii="宋体" w:hAnsi="宋体" w:cs="宋体"/>
                <w:sz w:val="24"/>
                <w:szCs w:val="24"/>
              </w:rPr>
              <w:t>技术服务工程师</w:t>
            </w:r>
          </w:p>
        </w:tc>
        <w:tc>
          <w:tcPr>
            <w:tcW w:w="5492" w:type="dxa"/>
            <w:noWrap w:val="0"/>
            <w:vAlign w:val="center"/>
          </w:tcPr>
          <w:p>
            <w:pPr>
              <w:pStyle w:val="204"/>
              <w:widowControl/>
              <w:numPr>
                <w:ilvl w:val="0"/>
                <w:numId w:val="18"/>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电话支持解决；无法远程解决，进行现场技术服务；</w:t>
            </w:r>
          </w:p>
          <w:p>
            <w:pPr>
              <w:pStyle w:val="204"/>
              <w:widowControl/>
              <w:numPr>
                <w:ilvl w:val="0"/>
                <w:numId w:val="18"/>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停运出现故障的相关设备，进行隔离，在维修模式下或者接入调试系统诊断问题，找到问题并解决问题；</w:t>
            </w:r>
          </w:p>
          <w:p>
            <w:pPr>
              <w:pStyle w:val="204"/>
              <w:widowControl/>
              <w:numPr>
                <w:ilvl w:val="0"/>
                <w:numId w:val="18"/>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向招标方提交问题调查报告，提供防止再次发生同类故障的措施和办法。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noWrap w:val="0"/>
            <w:vAlign w:val="center"/>
          </w:tcPr>
          <w:p>
            <w:pPr>
              <w:pStyle w:val="240"/>
              <w:tabs>
                <w:tab w:val="left" w:pos="567"/>
              </w:tabs>
              <w:spacing w:line="360" w:lineRule="exact"/>
              <w:jc w:val="center"/>
              <w:rPr>
                <w:rFonts w:hint="eastAsia" w:cs="宋体"/>
                <w:sz w:val="24"/>
                <w:szCs w:val="24"/>
              </w:rPr>
            </w:pPr>
            <w:r>
              <w:rPr>
                <w:rFonts w:hint="eastAsia" w:cs="宋体"/>
                <w:sz w:val="24"/>
                <w:szCs w:val="24"/>
              </w:rPr>
              <w:t>四级故障</w:t>
            </w:r>
          </w:p>
        </w:tc>
        <w:tc>
          <w:tcPr>
            <w:tcW w:w="2203" w:type="dxa"/>
            <w:noWrap w:val="0"/>
            <w:vAlign w:val="center"/>
          </w:tcPr>
          <w:p>
            <w:pPr>
              <w:pStyle w:val="240"/>
              <w:tabs>
                <w:tab w:val="left" w:pos="567"/>
              </w:tabs>
              <w:spacing w:line="360" w:lineRule="exact"/>
              <w:jc w:val="center"/>
              <w:rPr>
                <w:rFonts w:hint="eastAsia" w:cs="宋体"/>
                <w:sz w:val="24"/>
                <w:szCs w:val="24"/>
              </w:rPr>
            </w:pPr>
            <w:r>
              <w:rPr>
                <w:rFonts w:hint="eastAsia" w:cs="宋体"/>
                <w:sz w:val="24"/>
                <w:szCs w:val="24"/>
              </w:rPr>
              <w:t>技术服务工程师</w:t>
            </w:r>
          </w:p>
        </w:tc>
        <w:tc>
          <w:tcPr>
            <w:tcW w:w="5492" w:type="dxa"/>
            <w:noWrap w:val="0"/>
            <w:vAlign w:val="center"/>
          </w:tcPr>
          <w:p>
            <w:pPr>
              <w:pStyle w:val="204"/>
              <w:widowControl/>
              <w:numPr>
                <w:ilvl w:val="0"/>
                <w:numId w:val="19"/>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电话支持解决；无法远程解决，进行现场技术服务；</w:t>
            </w:r>
          </w:p>
          <w:p>
            <w:pPr>
              <w:pStyle w:val="204"/>
              <w:widowControl/>
              <w:numPr>
                <w:ilvl w:val="0"/>
                <w:numId w:val="19"/>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现场解决问题；</w:t>
            </w:r>
          </w:p>
          <w:p>
            <w:pPr>
              <w:pStyle w:val="204"/>
              <w:widowControl/>
              <w:numPr>
                <w:ilvl w:val="0"/>
                <w:numId w:val="19"/>
              </w:numPr>
              <w:tabs>
                <w:tab w:val="left" w:pos="567"/>
              </w:tabs>
              <w:adjustRightInd/>
              <w:snapToGrid/>
              <w:spacing w:beforeLines="0" w:afterLines="0" w:line="360" w:lineRule="exact"/>
              <w:jc w:val="both"/>
              <w:rPr>
                <w:rFonts w:hint="eastAsia" w:ascii="宋体" w:hAnsi="宋体" w:cs="宋体"/>
                <w:sz w:val="24"/>
                <w:szCs w:val="24"/>
              </w:rPr>
            </w:pPr>
            <w:r>
              <w:rPr>
                <w:rFonts w:hint="eastAsia" w:ascii="宋体" w:hAnsi="宋体" w:cs="宋体"/>
                <w:sz w:val="24"/>
                <w:szCs w:val="24"/>
              </w:rPr>
              <w:t>记录问题原因、解决方法、时间、负责人等，供查询使用。</w:t>
            </w:r>
          </w:p>
        </w:tc>
      </w:tr>
    </w:tbl>
    <w:p>
      <w:pPr>
        <w:pStyle w:val="189"/>
        <w:tabs>
          <w:tab w:val="left" w:pos="567"/>
        </w:tabs>
        <w:ind w:firstLine="480"/>
        <w:rPr>
          <w:rFonts w:hint="eastAsia" w:cs="宋体"/>
          <w:sz w:val="24"/>
          <w:szCs w:val="24"/>
        </w:rPr>
      </w:pPr>
      <w:r>
        <w:rPr>
          <w:rFonts w:hint="eastAsia" w:cs="宋体"/>
          <w:sz w:val="24"/>
          <w:szCs w:val="24"/>
        </w:rPr>
        <w:t>发现故障后，由故障响应人组织和监控事故处理的过程；调度内部资源；保持与客户的沟通和联系及密切配合；协调其他必需的外部支持。并将在故障处理过程中，注意下列事项：</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我方若发现并希望对系统不符合质量要求之处进行整改和修复，将立即将其修复申请报告提交招标方，指出不合格之处和采取的修复方法。</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如果招标方未对我方按规定所提交的报告发出不合格通知，我方将立即查询此事，在接到通知14天内，提交招标方确认其整改措施和采取这些措施的理由。</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保证故障清查和排除；</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保证更换出现异常而不符合本技术要求或设计文件要求的部件；</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如果发现的异常问题反复出现或其后果影响到安全，则进行调查研究。研究的结果可以导致小或大的整改以使其符合要求；</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提供用于丰富数据库的资料，以便随时了解系统的状态。</w:t>
      </w:r>
    </w:p>
    <w:p>
      <w:pPr>
        <w:pStyle w:val="225"/>
        <w:numPr>
          <w:ilvl w:val="0"/>
          <w:numId w:val="20"/>
        </w:numPr>
        <w:tabs>
          <w:tab w:val="left" w:pos="567"/>
        </w:tabs>
        <w:spacing w:before="0" w:after="0"/>
        <w:ind w:left="0" w:firstLine="480"/>
        <w:jc w:val="left"/>
        <w:rPr>
          <w:rFonts w:hint="eastAsia" w:ascii="宋体" w:hAnsi="宋体" w:cs="宋体"/>
          <w:kern w:val="2"/>
          <w:sz w:val="24"/>
          <w:szCs w:val="24"/>
        </w:rPr>
      </w:pPr>
      <w:r>
        <w:rPr>
          <w:rFonts w:hint="eastAsia" w:ascii="宋体" w:hAnsi="宋体" w:cs="宋体"/>
          <w:kern w:val="2"/>
          <w:sz w:val="24"/>
          <w:szCs w:val="24"/>
        </w:rPr>
        <w:t>如果发现的故障原因属于下述情况，我方将替换相同功能的全部零部件，且费用由我方负担∶</w:t>
      </w:r>
    </w:p>
    <w:p>
      <w:pPr>
        <w:pStyle w:val="225"/>
        <w:tabs>
          <w:tab w:val="left" w:pos="567"/>
        </w:tabs>
        <w:spacing w:before="0" w:after="0"/>
        <w:rPr>
          <w:rFonts w:hint="eastAsia" w:ascii="宋体" w:hAnsi="宋体" w:cs="宋体"/>
          <w:kern w:val="2"/>
          <w:sz w:val="24"/>
          <w:szCs w:val="24"/>
        </w:rPr>
      </w:pPr>
      <w:r>
        <w:rPr>
          <w:rFonts w:hint="eastAsia" w:ascii="宋体" w:hAnsi="宋体" w:cs="宋体"/>
          <w:kern w:val="2"/>
          <w:sz w:val="24"/>
          <w:szCs w:val="24"/>
        </w:rPr>
        <w:t>1）材料质量问题；</w:t>
      </w:r>
    </w:p>
    <w:p>
      <w:pPr>
        <w:pStyle w:val="225"/>
        <w:tabs>
          <w:tab w:val="left" w:pos="567"/>
        </w:tabs>
        <w:spacing w:before="0" w:after="0"/>
        <w:rPr>
          <w:rFonts w:hint="eastAsia" w:ascii="宋体" w:hAnsi="宋体" w:cs="宋体"/>
          <w:kern w:val="2"/>
          <w:sz w:val="24"/>
          <w:szCs w:val="24"/>
        </w:rPr>
      </w:pPr>
      <w:r>
        <w:rPr>
          <w:rFonts w:hint="eastAsia" w:ascii="宋体" w:hAnsi="宋体" w:cs="宋体"/>
          <w:kern w:val="2"/>
          <w:sz w:val="24"/>
          <w:szCs w:val="24"/>
        </w:rPr>
        <w:t>2）零部件设计和生产中出现的严重缺陷；</w:t>
      </w:r>
    </w:p>
    <w:p>
      <w:pPr>
        <w:pStyle w:val="225"/>
        <w:tabs>
          <w:tab w:val="left" w:pos="567"/>
        </w:tabs>
        <w:spacing w:before="0" w:after="0"/>
        <w:rPr>
          <w:rFonts w:hint="eastAsia" w:ascii="宋体" w:hAnsi="宋体" w:cs="宋体"/>
          <w:kern w:val="2"/>
          <w:sz w:val="24"/>
          <w:szCs w:val="24"/>
        </w:rPr>
      </w:pPr>
      <w:r>
        <w:rPr>
          <w:rFonts w:hint="eastAsia" w:ascii="宋体" w:hAnsi="宋体" w:cs="宋体"/>
          <w:kern w:val="2"/>
          <w:sz w:val="24"/>
          <w:szCs w:val="24"/>
        </w:rPr>
        <w:t>3）对某些零部件（最小可更换单元）的更换和修理超过同类产品在同类型号零部件中的更换率（5%）。</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缺陷责任期内的义务包括对有缺陷零部件进行调查研究、拆卸、更换和重新安装。包括我方人员出差费用、包装和运输费用以及进行修复和更换所需的工具费用。</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如果故障清查的原因为软件故障时，我方将进行软件更换。</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缺陷责任期内，如果发生系统运行故障并导致全线或部分停运，我方将赔偿招标方因停运给业主造成的损失。停运的赔偿额，按故障运营前1周的日均运营收入为基础进行计算。</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接到故障报告后，详细了解故障现象和系统状态，分析可能的原因（换版升级、异常操作、软件缺陷、硬件故障等）；</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处理故障前，最大可能地保护并记录事故发生时的现场信息，以便故障原因的分析调查；</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与招标方方确认先恢复系统还是先查清原因；</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处理故障时，分清有关操作的责任范围（对非我方提供的产品，以及涉及招标方方安全权限规定的数据，须得到招标方方的正式授权方可由我方人员操作）；</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处理故障时，涉及业务操作及运行的任何变化，须征得招标方的认可；</w:t>
      </w:r>
    </w:p>
    <w:p>
      <w:pPr>
        <w:pStyle w:val="225"/>
        <w:numPr>
          <w:ilvl w:val="0"/>
          <w:numId w:val="21"/>
        </w:numPr>
        <w:tabs>
          <w:tab w:val="left" w:pos="567"/>
        </w:tabs>
        <w:spacing w:before="0" w:after="0"/>
        <w:ind w:left="0" w:firstLine="480"/>
        <w:rPr>
          <w:rFonts w:hint="eastAsia" w:ascii="宋体" w:hAnsi="宋体" w:cs="宋体"/>
          <w:kern w:val="2"/>
          <w:sz w:val="24"/>
          <w:szCs w:val="24"/>
        </w:rPr>
      </w:pPr>
      <w:r>
        <w:rPr>
          <w:rFonts w:hint="eastAsia" w:ascii="宋体" w:hAnsi="宋体" w:cs="宋体"/>
          <w:kern w:val="2"/>
          <w:sz w:val="24"/>
          <w:szCs w:val="24"/>
        </w:rPr>
        <w:t>处理故障时，严格遵守质量流程和工程规范，严防因处理不当而引发新的故障，或埋下隐患。</w:t>
      </w:r>
    </w:p>
    <w:p>
      <w:pPr>
        <w:pStyle w:val="189"/>
        <w:numPr>
          <w:ilvl w:val="0"/>
          <w:numId w:val="21"/>
        </w:numPr>
        <w:tabs>
          <w:tab w:val="left" w:pos="567"/>
        </w:tabs>
        <w:ind w:left="0" w:firstLine="480"/>
        <w:rPr>
          <w:rFonts w:hint="eastAsia" w:cs="宋体"/>
          <w:sz w:val="24"/>
          <w:szCs w:val="24"/>
        </w:rPr>
      </w:pPr>
      <w:r>
        <w:rPr>
          <w:rFonts w:hint="eastAsia" w:cs="宋体"/>
          <w:sz w:val="24"/>
          <w:szCs w:val="24"/>
        </w:rPr>
        <w:t>在故障得到妥善处理后一天内，故障响应人负责撰写故障处理报告报送招标方。报告的主要内容包括：</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故障发生的时间和地点；</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故障发生的简要经过、主要影响和直接经济损失的最终估计；</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故障发生原因及责任；</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故障发生后采取的应急措施及故障控制情况；</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故障处理过程中客户的反应及相应处理情况；</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采取的预防措施；</w:t>
      </w:r>
    </w:p>
    <w:p>
      <w:pPr>
        <w:pStyle w:val="225"/>
        <w:numPr>
          <w:ilvl w:val="0"/>
          <w:numId w:val="22"/>
        </w:numPr>
        <w:tabs>
          <w:tab w:val="left" w:pos="567"/>
        </w:tabs>
        <w:spacing w:before="0" w:after="0"/>
        <w:ind w:firstLine="0" w:firstLineChars="0"/>
        <w:rPr>
          <w:rFonts w:hint="eastAsia" w:ascii="宋体" w:hAnsi="宋体" w:cs="宋体"/>
          <w:kern w:val="2"/>
          <w:sz w:val="24"/>
          <w:szCs w:val="24"/>
        </w:rPr>
      </w:pPr>
      <w:r>
        <w:rPr>
          <w:rFonts w:hint="eastAsia" w:ascii="宋体" w:hAnsi="宋体" w:cs="宋体"/>
          <w:kern w:val="2"/>
          <w:sz w:val="24"/>
          <w:szCs w:val="24"/>
        </w:rPr>
        <w:t>对有关责任人的处理意见；</w:t>
      </w:r>
    </w:p>
    <w:p>
      <w:pPr>
        <w:pStyle w:val="5"/>
        <w:spacing w:before="0" w:after="0" w:line="360" w:lineRule="auto"/>
        <w:rPr>
          <w:rFonts w:hint="eastAsia" w:ascii="宋体" w:hAnsi="宋体" w:eastAsia="宋体" w:cs="宋体"/>
          <w:sz w:val="24"/>
          <w:szCs w:val="24"/>
        </w:rPr>
      </w:pPr>
      <w:bookmarkStart w:id="97" w:name="_Toc366082377"/>
      <w:bookmarkStart w:id="98" w:name="_Toc18278"/>
      <w:bookmarkStart w:id="99" w:name="_Toc3395"/>
      <w:bookmarkStart w:id="100" w:name="_Toc18499"/>
      <w:bookmarkStart w:id="101" w:name="_Toc21397"/>
      <w:bookmarkStart w:id="102" w:name="_Toc21319"/>
      <w:bookmarkStart w:id="103" w:name="_Toc6840920"/>
      <w:bookmarkStart w:id="104" w:name="_Toc364089429"/>
      <w:bookmarkStart w:id="105" w:name="_Toc4751275"/>
      <w:bookmarkStart w:id="106" w:name="_Toc5281090"/>
      <w:r>
        <w:rPr>
          <w:rFonts w:hint="eastAsia" w:ascii="宋体" w:hAnsi="宋体" w:eastAsia="宋体" w:cs="宋体"/>
          <w:sz w:val="24"/>
          <w:szCs w:val="24"/>
        </w:rPr>
        <w:t>九、备品备件服务</w:t>
      </w:r>
      <w:bookmarkEnd w:id="97"/>
      <w:bookmarkEnd w:id="98"/>
      <w:bookmarkEnd w:id="99"/>
      <w:bookmarkEnd w:id="100"/>
      <w:bookmarkEnd w:id="101"/>
      <w:bookmarkEnd w:id="102"/>
      <w:bookmarkEnd w:id="103"/>
      <w:bookmarkEnd w:id="104"/>
      <w:bookmarkEnd w:id="105"/>
      <w:bookmarkEnd w:id="106"/>
    </w:p>
    <w:p>
      <w:pPr>
        <w:pStyle w:val="189"/>
        <w:tabs>
          <w:tab w:val="left" w:pos="567"/>
        </w:tabs>
        <w:ind w:firstLine="480"/>
        <w:rPr>
          <w:rFonts w:hint="eastAsia" w:cs="宋体"/>
          <w:sz w:val="24"/>
          <w:szCs w:val="24"/>
        </w:rPr>
      </w:pPr>
      <w:r>
        <w:rPr>
          <w:rFonts w:hint="eastAsia" w:cs="宋体"/>
          <w:sz w:val="24"/>
          <w:szCs w:val="24"/>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pPr>
        <w:pStyle w:val="189"/>
        <w:tabs>
          <w:tab w:val="left" w:pos="567"/>
        </w:tabs>
        <w:ind w:firstLine="480"/>
        <w:rPr>
          <w:rFonts w:hint="eastAsia" w:cs="宋体"/>
          <w:sz w:val="24"/>
          <w:szCs w:val="24"/>
        </w:rPr>
      </w:pPr>
      <w:r>
        <w:rPr>
          <w:rFonts w:hint="eastAsia" w:cs="宋体"/>
          <w:sz w:val="24"/>
          <w:szCs w:val="24"/>
        </w:rPr>
        <w:t>我方在备品备件仓库存储充足的备品备件，确保有足够的备品备件，并对备品备件进行必要的维护检查和保养，保证备品备件的性能可靠，随时可以投入应用。</w:t>
      </w:r>
    </w:p>
    <w:p>
      <w:pPr>
        <w:pStyle w:val="5"/>
        <w:spacing w:before="0" w:after="0" w:line="360" w:lineRule="auto"/>
        <w:rPr>
          <w:rFonts w:hint="eastAsia" w:ascii="宋体" w:hAnsi="宋体" w:eastAsia="宋体" w:cs="宋体"/>
          <w:sz w:val="24"/>
          <w:szCs w:val="24"/>
        </w:rPr>
      </w:pPr>
      <w:bookmarkStart w:id="107" w:name="_Toc5281091"/>
      <w:bookmarkStart w:id="108" w:name="_Toc4751276"/>
      <w:bookmarkStart w:id="109" w:name="_Toc28680"/>
      <w:bookmarkStart w:id="110" w:name="_Toc19162"/>
      <w:bookmarkStart w:id="111" w:name="_Toc26056"/>
      <w:bookmarkStart w:id="112" w:name="_Toc16600"/>
      <w:bookmarkStart w:id="113" w:name="_Toc6840921"/>
      <w:bookmarkStart w:id="114" w:name="_Toc7749"/>
      <w:r>
        <w:rPr>
          <w:rFonts w:hint="eastAsia" w:ascii="宋体" w:hAnsi="宋体" w:eastAsia="宋体" w:cs="宋体"/>
          <w:sz w:val="24"/>
          <w:szCs w:val="24"/>
        </w:rPr>
        <w:t>十、质保期后的技术服务</w:t>
      </w:r>
      <w:bookmarkEnd w:id="107"/>
      <w:bookmarkEnd w:id="108"/>
      <w:bookmarkEnd w:id="109"/>
      <w:bookmarkEnd w:id="110"/>
      <w:bookmarkEnd w:id="111"/>
      <w:bookmarkEnd w:id="112"/>
      <w:bookmarkEnd w:id="113"/>
      <w:bookmarkEnd w:id="114"/>
    </w:p>
    <w:p>
      <w:pPr>
        <w:spacing w:line="360" w:lineRule="auto"/>
        <w:jc w:val="center"/>
        <w:rPr>
          <w:rFonts w:hint="eastAsia" w:ascii="宋体" w:hAnsi="宋体" w:cs="宋体"/>
          <w:b/>
          <w:bCs/>
          <w:sz w:val="24"/>
        </w:rPr>
      </w:pPr>
      <w:r>
        <w:rPr>
          <w:rFonts w:hint="eastAsia" w:ascii="宋体" w:hAnsi="宋体" w:cs="宋体"/>
          <w:b/>
          <w:bCs/>
          <w:sz w:val="24"/>
        </w:rPr>
        <w:t>质保期后技术服务</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noWrap w:val="0"/>
            <w:vAlign w:val="center"/>
          </w:tcPr>
          <w:p>
            <w:pPr>
              <w:widowControl/>
              <w:tabs>
                <w:tab w:val="left" w:pos="567"/>
              </w:tabs>
              <w:spacing w:line="360" w:lineRule="exact"/>
              <w:jc w:val="center"/>
              <w:rPr>
                <w:rFonts w:hint="eastAsia" w:ascii="宋体" w:hAnsi="宋体" w:cs="宋体"/>
                <w:b/>
                <w:bCs/>
                <w:kern w:val="0"/>
                <w:sz w:val="24"/>
              </w:rPr>
            </w:pPr>
            <w:r>
              <w:rPr>
                <w:rFonts w:hint="eastAsia" w:ascii="宋体" w:hAnsi="宋体" w:cs="宋体"/>
                <w:b/>
                <w:bCs/>
                <w:kern w:val="0"/>
                <w:sz w:val="24"/>
              </w:rPr>
              <w:t>质保期技术服务清单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noWrap w:val="0"/>
            <w:vAlign w:val="center"/>
          </w:tcPr>
          <w:p>
            <w:pPr>
              <w:widowControl/>
              <w:tabs>
                <w:tab w:val="left" w:pos="567"/>
              </w:tabs>
              <w:spacing w:line="360" w:lineRule="exact"/>
              <w:jc w:val="center"/>
              <w:rPr>
                <w:rFonts w:hint="eastAsia" w:ascii="宋体" w:hAnsi="宋体" w:cs="宋体"/>
                <w:b/>
                <w:kern w:val="0"/>
                <w:sz w:val="24"/>
              </w:rPr>
            </w:pPr>
            <w:r>
              <w:rPr>
                <w:rFonts w:hint="eastAsia" w:ascii="宋体" w:hAnsi="宋体" w:cs="宋体"/>
                <w:b/>
                <w:kern w:val="0"/>
                <w:sz w:val="24"/>
              </w:rPr>
              <w:t>序号</w:t>
            </w:r>
          </w:p>
        </w:tc>
        <w:tc>
          <w:tcPr>
            <w:tcW w:w="1843" w:type="dxa"/>
            <w:noWrap w:val="0"/>
            <w:vAlign w:val="center"/>
          </w:tcPr>
          <w:p>
            <w:pPr>
              <w:widowControl/>
              <w:tabs>
                <w:tab w:val="left" w:pos="567"/>
              </w:tabs>
              <w:spacing w:line="360" w:lineRule="exact"/>
              <w:jc w:val="center"/>
              <w:rPr>
                <w:rFonts w:hint="eastAsia" w:ascii="宋体" w:hAnsi="宋体" w:cs="宋体"/>
                <w:b/>
                <w:kern w:val="0"/>
                <w:sz w:val="24"/>
              </w:rPr>
            </w:pPr>
            <w:r>
              <w:rPr>
                <w:rFonts w:hint="eastAsia" w:ascii="宋体" w:hAnsi="宋体" w:cs="宋体"/>
                <w:b/>
                <w:kern w:val="0"/>
                <w:sz w:val="24"/>
              </w:rPr>
              <w:t>服务项目</w:t>
            </w:r>
          </w:p>
        </w:tc>
        <w:tc>
          <w:tcPr>
            <w:tcW w:w="5415" w:type="dxa"/>
            <w:noWrap w:val="0"/>
            <w:vAlign w:val="center"/>
          </w:tcPr>
          <w:p>
            <w:pPr>
              <w:widowControl/>
              <w:tabs>
                <w:tab w:val="left" w:pos="567"/>
              </w:tabs>
              <w:spacing w:line="360" w:lineRule="exact"/>
              <w:jc w:val="center"/>
              <w:rPr>
                <w:rFonts w:hint="eastAsia" w:ascii="宋体" w:hAnsi="宋体" w:cs="宋体"/>
                <w:b/>
                <w:kern w:val="0"/>
                <w:sz w:val="24"/>
              </w:rPr>
            </w:pPr>
            <w:r>
              <w:rPr>
                <w:rFonts w:hint="eastAsia" w:ascii="宋体" w:hAnsi="宋体" w:cs="宋体"/>
                <w:b/>
                <w:kern w:val="0"/>
                <w:sz w:val="24"/>
              </w:rPr>
              <w:t>计算标准</w:t>
            </w:r>
          </w:p>
        </w:tc>
        <w:tc>
          <w:tcPr>
            <w:tcW w:w="1172" w:type="dxa"/>
            <w:noWrap w:val="0"/>
            <w:vAlign w:val="center"/>
          </w:tcPr>
          <w:p>
            <w:pPr>
              <w:widowControl/>
              <w:tabs>
                <w:tab w:val="left" w:pos="567"/>
              </w:tabs>
              <w:spacing w:line="360" w:lineRule="exact"/>
              <w:jc w:val="center"/>
              <w:rPr>
                <w:rFonts w:hint="eastAsia" w:ascii="宋体" w:hAnsi="宋体" w:cs="宋体"/>
                <w:b/>
                <w:bCs/>
                <w:kern w:val="0"/>
                <w:sz w:val="24"/>
              </w:rPr>
            </w:pPr>
            <w:r>
              <w:rPr>
                <w:rFonts w:hint="eastAsia" w:ascii="宋体" w:hAnsi="宋体" w:cs="宋体"/>
                <w:b/>
                <w:bCs/>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远程支持服务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质保期内技术服务免费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2</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咨询和电话支持服务7×24小时</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3</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现场支持服务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我公司按项目需求派专业工程师进行技术支持服务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4</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现场值守服务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我公司按项目需求派项目工程师进行现场值守服务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5</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重大事件技术支持服务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我公司按项目需求安排资深工程师进行技术支持</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6</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版本升级服务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提供对应的软件版本支持并提供版本升级服务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7</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资料服务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8</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故障件维修服务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对用户在使用过程中出现的故障板件进行修复以保证设备持续可用的服务。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9</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备件同步升级服务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10</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设备巡检及健康检查服务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按项目需求派项目工程师进行设备巡检及健康检查服务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11</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第三方设备技术支持服务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12</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配合运用质量分析服务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我公司按项目需求提供配合运用质量分析服务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13</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网络优化服务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我公司按项目需求提供网络优化服务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14</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紧急故障恢复服务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按照故障处理难易程度收费</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15</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备件紧急支持服务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服务免费，硬件按备件报价收费</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16</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备件销售服务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服务免费，硬件按备件报价收费</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17</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备件同步升级服务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18</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运维交流会服务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根据需要派专业工程师提供运维交流会服务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19</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维保执行月报服务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r>
              <w:rPr>
                <w:rFonts w:hint="eastAsia" w:ascii="宋体" w:hAnsi="宋体" w:cs="宋体"/>
                <w:kern w:val="0"/>
                <w:sz w:val="24"/>
              </w:rPr>
              <w:t>根据需要进行维保服务</w:t>
            </w: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20</w:t>
            </w:r>
          </w:p>
        </w:tc>
        <w:tc>
          <w:tcPr>
            <w:tcW w:w="1843" w:type="dxa"/>
            <w:noWrap w:val="0"/>
            <w:vAlign w:val="center"/>
          </w:tcPr>
          <w:p>
            <w:pPr>
              <w:widowControl/>
              <w:tabs>
                <w:tab w:val="left" w:pos="567"/>
              </w:tabs>
              <w:spacing w:line="360" w:lineRule="exact"/>
              <w:jc w:val="center"/>
              <w:rPr>
                <w:rFonts w:hint="eastAsia" w:ascii="宋体" w:hAnsi="宋体" w:cs="宋体"/>
                <w:kern w:val="0"/>
                <w:sz w:val="24"/>
              </w:rPr>
            </w:pPr>
            <w:r>
              <w:rPr>
                <w:rFonts w:hint="eastAsia" w:ascii="宋体" w:hAnsi="宋体" w:cs="宋体"/>
                <w:kern w:val="0"/>
                <w:sz w:val="24"/>
              </w:rPr>
              <w:t>其它服务</w:t>
            </w:r>
          </w:p>
        </w:tc>
        <w:tc>
          <w:tcPr>
            <w:tcW w:w="5415" w:type="dxa"/>
            <w:noWrap w:val="0"/>
            <w:vAlign w:val="center"/>
          </w:tcPr>
          <w:p>
            <w:pPr>
              <w:widowControl/>
              <w:tabs>
                <w:tab w:val="left" w:pos="567"/>
              </w:tabs>
              <w:spacing w:line="360" w:lineRule="exact"/>
              <w:jc w:val="left"/>
              <w:rPr>
                <w:rFonts w:hint="eastAsia" w:ascii="宋体" w:hAnsi="宋体" w:cs="宋体"/>
                <w:kern w:val="0"/>
                <w:sz w:val="24"/>
              </w:rPr>
            </w:pPr>
          </w:p>
        </w:tc>
        <w:tc>
          <w:tcPr>
            <w:tcW w:w="1172" w:type="dxa"/>
            <w:vMerge w:val="continue"/>
            <w:noWrap w:val="0"/>
            <w:vAlign w:val="center"/>
          </w:tcPr>
          <w:p>
            <w:pPr>
              <w:widowControl/>
              <w:tabs>
                <w:tab w:val="left" w:pos="567"/>
              </w:tabs>
              <w:spacing w:line="360" w:lineRule="exact"/>
              <w:jc w:val="left"/>
              <w:rPr>
                <w:rFonts w:hint="eastAsia" w:ascii="宋体" w:hAnsi="宋体" w:cs="宋体"/>
                <w:kern w:val="0"/>
                <w:sz w:val="24"/>
              </w:rPr>
            </w:pPr>
          </w:p>
        </w:tc>
      </w:tr>
    </w:tbl>
    <w:p>
      <w:pPr>
        <w:pStyle w:val="2"/>
        <w:rPr>
          <w:rFonts w:hint="eastAsia"/>
        </w:rPr>
      </w:pPr>
      <w:bookmarkStart w:id="115" w:name="_Toc14764"/>
      <w:bookmarkStart w:id="116" w:name="_Toc20859"/>
      <w:bookmarkStart w:id="117" w:name="_Toc3902"/>
      <w:bookmarkStart w:id="118" w:name="_Toc20906"/>
      <w:bookmarkStart w:id="119" w:name="_Toc5281092"/>
      <w:bookmarkStart w:id="120" w:name="_Toc4751277"/>
      <w:bookmarkStart w:id="121" w:name="_Toc20868"/>
    </w:p>
    <w:p>
      <w:pPr>
        <w:rPr>
          <w:rFonts w:hint="eastAsia"/>
        </w:rPr>
      </w:pPr>
    </w:p>
    <w:bookmarkEnd w:id="115"/>
    <w:bookmarkEnd w:id="116"/>
    <w:bookmarkEnd w:id="117"/>
    <w:bookmarkEnd w:id="118"/>
    <w:p>
      <w:pPr>
        <w:pStyle w:val="4"/>
        <w:spacing w:before="0" w:after="0" w:line="360" w:lineRule="auto"/>
        <w:rPr>
          <w:rFonts w:hint="eastAsia" w:ascii="宋体" w:hAnsi="宋体" w:eastAsia="宋体" w:cs="宋体"/>
          <w:sz w:val="24"/>
          <w:szCs w:val="24"/>
        </w:rPr>
      </w:pPr>
      <w:bookmarkStart w:id="122" w:name="_Toc6840922"/>
      <w:r>
        <w:rPr>
          <w:rFonts w:hint="eastAsia" w:ascii="宋体" w:hAnsi="宋体" w:eastAsia="宋体" w:cs="宋体"/>
          <w:sz w:val="24"/>
          <w:szCs w:val="24"/>
        </w:rPr>
        <w:t>十一、售后服务人员配置情况</w:t>
      </w:r>
      <w:bookmarkEnd w:id="119"/>
      <w:bookmarkEnd w:id="120"/>
      <w:bookmarkEnd w:id="121"/>
      <w:bookmarkEnd w:id="122"/>
    </w:p>
    <w:tbl>
      <w:tblPr>
        <w:tblStyle w:val="55"/>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noWrap w:val="0"/>
            <w:vAlign w:val="center"/>
          </w:tcPr>
          <w:p>
            <w:pPr>
              <w:spacing w:line="360" w:lineRule="auto"/>
              <w:jc w:val="center"/>
              <w:rPr>
                <w:rFonts w:hint="eastAsia" w:ascii="宋体" w:hAnsi="宋体" w:cs="宋体"/>
                <w:sz w:val="24"/>
              </w:rPr>
            </w:pPr>
            <w:r>
              <w:rPr>
                <w:rFonts w:hint="eastAsia" w:ascii="宋体" w:hAnsi="宋体" w:cs="宋体"/>
                <w:sz w:val="24"/>
              </w:rPr>
              <w:t>服务机构名称</w:t>
            </w:r>
          </w:p>
        </w:tc>
        <w:tc>
          <w:tcPr>
            <w:tcW w:w="1643" w:type="dxa"/>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2411" w:type="dxa"/>
            <w:noWrap w:val="0"/>
            <w:vAlign w:val="center"/>
          </w:tcPr>
          <w:p>
            <w:pPr>
              <w:spacing w:line="360" w:lineRule="auto"/>
              <w:jc w:val="center"/>
              <w:rPr>
                <w:rFonts w:hint="eastAsia" w:ascii="宋体" w:hAnsi="宋体" w:cs="宋体"/>
                <w:sz w:val="24"/>
              </w:rPr>
            </w:pPr>
            <w:r>
              <w:rPr>
                <w:rFonts w:hint="eastAsia" w:ascii="宋体" w:hAnsi="宋体" w:cs="宋体"/>
                <w:sz w:val="24"/>
              </w:rPr>
              <w:t>职责</w:t>
            </w:r>
          </w:p>
        </w:tc>
        <w:tc>
          <w:tcPr>
            <w:tcW w:w="2215" w:type="dxa"/>
            <w:noWrap w:val="0"/>
            <w:vAlign w:val="center"/>
          </w:tcPr>
          <w:p>
            <w:pPr>
              <w:spacing w:line="360" w:lineRule="auto"/>
              <w:jc w:val="center"/>
              <w:rPr>
                <w:rFonts w:hint="eastAsia" w:ascii="宋体" w:hAnsi="宋体" w:cs="宋体"/>
                <w:sz w:val="24"/>
              </w:rPr>
            </w:pPr>
            <w:r>
              <w:rPr>
                <w:rFonts w:hint="eastAsia" w:ascii="宋体" w:hAnsi="宋体" w:cs="宋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bl>
    <w:p>
      <w:pPr>
        <w:jc w:val="center"/>
        <w:rPr>
          <w:rFonts w:hint="eastAsia" w:ascii="宋体" w:hAnsi="宋体" w:cs="宋体"/>
          <w:b/>
          <w:bCs/>
          <w:sz w:val="24"/>
        </w:rPr>
      </w:pPr>
      <w:r>
        <w:rPr>
          <w:rFonts w:hint="eastAsia" w:ascii="宋体" w:hAnsi="宋体" w:cs="宋体"/>
          <w:b/>
          <w:bCs/>
          <w:sz w:val="24"/>
        </w:rPr>
        <w:t xml:space="preserve"> </w:t>
      </w:r>
    </w:p>
    <w:p>
      <w:pPr>
        <w:jc w:val="center"/>
        <w:rPr>
          <w:rFonts w:hint="eastAsia" w:ascii="宋体" w:hAnsi="宋体" w:cs="宋体"/>
          <w:b/>
          <w:bCs/>
          <w:sz w:val="24"/>
        </w:rPr>
      </w:pPr>
    </w:p>
    <w:p>
      <w:pPr>
        <w:jc w:val="center"/>
        <w:rPr>
          <w:rFonts w:ascii="宋体" w:hAnsi="宋体" w:cs="宋体"/>
          <w:b/>
          <w:bCs/>
          <w:sz w:val="24"/>
        </w:rPr>
      </w:pPr>
      <w:r>
        <w:rPr>
          <w:rFonts w:hint="eastAsia" w:ascii="宋体" w:hAnsi="宋体" w:cs="宋体"/>
          <w:b/>
          <w:bCs/>
          <w:sz w:val="24"/>
        </w:rPr>
        <w:t>办公地点及</w:t>
      </w:r>
      <w:r>
        <w:rPr>
          <w:rFonts w:ascii="宋体" w:hAnsi="宋体" w:cs="宋体"/>
          <w:b/>
          <w:bCs/>
          <w:sz w:val="24"/>
        </w:rPr>
        <w:t>服务机构</w:t>
      </w:r>
    </w:p>
    <w:p>
      <w:pPr>
        <w:pStyle w:val="2"/>
        <w:rPr>
          <w:sz w:val="24"/>
          <w:szCs w:val="24"/>
        </w:rPr>
      </w:pP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noWrap w:val="0"/>
            <w:vAlign w:val="center"/>
          </w:tcPr>
          <w:p>
            <w:pPr>
              <w:jc w:val="center"/>
              <w:rPr>
                <w:rFonts w:ascii="宋体" w:hAnsi="宋体"/>
                <w:sz w:val="24"/>
              </w:rPr>
            </w:pPr>
            <w:r>
              <w:rPr>
                <w:rFonts w:hint="eastAsia" w:ascii="宋体" w:hAnsi="宋体"/>
                <w:sz w:val="24"/>
              </w:rPr>
              <w:t>服务</w:t>
            </w:r>
            <w:r>
              <w:rPr>
                <w:rFonts w:ascii="宋体" w:hAnsi="宋体"/>
                <w:sz w:val="24"/>
              </w:rPr>
              <w:t>机构名称</w:t>
            </w:r>
          </w:p>
        </w:tc>
        <w:tc>
          <w:tcPr>
            <w:tcW w:w="990" w:type="dxa"/>
            <w:noWrap w:val="0"/>
            <w:vAlign w:val="center"/>
          </w:tcPr>
          <w:p>
            <w:pPr>
              <w:jc w:val="center"/>
              <w:rPr>
                <w:rFonts w:ascii="宋体" w:hAnsi="宋体"/>
                <w:sz w:val="24"/>
              </w:rPr>
            </w:pPr>
            <w:r>
              <w:rPr>
                <w:rFonts w:hint="eastAsia" w:ascii="宋体" w:hAnsi="宋体"/>
                <w:sz w:val="24"/>
              </w:rPr>
              <w:t>所在地</w:t>
            </w:r>
          </w:p>
        </w:tc>
        <w:tc>
          <w:tcPr>
            <w:tcW w:w="1140" w:type="dxa"/>
            <w:noWrap w:val="0"/>
            <w:vAlign w:val="center"/>
          </w:tcPr>
          <w:p>
            <w:pPr>
              <w:jc w:val="center"/>
              <w:rPr>
                <w:rFonts w:ascii="宋体" w:hAnsi="宋体"/>
                <w:sz w:val="24"/>
              </w:rPr>
            </w:pPr>
            <w:r>
              <w:rPr>
                <w:rFonts w:hint="eastAsia" w:ascii="宋体" w:hAnsi="宋体"/>
                <w:sz w:val="24"/>
              </w:rPr>
              <w:t>部门</w:t>
            </w:r>
          </w:p>
        </w:tc>
        <w:tc>
          <w:tcPr>
            <w:tcW w:w="1545" w:type="dxa"/>
            <w:noWrap w:val="0"/>
            <w:vAlign w:val="center"/>
          </w:tcPr>
          <w:p>
            <w:pPr>
              <w:jc w:val="center"/>
              <w:rPr>
                <w:rFonts w:ascii="宋体" w:hAnsi="宋体"/>
                <w:sz w:val="24"/>
              </w:rPr>
            </w:pPr>
            <w:r>
              <w:rPr>
                <w:rFonts w:hint="eastAsia" w:ascii="宋体" w:hAnsi="宋体"/>
                <w:sz w:val="24"/>
              </w:rPr>
              <w:t>联系</w:t>
            </w:r>
            <w:r>
              <w:rPr>
                <w:rFonts w:ascii="宋体" w:hAnsi="宋体"/>
                <w:sz w:val="24"/>
              </w:rPr>
              <w:t>电话</w:t>
            </w:r>
          </w:p>
        </w:tc>
        <w:tc>
          <w:tcPr>
            <w:tcW w:w="2894" w:type="dxa"/>
            <w:noWrap w:val="0"/>
            <w:vAlign w:val="center"/>
          </w:tcPr>
          <w:p>
            <w:pPr>
              <w:jc w:val="center"/>
              <w:rPr>
                <w:rFonts w:ascii="宋体" w:hAnsi="宋体"/>
                <w:sz w:val="24"/>
              </w:rPr>
            </w:pPr>
            <w:r>
              <w:rPr>
                <w:rFonts w:hint="eastAsia" w:ascii="宋体" w:hAnsi="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noWrap w:val="0"/>
            <w:vAlign w:val="center"/>
          </w:tcPr>
          <w:p>
            <w:pPr>
              <w:jc w:val="center"/>
              <w:rPr>
                <w:rFonts w:ascii="宋体" w:hAnsi="宋体"/>
                <w:sz w:val="24"/>
              </w:rPr>
            </w:pPr>
          </w:p>
        </w:tc>
        <w:tc>
          <w:tcPr>
            <w:tcW w:w="990" w:type="dxa"/>
            <w:noWrap w:val="0"/>
            <w:vAlign w:val="center"/>
          </w:tcPr>
          <w:p>
            <w:pPr>
              <w:jc w:val="center"/>
              <w:rPr>
                <w:rFonts w:ascii="宋体" w:hAnsi="宋体"/>
                <w:sz w:val="24"/>
              </w:rPr>
            </w:pPr>
          </w:p>
        </w:tc>
        <w:tc>
          <w:tcPr>
            <w:tcW w:w="1140" w:type="dxa"/>
            <w:noWrap w:val="0"/>
            <w:vAlign w:val="center"/>
          </w:tcPr>
          <w:p>
            <w:pPr>
              <w:jc w:val="center"/>
              <w:rPr>
                <w:rFonts w:ascii="宋体" w:hAnsi="宋体"/>
                <w:sz w:val="24"/>
              </w:rPr>
            </w:pPr>
          </w:p>
        </w:tc>
        <w:tc>
          <w:tcPr>
            <w:tcW w:w="1545" w:type="dxa"/>
            <w:noWrap w:val="0"/>
            <w:vAlign w:val="center"/>
          </w:tcPr>
          <w:p>
            <w:pPr>
              <w:jc w:val="center"/>
              <w:rPr>
                <w:rFonts w:ascii="宋体" w:hAnsi="宋体"/>
                <w:sz w:val="24"/>
              </w:rPr>
            </w:pPr>
          </w:p>
        </w:tc>
        <w:tc>
          <w:tcPr>
            <w:tcW w:w="2894" w:type="dxa"/>
            <w:noWrap w:val="0"/>
            <w:vAlign w:val="center"/>
          </w:tcPr>
          <w:p>
            <w:pPr>
              <w:jc w:val="center"/>
              <w:rPr>
                <w:rFonts w:ascii="宋体" w:hAnsi="宋体"/>
                <w:sz w:val="24"/>
              </w:rPr>
            </w:pP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480" w:lineRule="exact"/>
        <w:rPr>
          <w:rFonts w:hint="eastAsia" w:ascii="宋体" w:hAnsi="宋体" w:cs="宋体"/>
          <w:b/>
          <w:bCs/>
          <w:sz w:val="24"/>
        </w:rPr>
      </w:pPr>
      <w:r>
        <w:rPr>
          <w:rFonts w:hint="eastAsia" w:ascii="宋体" w:hAnsi="宋体" w:cs="宋体"/>
          <w:b/>
          <w:bCs/>
          <w:sz w:val="24"/>
        </w:rPr>
        <w:t>附件4—培训计划（参考模板）</w:t>
      </w:r>
    </w:p>
    <w:p>
      <w:pPr>
        <w:spacing w:line="480" w:lineRule="exact"/>
        <w:ind w:firstLine="480" w:firstLineChars="200"/>
        <w:contextualSpacing/>
        <w:rPr>
          <w:rFonts w:ascii="宋体" w:hAnsi="宋体" w:cs="宋体"/>
          <w:sz w:val="24"/>
        </w:rPr>
      </w:pPr>
      <w:r>
        <w:rPr>
          <w:rFonts w:hint="eastAsia" w:ascii="宋体" w:hAnsi="宋体" w:cs="宋体"/>
          <w:sz w:val="24"/>
        </w:rPr>
        <w:t>经验证明，完善和成功的培训将是系统建设能否成功的决定因素之一。为此，公司根据信息化集成项目的实际情况，制定了完善的培训计划。</w:t>
      </w:r>
    </w:p>
    <w:p>
      <w:pPr>
        <w:spacing w:line="480" w:lineRule="exact"/>
        <w:ind w:firstLine="480" w:firstLineChars="200"/>
        <w:contextualSpacing/>
        <w:rPr>
          <w:rFonts w:ascii="宋体" w:hAnsi="宋体" w:cs="宋体"/>
          <w:sz w:val="24"/>
        </w:rPr>
      </w:pPr>
      <w:r>
        <w:rPr>
          <w:rFonts w:hint="eastAsia" w:ascii="宋体" w:hAnsi="宋体" w:cs="宋体"/>
          <w:sz w:val="24"/>
        </w:rPr>
        <w:t>根据系统建设各个阶段的需要，以集中培训(国内)和现场培训等方式实施培训工作。培训工作分为工程实施阶段和系统运行阶段，在不同阶段培训不同类型的人员。培训内容主要系统的管理、使用及维护等。接受培训的人员在培训后能独立完成相应阶段的技术工作，并能达到回本单位后继续做培训的能力。使工程作到“交钥匙”工程“用户满意”工程。</w:t>
      </w:r>
    </w:p>
    <w:p>
      <w:pPr>
        <w:pStyle w:val="4"/>
        <w:spacing w:before="0" w:after="0" w:line="480" w:lineRule="exact"/>
        <w:rPr>
          <w:rFonts w:hint="eastAsia" w:ascii="宋体" w:hAnsi="宋体" w:eastAsia="宋体" w:cs="宋体"/>
          <w:sz w:val="24"/>
          <w:szCs w:val="24"/>
        </w:rPr>
      </w:pPr>
      <w:bookmarkStart w:id="123" w:name="_Toc24722"/>
      <w:bookmarkStart w:id="124" w:name="_Toc449024111"/>
      <w:bookmarkStart w:id="125" w:name="_Toc406487122"/>
      <w:bookmarkStart w:id="126" w:name="_Toc23382"/>
      <w:bookmarkStart w:id="127" w:name="_Toc6612"/>
      <w:bookmarkStart w:id="128" w:name="_Toc396225535"/>
      <w:bookmarkStart w:id="129" w:name="_Toc6840926"/>
      <w:bookmarkStart w:id="130" w:name="_Toc407132628"/>
      <w:bookmarkStart w:id="131" w:name="_Toc4751279"/>
      <w:bookmarkStart w:id="132" w:name="_Toc4719"/>
      <w:bookmarkStart w:id="133" w:name="_Toc5281094"/>
      <w:bookmarkStart w:id="134" w:name="_Toc435649541"/>
      <w:bookmarkStart w:id="135" w:name="_Toc394439056"/>
      <w:bookmarkStart w:id="136" w:name="_Toc29878"/>
      <w:bookmarkStart w:id="137" w:name="_Toc455830778"/>
      <w:bookmarkStart w:id="138" w:name="_Toc437963674"/>
      <w:bookmarkStart w:id="139" w:name="_Toc395805591"/>
      <w:bookmarkStart w:id="140" w:name="_Toc25886"/>
      <w:bookmarkStart w:id="141" w:name="_Toc11603"/>
      <w:r>
        <w:rPr>
          <w:rFonts w:hint="eastAsia" w:ascii="宋体" w:hAnsi="宋体" w:eastAsia="宋体" w:cs="宋体"/>
          <w:sz w:val="24"/>
          <w:szCs w:val="24"/>
        </w:rPr>
        <w:t>1、培训方案及目的</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pPr>
        <w:spacing w:line="480" w:lineRule="exact"/>
        <w:ind w:firstLine="480" w:firstLineChars="200"/>
        <w:contextualSpacing/>
        <w:rPr>
          <w:rFonts w:hint="eastAsia" w:ascii="宋体" w:hAnsi="宋体" w:cs="宋体"/>
          <w:sz w:val="24"/>
        </w:rPr>
      </w:pPr>
      <w:r>
        <w:rPr>
          <w:rFonts w:hint="eastAsia" w:ascii="宋体" w:hAnsi="宋体" w:cs="宋体"/>
          <w:sz w:val="24"/>
        </w:rPr>
        <w:t>在项目实施过程中，本公司除贯穿实施全过程对用户进行培训外，还针对本项目的产品提出一整套系统的培训方案，以达到如下目的：</w:t>
      </w:r>
    </w:p>
    <w:p>
      <w:pPr>
        <w:spacing w:line="480" w:lineRule="exact"/>
        <w:ind w:firstLine="480" w:firstLineChars="200"/>
        <w:contextualSpacing/>
        <w:rPr>
          <w:rFonts w:hint="eastAsia" w:ascii="宋体" w:hAnsi="宋体" w:cs="宋体"/>
          <w:sz w:val="24"/>
        </w:rPr>
      </w:pPr>
      <w:r>
        <w:rPr>
          <w:rFonts w:hint="eastAsia" w:ascii="宋体" w:hAnsi="宋体" w:cs="宋体"/>
          <w:sz w:val="24"/>
        </w:rPr>
        <w:t>工程能够按时高质量的完成。如对买方协作人员的培训。</w:t>
      </w:r>
    </w:p>
    <w:p>
      <w:pPr>
        <w:spacing w:line="480" w:lineRule="exact"/>
        <w:ind w:firstLine="480" w:firstLineChars="200"/>
        <w:contextualSpacing/>
        <w:rPr>
          <w:rFonts w:hint="eastAsia" w:ascii="宋体" w:hAnsi="宋体" w:cs="宋体"/>
          <w:sz w:val="24"/>
        </w:rPr>
      </w:pPr>
      <w:r>
        <w:rPr>
          <w:rFonts w:hint="eastAsia" w:ascii="宋体" w:hAnsi="宋体" w:cs="宋体"/>
          <w:sz w:val="24"/>
        </w:rPr>
        <w:t>系统完工后能够正常运转。如：各种软硬件的操作培训等。</w:t>
      </w:r>
    </w:p>
    <w:p>
      <w:pPr>
        <w:spacing w:line="480" w:lineRule="exact"/>
        <w:ind w:firstLine="480" w:firstLineChars="200"/>
        <w:contextualSpacing/>
        <w:rPr>
          <w:rFonts w:hint="eastAsia" w:ascii="宋体" w:hAnsi="宋体" w:cs="宋体"/>
          <w:sz w:val="24"/>
        </w:rPr>
      </w:pPr>
      <w:r>
        <w:rPr>
          <w:rFonts w:hint="eastAsia" w:ascii="宋体" w:hAnsi="宋体" w:cs="宋体"/>
          <w:sz w:val="24"/>
        </w:rPr>
        <w:t>系统能安全无故障的运行。如针对安全性对技术人员进行安全管理的培训。</w:t>
      </w:r>
    </w:p>
    <w:p>
      <w:pPr>
        <w:spacing w:line="480" w:lineRule="exact"/>
        <w:ind w:firstLine="480" w:firstLineChars="200"/>
        <w:contextualSpacing/>
        <w:rPr>
          <w:rFonts w:hint="eastAsia" w:ascii="宋体" w:hAnsi="宋体" w:cs="宋体"/>
          <w:sz w:val="24"/>
        </w:rPr>
      </w:pPr>
      <w:r>
        <w:rPr>
          <w:rFonts w:hint="eastAsia" w:ascii="宋体" w:hAnsi="宋体" w:cs="宋体"/>
          <w:sz w:val="24"/>
        </w:rPr>
        <w:t>此次培训的老师全部为我公司和相关厂商的专职培训人员。使维护工作人员经培训后能够熟练地掌握系统的软件及硬件维护工作，并能及时排除大部分设备故障。</w:t>
      </w:r>
    </w:p>
    <w:p>
      <w:pPr>
        <w:pStyle w:val="4"/>
        <w:spacing w:before="0" w:after="0" w:line="480" w:lineRule="exact"/>
        <w:rPr>
          <w:rFonts w:hint="eastAsia" w:ascii="宋体" w:hAnsi="宋体" w:eastAsia="宋体" w:cs="宋体"/>
          <w:sz w:val="24"/>
          <w:szCs w:val="24"/>
        </w:rPr>
      </w:pPr>
      <w:bookmarkStart w:id="142" w:name="_Toc406487123"/>
      <w:bookmarkStart w:id="143" w:name="_Toc437963675"/>
      <w:bookmarkStart w:id="144" w:name="_Toc407132629"/>
      <w:bookmarkStart w:id="145" w:name="_Toc449024112"/>
      <w:bookmarkStart w:id="146" w:name="_Toc394439059"/>
      <w:bookmarkStart w:id="147" w:name="_Toc395805592"/>
      <w:bookmarkStart w:id="148" w:name="_Toc396225536"/>
      <w:bookmarkStart w:id="149" w:name="_Toc455830779"/>
      <w:bookmarkStart w:id="150" w:name="_Toc16695"/>
      <w:bookmarkStart w:id="151" w:name="_Toc4751280"/>
      <w:bookmarkStart w:id="152" w:name="_Toc5281095"/>
      <w:bookmarkStart w:id="153" w:name="_Toc26198"/>
      <w:bookmarkStart w:id="154" w:name="_Toc7031"/>
      <w:bookmarkStart w:id="155" w:name="_Toc6840927"/>
      <w:bookmarkStart w:id="156" w:name="_Toc17475"/>
      <w:bookmarkStart w:id="157" w:name="_Toc16483"/>
      <w:bookmarkStart w:id="158" w:name="_Toc30610"/>
      <w:bookmarkStart w:id="159" w:name="_Toc4344"/>
      <w:r>
        <w:rPr>
          <w:rFonts w:hint="eastAsia" w:ascii="宋体" w:hAnsi="宋体" w:eastAsia="宋体" w:cs="宋体"/>
          <w:sz w:val="24"/>
          <w:szCs w:val="24"/>
        </w:rPr>
        <w:t>2、培训</w:t>
      </w:r>
      <w:bookmarkEnd w:id="142"/>
      <w:bookmarkEnd w:id="143"/>
      <w:bookmarkEnd w:id="144"/>
      <w:bookmarkEnd w:id="145"/>
      <w:bookmarkEnd w:id="146"/>
      <w:bookmarkEnd w:id="147"/>
      <w:bookmarkEnd w:id="148"/>
      <w:bookmarkEnd w:id="149"/>
      <w:r>
        <w:rPr>
          <w:rFonts w:hint="eastAsia" w:ascii="宋体" w:hAnsi="宋体" w:eastAsia="宋体" w:cs="宋体"/>
          <w:sz w:val="24"/>
          <w:szCs w:val="24"/>
        </w:rPr>
        <w:t>环境、教材、制度、特色</w:t>
      </w:r>
      <w:bookmarkEnd w:id="150"/>
      <w:bookmarkEnd w:id="151"/>
      <w:bookmarkEnd w:id="152"/>
      <w:bookmarkEnd w:id="153"/>
      <w:bookmarkEnd w:id="154"/>
      <w:bookmarkEnd w:id="155"/>
      <w:bookmarkEnd w:id="156"/>
      <w:bookmarkEnd w:id="157"/>
      <w:bookmarkEnd w:id="158"/>
      <w:bookmarkEnd w:id="159"/>
    </w:p>
    <w:p>
      <w:pPr>
        <w:spacing w:line="480" w:lineRule="exact"/>
        <w:ind w:firstLine="480" w:firstLineChars="200"/>
        <w:contextualSpacing/>
        <w:rPr>
          <w:rFonts w:hint="eastAsia" w:ascii="宋体" w:hAnsi="宋体" w:cs="宋体"/>
          <w:sz w:val="24"/>
        </w:rPr>
      </w:pPr>
      <w:r>
        <w:rPr>
          <w:rFonts w:hint="eastAsia" w:ascii="宋体" w:hAnsi="宋体" w:cs="宋体"/>
          <w:sz w:val="24"/>
        </w:rPr>
        <w:t>有效的情景展开</w:t>
      </w:r>
    </w:p>
    <w:p>
      <w:pPr>
        <w:spacing w:line="480" w:lineRule="exact"/>
        <w:ind w:firstLine="480" w:firstLineChars="200"/>
        <w:contextualSpacing/>
        <w:rPr>
          <w:rFonts w:hint="eastAsia" w:ascii="宋体" w:hAnsi="宋体" w:cs="宋体"/>
          <w:sz w:val="24"/>
        </w:rPr>
      </w:pPr>
      <w:r>
        <w:rPr>
          <w:rFonts w:hint="eastAsia" w:ascii="宋体" w:hAnsi="宋体" w:cs="宋体"/>
          <w:sz w:val="24"/>
        </w:rPr>
        <w:t>适用的内容剖析</w:t>
      </w:r>
    </w:p>
    <w:p>
      <w:pPr>
        <w:spacing w:line="480" w:lineRule="exact"/>
        <w:ind w:firstLine="480" w:firstLineChars="200"/>
        <w:contextualSpacing/>
        <w:rPr>
          <w:rFonts w:hint="eastAsia" w:ascii="宋体" w:hAnsi="宋体" w:cs="宋体"/>
          <w:sz w:val="24"/>
        </w:rPr>
      </w:pPr>
      <w:r>
        <w:rPr>
          <w:rFonts w:hint="eastAsia" w:ascii="宋体" w:hAnsi="宋体" w:cs="宋体"/>
          <w:sz w:val="24"/>
        </w:rPr>
        <w:t>实用的课程传授</w:t>
      </w:r>
    </w:p>
    <w:p>
      <w:pPr>
        <w:spacing w:line="480" w:lineRule="exact"/>
        <w:ind w:firstLine="480" w:firstLineChars="200"/>
        <w:contextualSpacing/>
        <w:rPr>
          <w:rFonts w:hint="eastAsia" w:ascii="宋体" w:hAnsi="宋体" w:cs="宋体"/>
          <w:sz w:val="24"/>
        </w:rPr>
      </w:pPr>
      <w:r>
        <w:rPr>
          <w:rFonts w:hint="eastAsia" w:ascii="宋体" w:hAnsi="宋体" w:cs="宋体"/>
          <w:sz w:val="24"/>
        </w:rPr>
        <w:t>课程的量身定做</w:t>
      </w:r>
    </w:p>
    <w:p>
      <w:pPr>
        <w:pStyle w:val="4"/>
        <w:spacing w:before="0" w:after="0" w:line="480" w:lineRule="exact"/>
        <w:rPr>
          <w:rFonts w:hint="eastAsia" w:ascii="宋体" w:hAnsi="宋体" w:eastAsia="宋体" w:cs="宋体"/>
          <w:sz w:val="24"/>
          <w:szCs w:val="24"/>
        </w:rPr>
      </w:pPr>
      <w:bookmarkStart w:id="160" w:name="_Toc388026139"/>
      <w:bookmarkStart w:id="161" w:name="_Toc371082043"/>
      <w:bookmarkStart w:id="162" w:name="_Toc14111"/>
      <w:bookmarkStart w:id="163" w:name="_Toc449022286"/>
      <w:bookmarkStart w:id="164" w:name="_Toc5281096"/>
      <w:bookmarkStart w:id="165" w:name="_Toc6840928"/>
      <w:bookmarkStart w:id="166" w:name="_Toc31614"/>
      <w:bookmarkStart w:id="167" w:name="_Toc1785"/>
      <w:bookmarkStart w:id="168" w:name="_Toc370801222"/>
      <w:bookmarkStart w:id="169" w:name="_Toc383526925"/>
      <w:bookmarkStart w:id="170" w:name="_Toc3245"/>
      <w:bookmarkStart w:id="171" w:name="_Toc390247417"/>
      <w:bookmarkStart w:id="172" w:name="_Toc4751281"/>
      <w:bookmarkStart w:id="173" w:name="_Toc18292"/>
      <w:bookmarkStart w:id="174" w:name="_Toc19400"/>
      <w:r>
        <w:rPr>
          <w:rFonts w:hint="eastAsia" w:ascii="宋体" w:hAnsi="宋体" w:eastAsia="宋体" w:cs="宋体"/>
          <w:sz w:val="24"/>
          <w:szCs w:val="24"/>
        </w:rPr>
        <w:t>3、培训环境</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pPr>
        <w:spacing w:line="480" w:lineRule="exact"/>
        <w:ind w:firstLine="480" w:firstLineChars="200"/>
        <w:contextualSpacing/>
        <w:rPr>
          <w:rFonts w:hint="eastAsia" w:ascii="宋体" w:hAnsi="宋体" w:cs="宋体"/>
          <w:sz w:val="24"/>
        </w:rPr>
      </w:pPr>
      <w:r>
        <w:rPr>
          <w:rFonts w:hint="eastAsia" w:ascii="宋体" w:hAnsi="宋体" w:cs="宋体"/>
          <w:sz w:val="24"/>
        </w:rPr>
        <w:t>硬件环境因不同的培训场地可能有所差异。以下所列为基本培训环境。</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9"/>
        <w:gridCol w:w="5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设备名称</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培训场所（教室）</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可以容纳每班的培训人员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桌椅</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每人一套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计算机</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每人一台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投影设备</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每个教室一个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jc w:val="center"/>
              <w:rPr>
                <w:rFonts w:ascii="宋体" w:hAnsi="宋体" w:cs="宋体"/>
                <w:sz w:val="24"/>
              </w:rPr>
            </w:pPr>
            <w:r>
              <w:rPr>
                <w:rFonts w:hint="eastAsia" w:ascii="宋体" w:hAnsi="宋体" w:cs="宋体"/>
                <w:sz w:val="24"/>
              </w:rPr>
              <w:t>其他必要的条件</w:t>
            </w:r>
          </w:p>
        </w:tc>
        <w:tc>
          <w:tcPr>
            <w:tcW w:w="518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spacing w:line="360" w:lineRule="auto"/>
              <w:rPr>
                <w:rFonts w:ascii="宋体" w:hAnsi="宋体" w:cs="宋体"/>
                <w:sz w:val="24"/>
              </w:rPr>
            </w:pPr>
            <w:r>
              <w:rPr>
                <w:rFonts w:hint="eastAsia" w:ascii="宋体" w:hAnsi="宋体" w:cs="宋体"/>
                <w:sz w:val="24"/>
              </w:rPr>
              <w:t>比如白板、白板笔，保证培训环境局域网络的畅通等</w:t>
            </w:r>
          </w:p>
        </w:tc>
      </w:tr>
    </w:tbl>
    <w:p>
      <w:pPr>
        <w:pStyle w:val="4"/>
        <w:spacing w:before="0" w:after="0" w:line="480" w:lineRule="exact"/>
        <w:rPr>
          <w:rFonts w:hint="eastAsia" w:ascii="宋体" w:hAnsi="宋体" w:eastAsia="宋体" w:cs="宋体"/>
          <w:sz w:val="24"/>
          <w:szCs w:val="24"/>
        </w:rPr>
      </w:pPr>
      <w:bookmarkStart w:id="175" w:name="_Toc19056"/>
      <w:bookmarkStart w:id="176" w:name="_Toc11072"/>
      <w:bookmarkStart w:id="177" w:name="_Toc388026140"/>
      <w:bookmarkStart w:id="178" w:name="_Toc11888"/>
      <w:bookmarkStart w:id="179" w:name="_Toc14351"/>
      <w:bookmarkStart w:id="180" w:name="_Toc341371358"/>
      <w:bookmarkStart w:id="181" w:name="_Toc383526926"/>
      <w:bookmarkStart w:id="182" w:name="_Toc342296345"/>
      <w:bookmarkStart w:id="183" w:name="_Toc341284427"/>
      <w:bookmarkStart w:id="184" w:name="_Toc371082044"/>
      <w:bookmarkStart w:id="185" w:name="_Toc15828"/>
      <w:bookmarkStart w:id="186" w:name="_Toc449022287"/>
      <w:bookmarkStart w:id="187" w:name="_Toc4751282"/>
      <w:bookmarkStart w:id="188" w:name="_Toc6840929"/>
      <w:bookmarkStart w:id="189" w:name="_Toc390247419"/>
      <w:bookmarkStart w:id="190" w:name="_Toc27828"/>
      <w:bookmarkStart w:id="191" w:name="_Toc370801223"/>
      <w:bookmarkStart w:id="192" w:name="_Toc5281097"/>
      <w:r>
        <w:rPr>
          <w:rFonts w:hint="eastAsia" w:ascii="宋体" w:hAnsi="宋体" w:eastAsia="宋体" w:cs="宋体"/>
          <w:sz w:val="24"/>
          <w:szCs w:val="24"/>
        </w:rPr>
        <w:t>4、培训教材</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pPr>
        <w:spacing w:line="480" w:lineRule="exact"/>
        <w:ind w:firstLine="480" w:firstLineChars="200"/>
        <w:contextualSpacing/>
        <w:rPr>
          <w:rFonts w:hint="eastAsia" w:ascii="宋体" w:hAnsi="宋体" w:cs="宋体"/>
          <w:sz w:val="24"/>
        </w:rPr>
      </w:pPr>
      <w:r>
        <w:rPr>
          <w:rFonts w:hint="eastAsia" w:ascii="宋体" w:hAnsi="宋体" w:cs="宋体"/>
          <w:sz w:val="24"/>
        </w:rPr>
        <w:t>一整套培训教材包括以下五个组成部分，其中操作使用分册合并成一本、技术资料汇编合并成一本印刷教材，有关标准规范合并成一本教材，原厂培训资料分别合成一本；而培训用PPT、考试试题部分由公司提供电子文档。</w:t>
      </w:r>
    </w:p>
    <w:p>
      <w:pPr>
        <w:spacing w:line="480" w:lineRule="exact"/>
        <w:ind w:firstLine="480" w:firstLineChars="200"/>
        <w:contextualSpacing/>
        <w:rPr>
          <w:rFonts w:hint="eastAsia" w:ascii="宋体" w:hAnsi="宋体" w:cs="宋体"/>
          <w:sz w:val="24"/>
        </w:rPr>
      </w:pPr>
      <w:r>
        <w:rPr>
          <w:rFonts w:hint="eastAsia" w:ascii="宋体" w:hAnsi="宋体" w:cs="宋体"/>
          <w:sz w:val="24"/>
        </w:rPr>
        <w:t>操作分册</w:t>
      </w:r>
    </w:p>
    <w:p>
      <w:pPr>
        <w:spacing w:line="480" w:lineRule="exact"/>
        <w:ind w:firstLine="480" w:firstLineChars="200"/>
        <w:contextualSpacing/>
        <w:rPr>
          <w:rFonts w:hint="eastAsia" w:ascii="宋体" w:hAnsi="宋体" w:cs="宋体"/>
          <w:sz w:val="24"/>
        </w:rPr>
      </w:pPr>
      <w:r>
        <w:rPr>
          <w:rFonts w:hint="eastAsia" w:ascii="宋体" w:hAnsi="宋体" w:cs="宋体"/>
          <w:sz w:val="24"/>
        </w:rPr>
        <w:t>对系统全部功能的概述、指引，引导学员快速了解系统功能，并掌握基本操作方法；针对系统不同功能分别订制的简洁、图文并茂的操作说明文档；</w:t>
      </w:r>
    </w:p>
    <w:p>
      <w:pPr>
        <w:spacing w:line="480" w:lineRule="exact"/>
        <w:ind w:firstLine="480" w:firstLineChars="200"/>
        <w:contextualSpacing/>
        <w:rPr>
          <w:rFonts w:hint="eastAsia" w:ascii="宋体" w:hAnsi="宋体" w:cs="宋体"/>
          <w:sz w:val="24"/>
        </w:rPr>
      </w:pPr>
      <w:r>
        <w:rPr>
          <w:rFonts w:hint="eastAsia" w:ascii="宋体" w:hAnsi="宋体" w:cs="宋体"/>
          <w:sz w:val="24"/>
        </w:rPr>
        <w:t>技术资料汇编</w:t>
      </w:r>
    </w:p>
    <w:p>
      <w:pPr>
        <w:spacing w:line="480" w:lineRule="exact"/>
        <w:ind w:firstLine="480" w:firstLineChars="200"/>
        <w:contextualSpacing/>
        <w:rPr>
          <w:rFonts w:hint="eastAsia" w:ascii="宋体" w:hAnsi="宋体" w:cs="宋体"/>
          <w:sz w:val="24"/>
        </w:rPr>
      </w:pPr>
      <w:r>
        <w:rPr>
          <w:rFonts w:hint="eastAsia" w:ascii="宋体" w:hAnsi="宋体" w:cs="宋体"/>
          <w:sz w:val="24"/>
        </w:rPr>
        <w:t>包括系统的安装、配置、恢复、故障排除、系统原理和技术性能、成功案例等涉及技术人员日常维护工作的、内容全面、详实的技术文档；</w:t>
      </w:r>
    </w:p>
    <w:p>
      <w:pPr>
        <w:spacing w:line="480" w:lineRule="exact"/>
        <w:ind w:firstLine="480" w:firstLineChars="200"/>
        <w:contextualSpacing/>
        <w:rPr>
          <w:rFonts w:hint="eastAsia" w:ascii="宋体" w:hAnsi="宋体" w:cs="宋体"/>
          <w:sz w:val="24"/>
        </w:rPr>
      </w:pPr>
      <w:r>
        <w:rPr>
          <w:rFonts w:hint="eastAsia" w:ascii="宋体" w:hAnsi="宋体" w:cs="宋体"/>
          <w:sz w:val="24"/>
        </w:rPr>
        <w:t>培训用PPT等</w:t>
      </w:r>
    </w:p>
    <w:p>
      <w:pPr>
        <w:spacing w:line="480" w:lineRule="exact"/>
        <w:ind w:firstLine="480" w:firstLineChars="200"/>
        <w:contextualSpacing/>
        <w:rPr>
          <w:rFonts w:hint="eastAsia" w:ascii="宋体" w:hAnsi="宋体" w:cs="宋体"/>
          <w:sz w:val="24"/>
        </w:rPr>
      </w:pPr>
      <w:r>
        <w:rPr>
          <w:rFonts w:hint="eastAsia" w:ascii="宋体" w:hAnsi="宋体" w:cs="宋体"/>
          <w:sz w:val="24"/>
        </w:rPr>
        <w:t>原厂产品培训资料</w:t>
      </w:r>
    </w:p>
    <w:p>
      <w:pPr>
        <w:spacing w:line="480" w:lineRule="exact"/>
        <w:ind w:firstLine="480" w:firstLineChars="200"/>
        <w:contextualSpacing/>
        <w:rPr>
          <w:rFonts w:hint="eastAsia" w:ascii="宋体" w:hAnsi="宋体" w:cs="宋体"/>
          <w:sz w:val="24"/>
        </w:rPr>
      </w:pPr>
      <w:r>
        <w:rPr>
          <w:rFonts w:hint="eastAsia" w:ascii="宋体" w:hAnsi="宋体" w:cs="宋体"/>
          <w:sz w:val="24"/>
        </w:rPr>
        <w:t>考试试题</w:t>
      </w:r>
    </w:p>
    <w:p>
      <w:pPr>
        <w:pStyle w:val="4"/>
        <w:spacing w:before="0" w:after="0" w:line="480" w:lineRule="exact"/>
        <w:rPr>
          <w:rFonts w:hint="eastAsia" w:ascii="宋体" w:hAnsi="宋体" w:eastAsia="宋体" w:cs="宋体"/>
          <w:sz w:val="24"/>
          <w:szCs w:val="24"/>
        </w:rPr>
      </w:pPr>
      <w:bookmarkStart w:id="193" w:name="_Toc383526927"/>
      <w:bookmarkStart w:id="194" w:name="_Toc8023"/>
      <w:bookmarkStart w:id="195" w:name="_Toc449022288"/>
      <w:bookmarkStart w:id="196" w:name="_Toc30478"/>
      <w:bookmarkStart w:id="197" w:name="_Toc9373"/>
      <w:bookmarkStart w:id="198" w:name="_Toc388026141"/>
      <w:bookmarkStart w:id="199" w:name="_Toc6840930"/>
      <w:bookmarkStart w:id="200" w:name="_Toc5281098"/>
      <w:bookmarkStart w:id="201" w:name="_Toc3349"/>
      <w:bookmarkStart w:id="202" w:name="_Toc12290"/>
      <w:bookmarkStart w:id="203" w:name="_Toc390247420"/>
      <w:bookmarkStart w:id="204" w:name="_Toc5524"/>
      <w:bookmarkStart w:id="205" w:name="_Toc4751283"/>
      <w:r>
        <w:rPr>
          <w:rFonts w:hint="eastAsia" w:ascii="宋体" w:hAnsi="宋体" w:eastAsia="宋体" w:cs="宋体"/>
          <w:sz w:val="24"/>
          <w:szCs w:val="24"/>
        </w:rPr>
        <w:t>5、培训制度</w:t>
      </w:r>
      <w:bookmarkEnd w:id="193"/>
      <w:bookmarkEnd w:id="194"/>
      <w:bookmarkEnd w:id="195"/>
      <w:bookmarkEnd w:id="196"/>
      <w:bookmarkEnd w:id="197"/>
      <w:bookmarkEnd w:id="198"/>
      <w:bookmarkEnd w:id="199"/>
      <w:bookmarkEnd w:id="200"/>
      <w:bookmarkEnd w:id="201"/>
      <w:bookmarkEnd w:id="202"/>
      <w:bookmarkEnd w:id="203"/>
      <w:bookmarkEnd w:id="204"/>
      <w:bookmarkEnd w:id="205"/>
    </w:p>
    <w:p>
      <w:pPr>
        <w:spacing w:line="480" w:lineRule="exact"/>
        <w:ind w:left="420" w:leftChars="200"/>
        <w:contextualSpacing/>
        <w:rPr>
          <w:rFonts w:hint="eastAsia" w:ascii="宋体" w:hAnsi="宋体" w:cs="宋体"/>
          <w:sz w:val="24"/>
        </w:rPr>
      </w:pPr>
      <w:r>
        <w:rPr>
          <w:rFonts w:hint="eastAsia" w:ascii="宋体" w:hAnsi="宋体" w:cs="宋体"/>
          <w:sz w:val="24"/>
        </w:rPr>
        <w:t>1）严格遵守培训课程表中的作息时间；</w:t>
      </w:r>
    </w:p>
    <w:p>
      <w:pPr>
        <w:spacing w:line="480" w:lineRule="exact"/>
        <w:ind w:left="420" w:leftChars="200"/>
        <w:contextualSpacing/>
        <w:rPr>
          <w:rFonts w:hint="eastAsia" w:ascii="宋体" w:hAnsi="宋体" w:cs="宋体"/>
          <w:sz w:val="24"/>
        </w:rPr>
      </w:pPr>
      <w:r>
        <w:rPr>
          <w:rFonts w:hint="eastAsia" w:ascii="宋体" w:hAnsi="宋体" w:cs="宋体"/>
          <w:sz w:val="24"/>
        </w:rPr>
        <w:t>2）有例外事情需要向培训负责人请假；</w:t>
      </w:r>
    </w:p>
    <w:p>
      <w:pPr>
        <w:spacing w:line="480" w:lineRule="exact"/>
        <w:ind w:left="420" w:leftChars="200"/>
        <w:contextualSpacing/>
        <w:rPr>
          <w:rFonts w:hint="eastAsia" w:ascii="宋体" w:hAnsi="宋体" w:cs="宋体"/>
          <w:sz w:val="24"/>
        </w:rPr>
      </w:pPr>
      <w:r>
        <w:rPr>
          <w:rFonts w:hint="eastAsia" w:ascii="宋体" w:hAnsi="宋体" w:cs="宋体"/>
          <w:sz w:val="24"/>
        </w:rPr>
        <w:t>3）上课时请把手机或其他通讯设备调整为震动模式，并到教室外面接听电话；</w:t>
      </w:r>
    </w:p>
    <w:p>
      <w:pPr>
        <w:spacing w:line="480" w:lineRule="exact"/>
        <w:ind w:left="420" w:leftChars="200"/>
        <w:contextualSpacing/>
        <w:rPr>
          <w:rFonts w:hint="eastAsia" w:ascii="宋体" w:hAnsi="宋体" w:cs="宋体"/>
          <w:sz w:val="24"/>
        </w:rPr>
      </w:pPr>
      <w:r>
        <w:rPr>
          <w:rFonts w:hint="eastAsia" w:ascii="宋体" w:hAnsi="宋体" w:cs="宋体"/>
          <w:sz w:val="24"/>
        </w:rPr>
        <w:t>4）老师讲课时，不能私下里讨论其他问题或窃窃私语，如有疑问先记录下来，课下提交给老师；</w:t>
      </w:r>
    </w:p>
    <w:p>
      <w:pPr>
        <w:spacing w:line="480" w:lineRule="exact"/>
        <w:ind w:left="420" w:leftChars="200"/>
        <w:contextualSpacing/>
        <w:rPr>
          <w:rFonts w:hint="eastAsia" w:ascii="宋体" w:hAnsi="宋体" w:cs="宋体"/>
          <w:sz w:val="24"/>
        </w:rPr>
      </w:pPr>
      <w:r>
        <w:rPr>
          <w:rFonts w:hint="eastAsia" w:ascii="宋体" w:hAnsi="宋体" w:cs="宋体"/>
          <w:sz w:val="24"/>
        </w:rPr>
        <w:t>5）系统出现暂时故障时，应配合技术人员给予及时排除，而不能以此为由扰乱课堂秩序；</w:t>
      </w:r>
    </w:p>
    <w:p>
      <w:pPr>
        <w:spacing w:line="480" w:lineRule="exact"/>
        <w:ind w:left="420" w:leftChars="200"/>
        <w:contextualSpacing/>
        <w:rPr>
          <w:rFonts w:hint="eastAsia" w:ascii="宋体" w:hAnsi="宋体" w:cs="宋体"/>
          <w:sz w:val="24"/>
        </w:rPr>
      </w:pPr>
      <w:r>
        <w:rPr>
          <w:rFonts w:hint="eastAsia" w:ascii="宋体" w:hAnsi="宋体" w:cs="宋体"/>
          <w:sz w:val="24"/>
        </w:rPr>
        <w:t>6）遵守培训考试规定，保证严肃性；</w:t>
      </w:r>
    </w:p>
    <w:p>
      <w:pPr>
        <w:pStyle w:val="4"/>
        <w:spacing w:before="0" w:after="0" w:line="480" w:lineRule="exact"/>
        <w:rPr>
          <w:rFonts w:hint="eastAsia" w:ascii="宋体" w:hAnsi="宋体" w:eastAsia="宋体" w:cs="宋体"/>
          <w:sz w:val="24"/>
          <w:szCs w:val="24"/>
        </w:rPr>
      </w:pPr>
      <w:bookmarkStart w:id="206" w:name="_Toc2245"/>
      <w:bookmarkStart w:id="207" w:name="_Toc5281099"/>
      <w:bookmarkStart w:id="208" w:name="_Toc10629"/>
      <w:bookmarkStart w:id="209" w:name="_Toc6840931"/>
      <w:bookmarkStart w:id="210" w:name="_Toc4751284"/>
      <w:bookmarkStart w:id="211" w:name="_Toc12464"/>
      <w:bookmarkStart w:id="212" w:name="_Toc449022289"/>
      <w:bookmarkStart w:id="213" w:name="_Toc5833"/>
      <w:bookmarkStart w:id="214" w:name="_Toc13583"/>
      <w:bookmarkStart w:id="215" w:name="_Toc5693"/>
      <w:r>
        <w:rPr>
          <w:rFonts w:hint="eastAsia" w:ascii="宋体" w:hAnsi="宋体" w:eastAsia="宋体" w:cs="宋体"/>
          <w:sz w:val="24"/>
          <w:szCs w:val="24"/>
        </w:rPr>
        <w:t>6、培训特色</w:t>
      </w:r>
      <w:bookmarkEnd w:id="206"/>
      <w:bookmarkEnd w:id="207"/>
      <w:bookmarkEnd w:id="208"/>
      <w:bookmarkEnd w:id="209"/>
      <w:bookmarkEnd w:id="210"/>
      <w:bookmarkEnd w:id="211"/>
      <w:bookmarkEnd w:id="212"/>
      <w:bookmarkEnd w:id="213"/>
      <w:bookmarkEnd w:id="214"/>
      <w:bookmarkEnd w:id="215"/>
    </w:p>
    <w:p>
      <w:pPr>
        <w:spacing w:line="480" w:lineRule="exact"/>
        <w:rPr>
          <w:rFonts w:hint="eastAsia" w:ascii="宋体" w:hAnsi="宋体" w:cs="宋体"/>
          <w:b/>
          <w:sz w:val="24"/>
        </w:rPr>
      </w:pPr>
      <w:bookmarkStart w:id="216" w:name="_Toc388026142"/>
      <w:bookmarkStart w:id="217" w:name="_Ref396812515"/>
      <w:bookmarkStart w:id="218" w:name="_Toc396812488"/>
      <w:bookmarkStart w:id="219" w:name="_Ref396812516"/>
      <w:bookmarkStart w:id="220" w:name="_Toc390247421"/>
      <w:r>
        <w:rPr>
          <w:rFonts w:hint="eastAsia" w:ascii="宋体" w:hAnsi="宋体" w:cs="宋体"/>
          <w:b/>
          <w:sz w:val="24"/>
        </w:rPr>
        <w:t>（1）培训策略</w:t>
      </w:r>
      <w:bookmarkEnd w:id="216"/>
      <w:bookmarkEnd w:id="217"/>
      <w:bookmarkEnd w:id="218"/>
      <w:bookmarkEnd w:id="219"/>
      <w:bookmarkEnd w:id="220"/>
    </w:p>
    <w:p>
      <w:pPr>
        <w:spacing w:line="480" w:lineRule="exact"/>
        <w:ind w:firstLine="420" w:firstLineChars="175"/>
        <w:rPr>
          <w:rFonts w:hint="eastAsia" w:ascii="宋体" w:hAnsi="宋体" w:cs="宋体"/>
          <w:sz w:val="24"/>
          <w:lang w:val="zh-CN"/>
        </w:rPr>
      </w:pPr>
      <w:r>
        <w:rPr>
          <w:rFonts w:hint="eastAsia" w:ascii="宋体" w:hAnsi="宋体" w:cs="宋体"/>
          <w:sz w:val="24"/>
          <w:lang w:val="zh-CN"/>
        </w:rPr>
        <w:t>建议在项目实施过程中种子管理站能制定对口人，保证对口人项目全过程参与，以便保障有效的知识传递和技术服务。</w:t>
      </w:r>
    </w:p>
    <w:p>
      <w:pPr>
        <w:spacing w:line="480" w:lineRule="exact"/>
        <w:rPr>
          <w:rFonts w:hint="eastAsia" w:ascii="宋体" w:hAnsi="宋体" w:cs="宋体"/>
          <w:b/>
          <w:sz w:val="24"/>
        </w:rPr>
      </w:pPr>
      <w:bookmarkStart w:id="221" w:name="_Toc390247423"/>
      <w:bookmarkStart w:id="222" w:name="_Toc236305621"/>
      <w:bookmarkStart w:id="223" w:name="_Toc291890666"/>
      <w:bookmarkStart w:id="224" w:name="_Toc331148837"/>
      <w:bookmarkStart w:id="225" w:name="_Toc236134693"/>
      <w:bookmarkStart w:id="226" w:name="_Toc229376615"/>
      <w:bookmarkStart w:id="227" w:name="_Toc388026144"/>
      <w:bookmarkStart w:id="228" w:name="_Toc341371350"/>
      <w:bookmarkStart w:id="229" w:name="_Toc341284419"/>
      <w:bookmarkStart w:id="230" w:name="_Toc156927218"/>
      <w:bookmarkStart w:id="231" w:name="_Toc383526940"/>
      <w:bookmarkStart w:id="232" w:name="_Toc342296337"/>
      <w:bookmarkStart w:id="233" w:name="_Toc238441267"/>
      <w:bookmarkStart w:id="234" w:name="_Toc291672680"/>
      <w:r>
        <w:rPr>
          <w:rFonts w:hint="eastAsia" w:ascii="宋体" w:hAnsi="宋体" w:cs="宋体"/>
          <w:b/>
          <w:sz w:val="24"/>
        </w:rPr>
        <w:t>（2）采用授课、练习、考核、领导贴身培训等方式</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spacing w:line="480" w:lineRule="exact"/>
        <w:ind w:firstLine="420"/>
        <w:rPr>
          <w:rFonts w:hint="eastAsia" w:ascii="宋体" w:hAnsi="宋体" w:cs="宋体"/>
          <w:sz w:val="24"/>
          <w:lang w:val="zh-CN"/>
        </w:rPr>
      </w:pPr>
      <w:r>
        <w:rPr>
          <w:rFonts w:hint="eastAsia" w:ascii="宋体" w:hAnsi="宋体" w:cs="宋体"/>
          <w:sz w:val="24"/>
          <w:lang w:val="zh-CN"/>
        </w:rPr>
        <w:t>每一期培训班的内容将设置多个环节，每一个环节都分为授课、练习和考核三部分，授课部分将按照培训讲义对当期培训班所设置的内容进行详细的介绍，并配有培训教材以做参考。练习部分要求学员按照事先准备好的案例进行实际操作，以加强对所学知识的记忆和理解。并且在练习中还要实现教师和学员的互动，不但对学员的操作进行辅导，还将对学员们提出的疑问予以回答。</w:t>
      </w:r>
    </w:p>
    <w:p>
      <w:pPr>
        <w:spacing w:line="480" w:lineRule="exact"/>
        <w:ind w:firstLine="420"/>
        <w:rPr>
          <w:rFonts w:hint="eastAsia" w:ascii="宋体" w:hAnsi="宋体" w:cs="宋体"/>
          <w:sz w:val="24"/>
          <w:lang w:val="zh-CN"/>
        </w:rPr>
      </w:pPr>
      <w:r>
        <w:rPr>
          <w:rFonts w:hint="eastAsia" w:ascii="宋体" w:hAnsi="宋体" w:cs="宋体"/>
          <w:sz w:val="24"/>
          <w:lang w:val="zh-CN"/>
        </w:rPr>
        <w:t>之所以增加考核部分有以下两个目标需要完成。所以此部分需要种子管理站支持和配合。</w:t>
      </w:r>
    </w:p>
    <w:p>
      <w:pPr>
        <w:spacing w:line="480" w:lineRule="exact"/>
        <w:ind w:firstLine="420"/>
        <w:rPr>
          <w:rFonts w:hint="eastAsia" w:ascii="宋体" w:hAnsi="宋体" w:cs="宋体"/>
          <w:sz w:val="24"/>
          <w:lang w:val="zh-CN"/>
        </w:rPr>
      </w:pPr>
      <w:r>
        <w:rPr>
          <w:rFonts w:hint="eastAsia" w:ascii="宋体" w:hAnsi="宋体" w:cs="宋体"/>
          <w:sz w:val="24"/>
          <w:lang w:val="zh-CN"/>
        </w:rPr>
        <w:t>通过培训、练习后的考核，掌握参加培训人员对系统的掌握情况，可以有针对性的安排再培训。以达到参加培训人员全掌握的目标（即便在项目终验、服务期过后，种子管理站人员仍然能够对项目进行高效运维，保证知识传递的有效性）。</w:t>
      </w:r>
    </w:p>
    <w:p>
      <w:pPr>
        <w:spacing w:line="480" w:lineRule="exact"/>
        <w:ind w:firstLine="420"/>
        <w:rPr>
          <w:rFonts w:hint="eastAsia" w:ascii="宋体" w:hAnsi="宋体" w:cs="宋体"/>
          <w:sz w:val="24"/>
          <w:lang w:val="zh-CN"/>
        </w:rPr>
      </w:pPr>
      <w:r>
        <w:rPr>
          <w:rFonts w:hint="eastAsia" w:ascii="宋体" w:hAnsi="宋体" w:cs="宋体"/>
          <w:sz w:val="24"/>
          <w:lang w:val="zh-CN"/>
        </w:rPr>
        <w:t>通过培训成绩，像种子管理站领导汇报我们项目进行的成果。以达到种子管理站领导及时掌握项目实际实施情况的目标。</w:t>
      </w:r>
    </w:p>
    <w:p>
      <w:pPr>
        <w:spacing w:line="480" w:lineRule="exact"/>
        <w:rPr>
          <w:rFonts w:hint="eastAsia" w:ascii="宋体" w:hAnsi="宋体" w:cs="宋体"/>
          <w:b/>
          <w:sz w:val="24"/>
        </w:rPr>
      </w:pPr>
      <w:bookmarkStart w:id="235" w:name="_Toc341371351"/>
      <w:bookmarkStart w:id="236" w:name="_Toc238441268"/>
      <w:bookmarkStart w:id="237" w:name="_Toc342296338"/>
      <w:bookmarkStart w:id="238" w:name="_Toc341284420"/>
      <w:bookmarkStart w:id="239" w:name="_Toc236134694"/>
      <w:bookmarkStart w:id="240" w:name="_Toc390247424"/>
      <w:bookmarkStart w:id="241" w:name="_Toc388026145"/>
      <w:bookmarkStart w:id="242" w:name="_Toc291672681"/>
      <w:bookmarkStart w:id="243" w:name="_Toc229376616"/>
      <w:bookmarkStart w:id="244" w:name="_Toc236305622"/>
      <w:bookmarkStart w:id="245" w:name="_Toc383526941"/>
      <w:bookmarkStart w:id="246" w:name="_Toc331148838"/>
      <w:bookmarkStart w:id="247" w:name="_Toc291890667"/>
      <w:bookmarkStart w:id="248" w:name="_Toc156927219"/>
      <w:r>
        <w:rPr>
          <w:rFonts w:hint="eastAsia" w:ascii="宋体" w:hAnsi="宋体" w:cs="宋体"/>
          <w:b/>
          <w:sz w:val="24"/>
        </w:rPr>
        <w:t>（3）提供多种形式的培训教材</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pPr>
        <w:spacing w:line="480" w:lineRule="exact"/>
        <w:ind w:firstLine="420"/>
        <w:rPr>
          <w:rFonts w:hint="eastAsia" w:ascii="宋体" w:hAnsi="宋体" w:cs="宋体"/>
          <w:sz w:val="24"/>
          <w:lang w:val="zh-CN"/>
        </w:rPr>
      </w:pPr>
      <w:r>
        <w:rPr>
          <w:rFonts w:hint="eastAsia" w:ascii="宋体" w:hAnsi="宋体" w:cs="宋体"/>
          <w:sz w:val="24"/>
          <w:lang w:val="zh-CN"/>
        </w:rPr>
        <w:t>提供多种形式、全面和标准的文档给用户，其形式包括：电子文档、印刷品、光盘，以成为其后续稳定应用系统的保障，其中电子文档将放在系统中供随时下载。</w:t>
      </w:r>
    </w:p>
    <w:p>
      <w:pPr>
        <w:spacing w:line="480" w:lineRule="exact"/>
        <w:rPr>
          <w:rFonts w:hint="eastAsia" w:ascii="宋体" w:hAnsi="宋体" w:cs="宋体"/>
          <w:b/>
          <w:sz w:val="24"/>
        </w:rPr>
      </w:pPr>
      <w:bookmarkStart w:id="249" w:name="_Toc291890668"/>
      <w:bookmarkStart w:id="250" w:name="_Toc229376617"/>
      <w:bookmarkStart w:id="251" w:name="_Toc238441269"/>
      <w:bookmarkStart w:id="252" w:name="_Toc236305623"/>
      <w:bookmarkStart w:id="253" w:name="_Toc341284421"/>
      <w:bookmarkStart w:id="254" w:name="_Toc341371352"/>
      <w:bookmarkStart w:id="255" w:name="_Toc390247425"/>
      <w:bookmarkStart w:id="256" w:name="_Toc291672682"/>
      <w:bookmarkStart w:id="257" w:name="_Toc383526942"/>
      <w:bookmarkStart w:id="258" w:name="_Toc331148839"/>
      <w:bookmarkStart w:id="259" w:name="_Toc388026146"/>
      <w:bookmarkStart w:id="260" w:name="_Toc156927220"/>
      <w:bookmarkStart w:id="261" w:name="_Toc236134695"/>
      <w:bookmarkStart w:id="262" w:name="_Toc342296339"/>
      <w:r>
        <w:rPr>
          <w:rFonts w:hint="eastAsia" w:ascii="宋体" w:hAnsi="宋体" w:cs="宋体"/>
          <w:b/>
          <w:sz w:val="24"/>
        </w:rPr>
        <w:t>（4）利用考核验收加强学习效果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pPr>
        <w:spacing w:line="480" w:lineRule="exact"/>
        <w:ind w:firstLine="420"/>
        <w:rPr>
          <w:rFonts w:hint="eastAsia" w:ascii="宋体" w:hAnsi="宋体" w:cs="宋体"/>
          <w:sz w:val="24"/>
          <w:lang w:val="zh-CN"/>
        </w:rPr>
      </w:pPr>
      <w:r>
        <w:rPr>
          <w:rFonts w:hint="eastAsia" w:ascii="宋体" w:hAnsi="宋体" w:cs="宋体"/>
          <w:sz w:val="24"/>
          <w:lang w:val="zh-CN"/>
        </w:rPr>
        <w:t>为保证最终的学习效果，将为每一期培训班布置考试题目，以验收学员的学习成果。保证培训质量。</w:t>
      </w:r>
    </w:p>
    <w:p>
      <w:pPr>
        <w:spacing w:line="480" w:lineRule="exact"/>
        <w:rPr>
          <w:rFonts w:hint="eastAsia" w:ascii="宋体" w:hAnsi="宋体" w:cs="宋体"/>
          <w:b/>
          <w:sz w:val="24"/>
        </w:rPr>
      </w:pPr>
      <w:bookmarkStart w:id="263" w:name="_Toc396812490"/>
      <w:r>
        <w:rPr>
          <w:rFonts w:hint="eastAsia" w:ascii="宋体" w:hAnsi="宋体" w:cs="宋体"/>
          <w:b/>
          <w:sz w:val="24"/>
        </w:rPr>
        <w:t>（5）监控培训效果</w:t>
      </w:r>
      <w:bookmarkEnd w:id="263"/>
    </w:p>
    <w:p>
      <w:pPr>
        <w:spacing w:line="480" w:lineRule="exact"/>
        <w:ind w:firstLine="420"/>
        <w:rPr>
          <w:rFonts w:hint="eastAsia" w:ascii="宋体" w:hAnsi="宋体" w:cs="宋体"/>
          <w:sz w:val="24"/>
          <w:lang w:val="zh-CN"/>
        </w:rPr>
      </w:pPr>
      <w:r>
        <w:rPr>
          <w:rFonts w:hint="eastAsia" w:ascii="宋体" w:hAnsi="宋体" w:cs="宋体"/>
          <w:sz w:val="24"/>
          <w:lang w:val="zh-CN"/>
        </w:rPr>
        <w:t>在以上的培训计划实施的过程中，我们认为最复杂，风险最大的培训工作就是系统上线前阶段最终用户的培训。因为各位最终用户能否具备正常使用系统的操作技能直接影响系统能否上线。同时，由于参与培训的人员很多，为保证好此项培训工作质量，实现培训目标，我们制定了该项培训工作的过程实现方案。</w:t>
      </w:r>
    </w:p>
    <w:p>
      <w:pPr>
        <w:spacing w:line="480" w:lineRule="exact"/>
        <w:ind w:firstLine="420"/>
        <w:rPr>
          <w:rFonts w:hint="eastAsia" w:ascii="宋体" w:hAnsi="宋体" w:cs="宋体"/>
          <w:sz w:val="24"/>
          <w:lang w:val="zh-CN"/>
        </w:rPr>
      </w:pPr>
      <w:r>
        <w:rPr>
          <w:rFonts w:hint="eastAsia" w:ascii="宋体" w:hAnsi="宋体" w:cs="宋体"/>
          <w:sz w:val="24"/>
          <w:lang w:val="zh-CN"/>
        </w:rPr>
        <w:t>我们把完成该项培训工作的过程分为三步：</w:t>
      </w:r>
    </w:p>
    <w:p>
      <w:pPr>
        <w:numPr>
          <w:ilvl w:val="0"/>
          <w:numId w:val="23"/>
        </w:numPr>
        <w:spacing w:line="480" w:lineRule="exact"/>
        <w:rPr>
          <w:rFonts w:hint="eastAsia" w:ascii="宋体" w:hAnsi="宋体" w:cs="宋体"/>
          <w:sz w:val="24"/>
          <w:lang w:val="zh-CN"/>
        </w:rPr>
      </w:pPr>
      <w:r>
        <w:rPr>
          <w:rFonts w:hint="eastAsia" w:ascii="宋体" w:hAnsi="宋体" w:cs="宋体"/>
          <w:sz w:val="24"/>
          <w:lang w:val="zh-CN"/>
        </w:rPr>
        <w:t>培训准备</w:t>
      </w:r>
    </w:p>
    <w:p>
      <w:pPr>
        <w:numPr>
          <w:ilvl w:val="0"/>
          <w:numId w:val="23"/>
        </w:numPr>
        <w:spacing w:line="480" w:lineRule="exact"/>
        <w:rPr>
          <w:rFonts w:hint="eastAsia" w:ascii="宋体" w:hAnsi="宋体" w:cs="宋体"/>
          <w:sz w:val="24"/>
          <w:lang w:val="zh-CN"/>
        </w:rPr>
      </w:pPr>
      <w:r>
        <w:rPr>
          <w:rFonts w:hint="eastAsia" w:ascii="宋体" w:hAnsi="宋体" w:cs="宋体"/>
          <w:sz w:val="24"/>
          <w:lang w:val="zh-CN"/>
        </w:rPr>
        <w:t>培训实施</w:t>
      </w:r>
    </w:p>
    <w:p>
      <w:pPr>
        <w:numPr>
          <w:ilvl w:val="0"/>
          <w:numId w:val="23"/>
        </w:numPr>
        <w:spacing w:line="480" w:lineRule="exact"/>
        <w:rPr>
          <w:rFonts w:hint="eastAsia" w:ascii="宋体" w:hAnsi="宋体" w:cs="宋体"/>
          <w:sz w:val="24"/>
          <w:lang w:val="zh-CN"/>
        </w:rPr>
      </w:pPr>
      <w:r>
        <w:rPr>
          <w:rFonts w:hint="eastAsia" w:ascii="宋体" w:hAnsi="宋体" w:cs="宋体"/>
          <w:sz w:val="24"/>
          <w:lang w:val="zh-CN"/>
        </w:rPr>
        <w:t>培训评估</w:t>
      </w:r>
    </w:p>
    <w:p>
      <w:pPr>
        <w:pStyle w:val="2"/>
        <w:spacing w:line="480" w:lineRule="exact"/>
        <w:rPr>
          <w:rFonts w:hint="eastAsia" w:ascii="宋体" w:hAnsi="宋体" w:cs="宋体"/>
          <w:b/>
          <w:sz w:val="24"/>
          <w:szCs w:val="24"/>
        </w:rPr>
      </w:pPr>
      <w:r>
        <w:rPr>
          <w:rFonts w:hint="eastAsia" w:ascii="宋体" w:hAnsi="宋体" w:cs="宋体"/>
          <w:sz w:val="24"/>
          <w:szCs w:val="24"/>
          <w:lang w:val="zh-CN"/>
        </w:rPr>
        <w:br w:type="page"/>
      </w:r>
      <w:bookmarkStart w:id="264" w:name="_Toc388026148"/>
      <w:bookmarkStart w:id="265" w:name="_Toc370801234"/>
      <w:bookmarkStart w:id="266" w:name="_Toc390247427"/>
      <w:bookmarkStart w:id="267" w:name="_Toc368586711"/>
      <w:bookmarkStart w:id="268" w:name="_Toc383526944"/>
      <w:r>
        <w:rPr>
          <w:rFonts w:hint="eastAsia" w:ascii="宋体" w:hAnsi="宋体" w:cs="宋体"/>
          <w:b/>
          <w:sz w:val="24"/>
          <w:szCs w:val="24"/>
        </w:rPr>
        <w:t>A.培训准备</w:t>
      </w:r>
      <w:bookmarkEnd w:id="264"/>
      <w:bookmarkEnd w:id="265"/>
      <w:bookmarkEnd w:id="266"/>
      <w:bookmarkEnd w:id="267"/>
      <w:bookmarkEnd w:id="268"/>
    </w:p>
    <w:p>
      <w:pPr>
        <w:spacing w:line="480" w:lineRule="exact"/>
        <w:ind w:firstLine="420"/>
        <w:rPr>
          <w:rFonts w:hint="eastAsia" w:ascii="宋体" w:hAnsi="宋体" w:cs="宋体"/>
          <w:sz w:val="24"/>
          <w:lang w:val="zh-CN"/>
        </w:rPr>
      </w:pPr>
      <w:r>
        <w:rPr>
          <w:rFonts w:hint="eastAsia" w:ascii="宋体" w:hAnsi="宋体" w:cs="宋体"/>
          <w:sz w:val="24"/>
          <w:lang w:val="zh-CN"/>
        </w:rPr>
        <w:t>培训准备阶段的工作成果就是要生成正式的培训通知并发放到相关参与培训的人员、确定培训设备与资料的配置清单、安装完成培训系统、确定培训制度、培训人员报到等。具体内容如下：</w:t>
      </w:r>
    </w:p>
    <w:p>
      <w:pPr>
        <w:spacing w:line="480" w:lineRule="exact"/>
        <w:ind w:firstLine="420"/>
        <w:rPr>
          <w:rFonts w:hint="eastAsia" w:ascii="宋体" w:hAnsi="宋体" w:cs="宋体"/>
          <w:sz w:val="24"/>
          <w:lang w:val="zh-CN"/>
        </w:rPr>
      </w:pPr>
      <w:r>
        <w:rPr>
          <w:rFonts w:hint="eastAsia" w:ascii="宋体" w:hAnsi="宋体" w:cs="宋体"/>
          <w:sz w:val="24"/>
          <w:lang w:val="zh-CN"/>
        </w:rPr>
        <w:t>表一：培训通知</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075"/>
        <w:gridCol w:w="2152"/>
        <w:gridCol w:w="1076"/>
        <w:gridCol w:w="1821"/>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ind w:firstLine="420"/>
              <w:jc w:val="center"/>
              <w:rPr>
                <w:rFonts w:hint="eastAsia" w:ascii="宋体" w:hAnsi="宋体" w:cs="宋体"/>
                <w:sz w:val="24"/>
                <w:lang w:val="zh-CN"/>
              </w:rPr>
            </w:pPr>
            <w:r>
              <w:rPr>
                <w:rFonts w:hint="eastAsia" w:ascii="宋体" w:hAnsi="宋体" w:cs="宋体"/>
                <w:sz w:val="24"/>
                <w:lang w:val="zh-CN"/>
              </w:rPr>
              <w:t>培训通知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89"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名称</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360" w:lineRule="auto"/>
              <w:ind w:firstLine="544" w:firstLineChars="227"/>
              <w:jc w:val="center"/>
              <w:rPr>
                <w:rFonts w:hint="eastAsia" w:ascii="宋体" w:hAnsi="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目的</w:t>
            </w:r>
          </w:p>
        </w:tc>
        <w:tc>
          <w:tcPr>
            <w:tcW w:w="3230"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时间</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spacing w:line="360" w:lineRule="auto"/>
              <w:ind w:firstLine="544" w:firstLineChars="227"/>
              <w:jc w:val="center"/>
              <w:rPr>
                <w:rFonts w:hint="eastAsia" w:ascii="宋体" w:hAnsi="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地点</w:t>
            </w:r>
          </w:p>
        </w:tc>
        <w:tc>
          <w:tcPr>
            <w:tcW w:w="3230"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培训对象</w:t>
            </w:r>
          </w:p>
        </w:tc>
        <w:tc>
          <w:tcPr>
            <w:tcW w:w="6458" w:type="dxa"/>
            <w:gridSpan w:val="4"/>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事项</w:t>
            </w:r>
          </w:p>
        </w:tc>
        <w:tc>
          <w:tcPr>
            <w:tcW w:w="2152"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时间</w:t>
            </w:r>
          </w:p>
        </w:tc>
        <w:tc>
          <w:tcPr>
            <w:tcW w:w="2897" w:type="dxa"/>
            <w:gridSpan w:val="2"/>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人员要求</w:t>
            </w:r>
          </w:p>
        </w:tc>
        <w:tc>
          <w:tcPr>
            <w:tcW w:w="1409" w:type="dxa"/>
            <w:tcBorders>
              <w:top w:val="single" w:color="auto" w:sz="4" w:space="0"/>
              <w:left w:val="single" w:color="auto" w:sz="4" w:space="0"/>
              <w:bottom w:val="single" w:color="auto" w:sz="4" w:space="0"/>
              <w:right w:val="single" w:color="auto" w:sz="4" w:space="0"/>
            </w:tcBorders>
            <w:shd w:val="pct10" w:color="auto" w:fill="auto"/>
            <w:noWrap w:val="0"/>
            <w:vAlign w:val="top"/>
          </w:tcPr>
          <w:p>
            <w:pPr>
              <w:widowControl/>
              <w:spacing w:line="360" w:lineRule="auto"/>
              <w:jc w:val="center"/>
              <w:rPr>
                <w:rFonts w:hint="eastAsia" w:ascii="宋体" w:hAnsi="宋体" w:cs="宋体"/>
                <w:sz w:val="24"/>
                <w:lang w:val="zh-CN"/>
              </w:rPr>
            </w:pPr>
            <w:r>
              <w:rPr>
                <w:rFonts w:hint="eastAsia" w:ascii="宋体" w:hAnsi="宋体" w:cs="宋体"/>
                <w:sz w:val="24"/>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c>
          <w:tcPr>
            <w:tcW w:w="2152"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c>
          <w:tcPr>
            <w:tcW w:w="2897" w:type="dxa"/>
            <w:gridSpan w:val="2"/>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lef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jc w:val="left"/>
              <w:rPr>
                <w:rFonts w:hint="eastAsia" w:ascii="宋体" w:hAnsi="宋体" w:cs="宋体"/>
                <w:sz w:val="24"/>
                <w:lang w:val="zh-CN"/>
              </w:rPr>
            </w:pPr>
            <w:r>
              <w:rPr>
                <w:rFonts w:hint="eastAsia" w:ascii="宋体" w:hAnsi="宋体" w:cs="宋体"/>
                <w:sz w:val="24"/>
                <w:lang w:val="zh-CN"/>
              </w:rPr>
              <w:t>其他事项：</w:t>
            </w:r>
          </w:p>
          <w:p>
            <w:pPr>
              <w:widowControl/>
              <w:spacing w:line="360" w:lineRule="auto"/>
              <w:jc w:val="left"/>
              <w:rPr>
                <w:rFonts w:hint="eastAsia" w:ascii="宋体" w:hAnsi="宋体" w:cs="宋体"/>
                <w:sz w:val="24"/>
                <w:lang w:val="zh-CN"/>
              </w:rPr>
            </w:pPr>
          </w:p>
          <w:p>
            <w:pPr>
              <w:widowControl/>
              <w:spacing w:line="360" w:lineRule="auto"/>
              <w:ind w:firstLine="544" w:firstLineChars="227"/>
              <w:jc w:val="lef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522" w:type="dxa"/>
            <w:gridSpan w:val="6"/>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rPr>
                <w:rFonts w:hint="eastAsia" w:ascii="宋体" w:hAnsi="宋体" w:cs="宋体"/>
                <w:sz w:val="24"/>
                <w:lang w:val="zh-CN"/>
              </w:rPr>
            </w:pPr>
            <w:r>
              <w:rPr>
                <w:rFonts w:hint="eastAsia" w:ascii="宋体" w:hAnsi="宋体" w:cs="宋体"/>
                <w:sz w:val="24"/>
                <w:lang w:val="zh-CN"/>
              </w:rPr>
              <w:t xml:space="preserve">联系人：                       </w:t>
            </w:r>
            <w:r>
              <w:rPr>
                <w:rFonts w:hint="eastAsia" w:ascii="宋体" w:hAnsi="宋体" w:cs="宋体"/>
                <w:sz w:val="24"/>
              </w:rPr>
              <w:t xml:space="preserve">     </w:t>
            </w:r>
            <w:r>
              <w:rPr>
                <w:rFonts w:hint="eastAsia" w:ascii="宋体" w:hAnsi="宋体" w:cs="宋体"/>
                <w:sz w:val="24"/>
                <w:lang w:val="zh-CN"/>
              </w:rPr>
              <w:t>联系电话：</w:t>
            </w:r>
          </w:p>
        </w:tc>
      </w:tr>
    </w:tbl>
    <w:p>
      <w:pPr>
        <w:pageBreakBefore/>
        <w:spacing w:line="360" w:lineRule="auto"/>
        <w:ind w:firstLine="420"/>
        <w:rPr>
          <w:rFonts w:hint="eastAsia" w:ascii="宋体" w:hAnsi="宋体" w:cs="宋体"/>
          <w:sz w:val="24"/>
          <w:lang w:val="zh-CN"/>
        </w:rPr>
      </w:pPr>
      <w:r>
        <w:rPr>
          <w:rFonts w:hint="eastAsia" w:ascii="宋体" w:hAnsi="宋体" w:cs="宋体"/>
          <w:sz w:val="24"/>
          <w:lang w:val="zh-CN"/>
        </w:rPr>
        <w:t>表二：培训配置清单</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0"/>
        <w:gridCol w:w="1230"/>
        <w:gridCol w:w="1245"/>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47"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配置项</w:t>
            </w:r>
          </w:p>
        </w:tc>
        <w:tc>
          <w:tcPr>
            <w:tcW w:w="2490"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内容要求</w:t>
            </w:r>
          </w:p>
        </w:tc>
        <w:tc>
          <w:tcPr>
            <w:tcW w:w="1230"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责任人</w:t>
            </w:r>
          </w:p>
        </w:tc>
        <w:tc>
          <w:tcPr>
            <w:tcW w:w="1245"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截止时间</w:t>
            </w:r>
          </w:p>
        </w:tc>
        <w:tc>
          <w:tcPr>
            <w:tcW w:w="848" w:type="dxa"/>
            <w:tcBorders>
              <w:top w:val="single" w:color="auto" w:sz="4" w:space="0"/>
              <w:left w:val="single" w:color="auto" w:sz="4" w:space="0"/>
              <w:bottom w:val="single" w:color="auto" w:sz="4" w:space="0"/>
              <w:right w:val="single" w:color="auto" w:sz="4" w:space="0"/>
            </w:tcBorders>
            <w:shd w:val="pct10" w:color="auto" w:fill="auto"/>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完成否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r>
              <w:rPr>
                <w:rFonts w:hint="eastAsia" w:ascii="宋体" w:hAnsi="宋体" w:cs="宋体"/>
                <w:sz w:val="24"/>
                <w:lang w:val="zh-CN"/>
              </w:rPr>
              <w:t>一、资料部分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《测试培训手册》</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《应用系统管理手册》</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《应用系统操作手册》</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《系统软件管理及使用手册》</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培训讲义</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上机练习案例</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测试题目</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20"/>
              <w:jc w:val="center"/>
              <w:rPr>
                <w:rFonts w:hint="eastAsia" w:ascii="宋体" w:hAnsi="宋体" w:cs="宋体"/>
                <w:sz w:val="24"/>
                <w:lang w:val="zh-CN"/>
              </w:rPr>
            </w:pPr>
            <w:r>
              <w:rPr>
                <w:rFonts w:hint="eastAsia" w:ascii="宋体" w:hAnsi="宋体" w:cs="宋体"/>
                <w:sz w:val="24"/>
                <w:lang w:val="zh-CN"/>
              </w:rPr>
              <w:t>二、其他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系统安装</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完成培训系统的安装与调试</w:t>
            </w:r>
          </w:p>
        </w:tc>
        <w:tc>
          <w:tcPr>
            <w:tcW w:w="1230"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统计学员列表</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统计计划培训的学员名单</w:t>
            </w:r>
          </w:p>
        </w:tc>
        <w:tc>
          <w:tcPr>
            <w:tcW w:w="1230"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培训通知</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发放培训通知</w:t>
            </w:r>
          </w:p>
        </w:tc>
        <w:tc>
          <w:tcPr>
            <w:tcW w:w="1230"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学员报到</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cs="宋体"/>
                <w:sz w:val="24"/>
                <w:lang w:val="zh-CN"/>
              </w:rPr>
            </w:pPr>
            <w:r>
              <w:rPr>
                <w:rFonts w:hint="eastAsia" w:ascii="宋体" w:hAnsi="宋体" w:cs="宋体"/>
                <w:sz w:val="24"/>
                <w:lang w:val="zh-CN"/>
              </w:rPr>
              <w:t>安排住宿、签到</w:t>
            </w:r>
          </w:p>
        </w:tc>
        <w:tc>
          <w:tcPr>
            <w:tcW w:w="1230"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c>
          <w:tcPr>
            <w:tcW w:w="848" w:type="dxa"/>
            <w:tcBorders>
              <w:top w:val="single" w:color="auto" w:sz="4" w:space="0"/>
              <w:left w:val="single" w:color="auto" w:sz="4" w:space="0"/>
              <w:bottom w:val="single" w:color="auto" w:sz="4" w:space="0"/>
              <w:right w:val="single" w:color="auto" w:sz="4" w:space="0"/>
            </w:tcBorders>
            <w:noWrap w:val="0"/>
            <w:vAlign w:val="top"/>
          </w:tcPr>
          <w:p>
            <w:pPr>
              <w:widowControl/>
              <w:spacing w:line="360" w:lineRule="auto"/>
              <w:ind w:firstLine="544" w:firstLineChars="227"/>
              <w:jc w:val="center"/>
              <w:rPr>
                <w:rFonts w:hint="eastAsia" w:ascii="宋体" w:hAnsi="宋体" w:cs="宋体"/>
                <w:sz w:val="24"/>
                <w:lang w:val="zh-CN"/>
              </w:rPr>
            </w:pPr>
          </w:p>
        </w:tc>
      </w:tr>
    </w:tbl>
    <w:p>
      <w:pPr>
        <w:spacing w:line="480" w:lineRule="exact"/>
        <w:rPr>
          <w:rFonts w:hint="eastAsia" w:ascii="宋体" w:hAnsi="宋体" w:cs="宋体"/>
          <w:b/>
          <w:sz w:val="24"/>
        </w:rPr>
      </w:pPr>
      <w:bookmarkStart w:id="269" w:name="_Toc390247428"/>
      <w:bookmarkStart w:id="270" w:name="_Toc368586712"/>
      <w:bookmarkStart w:id="271" w:name="_Toc383526945"/>
      <w:bookmarkStart w:id="272" w:name="_Toc370801235"/>
      <w:bookmarkStart w:id="273" w:name="_Toc388026149"/>
      <w:r>
        <w:rPr>
          <w:rFonts w:hint="eastAsia" w:ascii="宋体" w:hAnsi="宋体" w:cs="宋体"/>
          <w:b/>
          <w:sz w:val="24"/>
        </w:rPr>
        <w:t>B.培训实施</w:t>
      </w:r>
      <w:bookmarkEnd w:id="269"/>
      <w:bookmarkEnd w:id="270"/>
      <w:bookmarkEnd w:id="271"/>
      <w:bookmarkEnd w:id="272"/>
      <w:bookmarkEnd w:id="273"/>
    </w:p>
    <w:p>
      <w:pPr>
        <w:spacing w:line="480" w:lineRule="exact"/>
        <w:ind w:firstLine="420"/>
        <w:rPr>
          <w:rFonts w:hint="eastAsia" w:ascii="宋体" w:hAnsi="宋体" w:cs="宋体"/>
          <w:sz w:val="24"/>
          <w:lang w:val="zh-CN"/>
        </w:rPr>
      </w:pPr>
      <w:r>
        <w:rPr>
          <w:rFonts w:hint="eastAsia" w:ascii="宋体" w:hAnsi="宋体" w:cs="宋体"/>
          <w:sz w:val="24"/>
          <w:lang w:val="zh-CN"/>
        </w:rPr>
        <w:t>在培训的开始，由每期培训班的课堂负责人，负责考勤及活动组织。要求每天的上午、下午正式上课时需要签到。</w:t>
      </w:r>
    </w:p>
    <w:p>
      <w:pPr>
        <w:spacing w:line="480" w:lineRule="exact"/>
        <w:ind w:firstLine="420"/>
        <w:rPr>
          <w:rFonts w:hint="eastAsia" w:ascii="宋体" w:hAnsi="宋体" w:cs="宋体"/>
          <w:sz w:val="24"/>
          <w:lang w:val="zh-CN"/>
        </w:rPr>
      </w:pPr>
      <w:r>
        <w:rPr>
          <w:rFonts w:hint="eastAsia" w:ascii="宋体" w:hAnsi="宋体" w:cs="宋体"/>
          <w:sz w:val="24"/>
          <w:lang w:val="zh-CN"/>
        </w:rPr>
        <w:t>在培训的过程中，培训讲师会根据课程表的安排进行讲解。每一期培训班的内容将设置多个环节，每一个环节都分为授课和练习两部分，授课部分将按照培训讲义对当期培训班所设置的内容进行详细的介绍，并配有培训教材以做参考。练习部分要求学员按照事先准备好的案例进行实际操作，以加强对所学知识的记忆和理解。</w:t>
      </w:r>
    </w:p>
    <w:p>
      <w:pPr>
        <w:spacing w:line="480" w:lineRule="exact"/>
        <w:ind w:firstLine="420"/>
        <w:rPr>
          <w:rFonts w:hint="eastAsia" w:ascii="宋体" w:hAnsi="宋体" w:cs="宋体"/>
          <w:sz w:val="24"/>
          <w:lang w:val="zh-CN"/>
        </w:rPr>
      </w:pPr>
      <w:r>
        <w:rPr>
          <w:rFonts w:hint="eastAsia" w:ascii="宋体" w:hAnsi="宋体" w:cs="宋体"/>
          <w:sz w:val="24"/>
          <w:lang w:val="zh-CN"/>
        </w:rPr>
        <w:t>在课堂上，参与培训人员若有疑问，可先记录下来课下交给讲课老师，讲课老师将在练习阶段或下一个培训环节给予答复。</w:t>
      </w:r>
    </w:p>
    <w:p>
      <w:pPr>
        <w:spacing w:line="480" w:lineRule="exact"/>
        <w:ind w:firstLine="420"/>
        <w:rPr>
          <w:rFonts w:hint="eastAsia" w:ascii="宋体" w:hAnsi="宋体" w:cs="宋体"/>
          <w:sz w:val="24"/>
          <w:lang w:val="zh-CN"/>
        </w:rPr>
      </w:pPr>
      <w:r>
        <w:rPr>
          <w:rFonts w:hint="eastAsia" w:ascii="宋体" w:hAnsi="宋体" w:cs="宋体"/>
          <w:sz w:val="24"/>
          <w:lang w:val="zh-CN"/>
        </w:rPr>
        <w:t>讲课老师及辅导老师每天把培训人员的疑问进行记录下来，汇总并提炼后形成问题集锦，在培训结束时发放给每一位培训人员。</w:t>
      </w:r>
    </w:p>
    <w:p>
      <w:pPr>
        <w:spacing w:line="480" w:lineRule="exact"/>
        <w:rPr>
          <w:rFonts w:hint="eastAsia" w:ascii="宋体" w:hAnsi="宋体" w:cs="宋体"/>
          <w:b/>
          <w:sz w:val="24"/>
        </w:rPr>
      </w:pPr>
      <w:bookmarkStart w:id="274" w:name="_Toc388219741"/>
      <w:bookmarkStart w:id="275" w:name="_Toc370801236"/>
      <w:bookmarkStart w:id="276" w:name="_Toc390247429"/>
      <w:bookmarkStart w:id="277" w:name="_Toc368586713"/>
      <w:bookmarkStart w:id="278" w:name="_Toc383526946"/>
      <w:r>
        <w:rPr>
          <w:rFonts w:hint="eastAsia" w:ascii="宋体" w:hAnsi="宋体" w:cs="宋体"/>
          <w:b/>
          <w:sz w:val="24"/>
        </w:rPr>
        <w:t>C.培训评估</w:t>
      </w:r>
      <w:bookmarkEnd w:id="274"/>
      <w:bookmarkEnd w:id="275"/>
      <w:bookmarkEnd w:id="276"/>
      <w:bookmarkEnd w:id="277"/>
      <w:bookmarkEnd w:id="278"/>
    </w:p>
    <w:p>
      <w:pPr>
        <w:spacing w:line="480" w:lineRule="exact"/>
        <w:ind w:firstLine="420"/>
        <w:rPr>
          <w:rFonts w:hint="eastAsia" w:ascii="宋体" w:hAnsi="宋体" w:cs="宋体"/>
          <w:sz w:val="24"/>
          <w:lang w:val="zh-CN"/>
        </w:rPr>
      </w:pPr>
      <w:r>
        <w:rPr>
          <w:rFonts w:hint="eastAsia" w:ascii="宋体" w:hAnsi="宋体" w:cs="宋体"/>
          <w:sz w:val="24"/>
          <w:lang w:val="zh-CN"/>
        </w:rPr>
        <w:t>培训结束后，需要对培训效果进行及时评估，以检验培训目标能否实现。培训评估由二部分组成：一是各参与培训的人员考试成绩；二是培训人员对培训提交的效果反馈。</w:t>
      </w:r>
    </w:p>
    <w:p>
      <w:pPr>
        <w:spacing w:line="480" w:lineRule="exact"/>
        <w:ind w:firstLine="420"/>
        <w:rPr>
          <w:rFonts w:hint="eastAsia" w:ascii="宋体" w:hAnsi="宋体" w:cs="宋体"/>
          <w:sz w:val="24"/>
          <w:lang w:val="zh-CN"/>
        </w:rPr>
      </w:pPr>
      <w:r>
        <w:rPr>
          <w:rFonts w:hint="eastAsia" w:ascii="宋体" w:hAnsi="宋体" w:cs="宋体"/>
          <w:sz w:val="24"/>
          <w:lang w:val="zh-CN"/>
        </w:rPr>
        <w:t>对人员进行考试时，要包括二部分内容，理论考试与上机考核。理论考试由项目小组共同出题，类型主要是选择题与问答题。理论考试与上机考试的满分都为100分，70分为合格线。</w:t>
      </w:r>
    </w:p>
    <w:p>
      <w:pPr>
        <w:spacing w:line="480" w:lineRule="exact"/>
        <w:ind w:firstLine="420"/>
        <w:rPr>
          <w:rFonts w:hint="eastAsia" w:ascii="宋体" w:hAnsi="宋体" w:cs="宋体"/>
          <w:sz w:val="24"/>
          <w:lang w:val="zh-CN"/>
        </w:rPr>
      </w:pPr>
      <w:r>
        <w:rPr>
          <w:rFonts w:hint="eastAsia" w:ascii="宋体" w:hAnsi="宋体" w:cs="宋体"/>
          <w:sz w:val="24"/>
          <w:lang w:val="zh-CN"/>
        </w:rPr>
        <w:t>培训质量反馈，由参与培训的人员填完后并提交后，汇总至项目经理进行分析，特别是应关注其中的改正意见方面，积极采纳合理的反馈意见，作为下次培训工作的改进依据。</w:t>
      </w:r>
    </w:p>
    <w:p>
      <w:pPr>
        <w:spacing w:line="480" w:lineRule="exact"/>
        <w:ind w:firstLine="420"/>
        <w:rPr>
          <w:rFonts w:hint="eastAsia" w:ascii="宋体" w:hAnsi="宋体" w:cs="宋体"/>
          <w:sz w:val="24"/>
          <w:lang w:val="zh-CN"/>
        </w:rPr>
      </w:pPr>
      <w:r>
        <w:rPr>
          <w:rFonts w:hint="eastAsia" w:ascii="宋体" w:hAnsi="宋体" w:cs="宋体"/>
          <w:sz w:val="24"/>
          <w:lang w:val="zh-CN"/>
        </w:rPr>
        <w:t>培训评估后，培训负责人需将培训工作进行总结，形成培训工作报告并提交项目经理。</w:t>
      </w:r>
      <w:bookmarkStart w:id="279" w:name="_Toc394439060"/>
      <w:bookmarkStart w:id="280" w:name="_Toc407132630"/>
      <w:bookmarkStart w:id="281" w:name="_Toc12553"/>
      <w:bookmarkStart w:id="282" w:name="_Toc449024113"/>
      <w:bookmarkStart w:id="283" w:name="_Toc395805593"/>
      <w:bookmarkStart w:id="284" w:name="_Toc396225537"/>
      <w:bookmarkStart w:id="285" w:name="_Toc3012"/>
      <w:bookmarkStart w:id="286" w:name="_Toc406487124"/>
      <w:bookmarkStart w:id="287" w:name="_Toc437963676"/>
      <w:bookmarkStart w:id="288" w:name="_Toc455830780"/>
      <w:bookmarkStart w:id="289" w:name="_Toc435649542"/>
    </w:p>
    <w:p>
      <w:pPr>
        <w:pStyle w:val="4"/>
        <w:spacing w:before="0" w:after="0" w:line="480" w:lineRule="exact"/>
        <w:rPr>
          <w:rFonts w:hint="eastAsia" w:ascii="宋体" w:hAnsi="宋体" w:eastAsia="宋体" w:cs="宋体"/>
          <w:sz w:val="24"/>
          <w:szCs w:val="24"/>
        </w:rPr>
      </w:pPr>
      <w:bookmarkStart w:id="290" w:name="_Toc7260"/>
      <w:bookmarkStart w:id="291" w:name="_Toc5281100"/>
      <w:bookmarkStart w:id="292" w:name="_Toc32314"/>
      <w:bookmarkStart w:id="293" w:name="_Toc17353"/>
      <w:bookmarkStart w:id="294" w:name="_Toc4751285"/>
      <w:bookmarkStart w:id="295" w:name="_Toc7440"/>
      <w:bookmarkStart w:id="296" w:name="_Toc6840932"/>
      <w:bookmarkStart w:id="297" w:name="_Toc9548"/>
      <w:r>
        <w:rPr>
          <w:rFonts w:hint="eastAsia" w:ascii="宋体" w:hAnsi="宋体" w:eastAsia="宋体" w:cs="宋体"/>
          <w:sz w:val="24"/>
          <w:szCs w:val="24"/>
        </w:rPr>
        <w:t>7、培训内容</w:t>
      </w:r>
      <w:bookmarkEnd w:id="279"/>
      <w:r>
        <w:rPr>
          <w:rFonts w:hint="eastAsia" w:ascii="宋体" w:hAnsi="宋体" w:eastAsia="宋体" w:cs="宋体"/>
          <w:sz w:val="24"/>
          <w:szCs w:val="24"/>
        </w:rPr>
        <w:t>及安排</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pPr>
        <w:spacing w:line="480" w:lineRule="exact"/>
        <w:rPr>
          <w:rFonts w:hint="eastAsia" w:ascii="宋体" w:hAnsi="宋体" w:cs="宋体"/>
          <w:b/>
          <w:bCs/>
          <w:sz w:val="24"/>
        </w:rPr>
      </w:pPr>
      <w:bookmarkStart w:id="298" w:name="_Toc30563"/>
      <w:bookmarkStart w:id="299" w:name="_Toc455830781"/>
      <w:r>
        <w:rPr>
          <w:rFonts w:hint="eastAsia" w:ascii="宋体" w:hAnsi="宋体" w:cs="宋体"/>
          <w:b/>
          <w:bCs/>
          <w:sz w:val="24"/>
        </w:rPr>
        <w:t>培训计划表</w:t>
      </w:r>
      <w:bookmarkEnd w:id="298"/>
      <w:bookmarkEnd w:id="299"/>
      <w:r>
        <w:rPr>
          <w:rFonts w:hint="eastAsia" w:ascii="宋体" w:hAnsi="宋体" w:cs="宋体"/>
          <w:b/>
          <w:bCs/>
          <w:sz w:val="24"/>
        </w:rPr>
        <w:t xml:space="preserve"> </w:t>
      </w:r>
    </w:p>
    <w:p>
      <w:pPr>
        <w:spacing w:line="480" w:lineRule="exact"/>
        <w:rPr>
          <w:rFonts w:hint="eastAsia" w:ascii="宋体" w:hAnsi="宋体" w:cs="宋体"/>
          <w:sz w:val="24"/>
        </w:rPr>
      </w:pPr>
      <w:r>
        <w:rPr>
          <w:rFonts w:hint="eastAsia" w:ascii="宋体" w:hAnsi="宋体" w:cs="宋体"/>
          <w:sz w:val="24"/>
        </w:rPr>
        <w:t>提供3-4名技术工程师现场培训指导</w:t>
      </w:r>
    </w:p>
    <w:tbl>
      <w:tblPr>
        <w:tblStyle w:val="5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588"/>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2"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序号</w:t>
            </w:r>
          </w:p>
        </w:tc>
        <w:tc>
          <w:tcPr>
            <w:tcW w:w="5588"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培训内容</w:t>
            </w:r>
          </w:p>
        </w:tc>
        <w:tc>
          <w:tcPr>
            <w:tcW w:w="2080" w:type="dxa"/>
            <w:noWrap w:val="0"/>
            <w:vAlign w:val="center"/>
          </w:tcPr>
          <w:p>
            <w:pPr>
              <w:spacing w:line="360" w:lineRule="auto"/>
              <w:ind w:right="-17"/>
              <w:textAlignment w:val="bottom"/>
              <w:rPr>
                <w:rFonts w:hint="eastAsia" w:ascii="宋体" w:hAnsi="宋体" w:cs="宋体"/>
                <w:sz w:val="24"/>
              </w:rPr>
            </w:pPr>
            <w:r>
              <w:rPr>
                <w:rFonts w:hint="eastAsia" w:ascii="宋体" w:hAnsi="宋体" w:cs="宋体"/>
                <w:sz w:val="24"/>
              </w:rPr>
              <w:t>培训课时（日历日）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2"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1</w:t>
            </w:r>
          </w:p>
        </w:tc>
        <w:tc>
          <w:tcPr>
            <w:tcW w:w="5588"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系统设备的安装情况、设备实物介绍</w:t>
            </w:r>
          </w:p>
        </w:tc>
        <w:tc>
          <w:tcPr>
            <w:tcW w:w="2080" w:type="dxa"/>
            <w:vMerge w:val="restart"/>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2"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2</w:t>
            </w:r>
          </w:p>
        </w:tc>
        <w:tc>
          <w:tcPr>
            <w:tcW w:w="5588"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设备操作、设置，系统操作设置、管理</w:t>
            </w:r>
          </w:p>
        </w:tc>
        <w:tc>
          <w:tcPr>
            <w:tcW w:w="2080" w:type="dxa"/>
            <w:vMerge w:val="continue"/>
            <w:noWrap w:val="0"/>
            <w:vAlign w:val="center"/>
          </w:tcPr>
          <w:p>
            <w:pPr>
              <w:spacing w:line="360" w:lineRule="auto"/>
              <w:ind w:right="-17"/>
              <w:jc w:val="center"/>
              <w:textAlignment w:val="bottom"/>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2"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3</w:t>
            </w:r>
          </w:p>
        </w:tc>
        <w:tc>
          <w:tcPr>
            <w:tcW w:w="5588"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设备的日常维护、保养</w:t>
            </w:r>
          </w:p>
        </w:tc>
        <w:tc>
          <w:tcPr>
            <w:tcW w:w="2080" w:type="dxa"/>
            <w:vMerge w:val="continue"/>
            <w:noWrap w:val="0"/>
            <w:vAlign w:val="center"/>
          </w:tcPr>
          <w:p>
            <w:pPr>
              <w:spacing w:line="360" w:lineRule="auto"/>
              <w:ind w:right="-17"/>
              <w:jc w:val="center"/>
              <w:textAlignment w:val="bottom"/>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2"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4</w:t>
            </w:r>
          </w:p>
        </w:tc>
        <w:tc>
          <w:tcPr>
            <w:tcW w:w="5588" w:type="dxa"/>
            <w:noWrap w:val="0"/>
            <w:vAlign w:val="center"/>
          </w:tcPr>
          <w:p>
            <w:pPr>
              <w:spacing w:line="360" w:lineRule="auto"/>
              <w:ind w:right="-17"/>
              <w:jc w:val="center"/>
              <w:textAlignment w:val="bottom"/>
              <w:rPr>
                <w:rFonts w:hint="eastAsia" w:ascii="宋体" w:hAnsi="宋体" w:cs="宋体"/>
                <w:sz w:val="24"/>
              </w:rPr>
            </w:pPr>
            <w:r>
              <w:rPr>
                <w:rFonts w:hint="eastAsia" w:ascii="宋体" w:hAnsi="宋体" w:cs="宋体"/>
                <w:sz w:val="24"/>
              </w:rPr>
              <w:t>系统故障排查、应急处理</w:t>
            </w:r>
          </w:p>
        </w:tc>
        <w:tc>
          <w:tcPr>
            <w:tcW w:w="2080" w:type="dxa"/>
            <w:vMerge w:val="continue"/>
            <w:noWrap w:val="0"/>
            <w:vAlign w:val="center"/>
          </w:tcPr>
          <w:p>
            <w:pPr>
              <w:spacing w:line="360" w:lineRule="auto"/>
              <w:ind w:right="-17"/>
              <w:jc w:val="center"/>
              <w:textAlignment w:val="bottom"/>
              <w:rPr>
                <w:rFonts w:hint="eastAsia" w:ascii="宋体" w:hAnsi="宋体" w:cs="宋体"/>
                <w:sz w:val="24"/>
              </w:rPr>
            </w:pPr>
          </w:p>
        </w:tc>
      </w:tr>
    </w:tbl>
    <w:p>
      <w:pPr>
        <w:spacing w:line="480" w:lineRule="exact"/>
        <w:rPr>
          <w:rFonts w:hint="eastAsia" w:ascii="宋体" w:hAnsi="宋体" w:cs="宋体"/>
          <w:b/>
          <w:bCs/>
          <w:sz w:val="24"/>
        </w:rPr>
      </w:pPr>
      <w:bookmarkStart w:id="300" w:name="_Toc455830782"/>
      <w:bookmarkStart w:id="301" w:name="_Toc8371"/>
      <w:r>
        <w:rPr>
          <w:rFonts w:hint="eastAsia" w:ascii="宋体" w:hAnsi="宋体" w:cs="宋体"/>
          <w:b/>
          <w:bCs/>
          <w:sz w:val="24"/>
        </w:rPr>
        <w:t>培训费用</w:t>
      </w:r>
      <w:bookmarkEnd w:id="300"/>
      <w:r>
        <w:rPr>
          <w:rFonts w:hint="eastAsia" w:ascii="宋体" w:hAnsi="宋体" w:cs="宋体"/>
          <w:b/>
          <w:bCs/>
          <w:sz w:val="24"/>
        </w:rPr>
        <w:t>及地点</w:t>
      </w:r>
      <w:bookmarkEnd w:id="301"/>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培训费用：免费培训；</w:t>
      </w:r>
      <w:bookmarkStart w:id="302" w:name="_Toc361673049"/>
      <w:bookmarkStart w:id="303" w:name="_Toc341371360"/>
      <w:bookmarkStart w:id="304" w:name="_Toc342083405"/>
      <w:bookmarkStart w:id="305" w:name="_Toc388219743"/>
      <w:bookmarkStart w:id="306" w:name="_Toc368586702"/>
      <w:bookmarkStart w:id="307" w:name="_Toc390247431"/>
      <w:bookmarkStart w:id="308" w:name="_Toc341284429"/>
      <w:bookmarkStart w:id="309" w:name="_Toc353204688"/>
      <w:bookmarkStart w:id="310" w:name="_Toc383526953"/>
      <w:bookmarkStart w:id="311" w:name="_Toc352749114"/>
      <w:bookmarkStart w:id="312" w:name="_Toc343678863"/>
      <w:bookmarkStart w:id="313" w:name="_Toc342082811"/>
      <w:bookmarkStart w:id="314" w:name="_Toc342062509"/>
    </w:p>
    <w:p>
      <w:pPr>
        <w:spacing w:line="480" w:lineRule="exact"/>
        <w:rPr>
          <w:rFonts w:hint="eastAsia" w:ascii="宋体" w:hAnsi="宋体" w:cs="宋体"/>
          <w:b/>
          <w:bCs/>
          <w:sz w:val="24"/>
        </w:rPr>
      </w:pPr>
      <w:r>
        <w:rPr>
          <w:rFonts w:hint="eastAsia" w:ascii="宋体" w:hAnsi="宋体" w:cs="宋体"/>
          <w:b/>
          <w:bCs/>
          <w:sz w:val="24"/>
        </w:rPr>
        <w:t>现场培训：</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每套设备安装调试完毕后，我公司安排专门技术人员对使用单位的设备管理人员进行操作应用及维护保养方面的技能培训，使其掌握基本技能。</w:t>
      </w:r>
    </w:p>
    <w:p>
      <w:pPr>
        <w:spacing w:line="480" w:lineRule="exact"/>
        <w:rPr>
          <w:rFonts w:hint="eastAsia" w:ascii="宋体" w:hAnsi="宋体" w:cs="宋体"/>
          <w:b/>
          <w:bCs/>
          <w:sz w:val="24"/>
        </w:rPr>
      </w:pPr>
      <w:r>
        <w:rPr>
          <w:rFonts w:hint="eastAsia" w:ascii="宋体" w:hAnsi="宋体" w:cs="宋体"/>
          <w:b/>
          <w:bCs/>
          <w:sz w:val="24"/>
        </w:rPr>
        <w:t>领导专项培训</w:t>
      </w:r>
      <w:bookmarkEnd w:id="302"/>
      <w:bookmarkEnd w:id="303"/>
      <w:bookmarkEnd w:id="304"/>
      <w:bookmarkEnd w:id="305"/>
      <w:bookmarkEnd w:id="306"/>
      <w:bookmarkEnd w:id="307"/>
      <w:bookmarkEnd w:id="308"/>
      <w:bookmarkEnd w:id="309"/>
      <w:bookmarkEnd w:id="310"/>
      <w:bookmarkEnd w:id="311"/>
      <w:bookmarkEnd w:id="312"/>
      <w:bookmarkEnd w:id="313"/>
      <w:bookmarkEnd w:id="314"/>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培训目标：监控系统给管理提升带来改变</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授课人员：项目经理及主要技术负责人</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培训方式：“贴身式”培训</w:t>
      </w:r>
    </w:p>
    <w:p>
      <w:pPr>
        <w:spacing w:line="480" w:lineRule="exact"/>
        <w:ind w:firstLine="480" w:firstLineChars="200"/>
        <w:rPr>
          <w:rFonts w:hint="eastAsia" w:ascii="宋体" w:hAnsi="宋体" w:cs="宋体"/>
          <w:sz w:val="24"/>
          <w:lang w:val="zh-CN"/>
        </w:rPr>
      </w:pPr>
      <w:bookmarkStart w:id="315" w:name="_Toc368586705"/>
      <w:bookmarkStart w:id="316" w:name="_Toc388219746"/>
      <w:bookmarkStart w:id="317" w:name="_Toc383526956"/>
      <w:bookmarkStart w:id="318" w:name="_Toc390247434"/>
      <w:r>
        <w:rPr>
          <w:rFonts w:hint="eastAsia" w:ascii="宋体" w:hAnsi="宋体" w:cs="宋体"/>
          <w:sz w:val="24"/>
          <w:lang w:val="zh-CN"/>
        </w:rPr>
        <w:t>培训人数：依照领导人数而定</w:t>
      </w:r>
    </w:p>
    <w:p>
      <w:pPr>
        <w:spacing w:line="480" w:lineRule="exact"/>
        <w:rPr>
          <w:rFonts w:hint="eastAsia" w:ascii="宋体" w:hAnsi="宋体" w:cs="宋体"/>
          <w:b/>
          <w:bCs/>
          <w:sz w:val="24"/>
        </w:rPr>
      </w:pPr>
      <w:r>
        <w:rPr>
          <w:rFonts w:hint="eastAsia" w:ascii="宋体" w:hAnsi="宋体" w:cs="宋体"/>
          <w:b/>
          <w:bCs/>
          <w:sz w:val="24"/>
        </w:rPr>
        <w:t>普通老师培训</w:t>
      </w:r>
      <w:bookmarkEnd w:id="315"/>
      <w:bookmarkEnd w:id="316"/>
      <w:bookmarkEnd w:id="317"/>
      <w:bookmarkEnd w:id="318"/>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培训目标：熟练使用监控操作，能处理使用中的简单问题或故障</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授课人员：项目经理及主要技术负责人</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培训形式：集中式培训</w:t>
      </w:r>
    </w:p>
    <w:p>
      <w:pPr>
        <w:spacing w:line="480" w:lineRule="exact"/>
        <w:ind w:firstLine="480" w:firstLineChars="200"/>
        <w:rPr>
          <w:rFonts w:hint="eastAsia" w:ascii="宋体" w:hAnsi="宋体" w:cs="宋体"/>
          <w:sz w:val="24"/>
          <w:lang w:val="zh-CN"/>
        </w:rPr>
      </w:pPr>
      <w:bookmarkStart w:id="319" w:name="_Toc388219748"/>
      <w:bookmarkStart w:id="320" w:name="_Toc368586707"/>
      <w:bookmarkStart w:id="321" w:name="_Toc390247436"/>
      <w:bookmarkStart w:id="322" w:name="_Toc383526958"/>
      <w:r>
        <w:rPr>
          <w:rFonts w:hint="eastAsia" w:ascii="宋体" w:hAnsi="宋体" w:cs="宋体"/>
          <w:sz w:val="24"/>
          <w:lang w:val="zh-CN"/>
        </w:rPr>
        <w:t>培训人数：依照领导人数而定</w:t>
      </w:r>
    </w:p>
    <w:p>
      <w:pPr>
        <w:spacing w:line="480" w:lineRule="exact"/>
        <w:rPr>
          <w:rFonts w:hint="eastAsia" w:ascii="宋体" w:hAnsi="宋体" w:cs="宋体"/>
          <w:b/>
          <w:bCs/>
          <w:sz w:val="24"/>
        </w:rPr>
      </w:pPr>
      <w:r>
        <w:rPr>
          <w:rFonts w:hint="eastAsia" w:ascii="宋体" w:hAnsi="宋体" w:cs="宋体"/>
          <w:b/>
          <w:bCs/>
          <w:sz w:val="24"/>
        </w:rPr>
        <w:t>系统管理运维人员培训</w:t>
      </w:r>
      <w:bookmarkEnd w:id="319"/>
      <w:bookmarkEnd w:id="320"/>
      <w:bookmarkEnd w:id="321"/>
      <w:bookmarkEnd w:id="322"/>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培训目标：能够处理监控及网络系统使用过程中常见的故障</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授课人员：技术实施经理</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培训方式：集中式培训</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培训人数：依照领导人数而定</w:t>
      </w:r>
    </w:p>
    <w:p>
      <w:pPr>
        <w:spacing w:line="480" w:lineRule="exact"/>
        <w:ind w:firstLine="480" w:firstLineChars="200"/>
        <w:rPr>
          <w:rFonts w:hint="eastAsia" w:ascii="宋体" w:hAnsi="宋体" w:cs="宋体"/>
          <w:sz w:val="24"/>
          <w:lang w:val="zh-CN"/>
        </w:rPr>
      </w:pPr>
      <w:bookmarkStart w:id="323" w:name="_Toc15512"/>
      <w:bookmarkStart w:id="324" w:name="_Toc455830783"/>
      <w:r>
        <w:rPr>
          <w:rFonts w:hint="eastAsia" w:ascii="宋体" w:hAnsi="宋体" w:cs="宋体"/>
          <w:sz w:val="24"/>
          <w:lang w:val="zh-CN"/>
        </w:rPr>
        <w:t>时间估算：与西安铁路职业技术学院负责人协商沟通</w:t>
      </w:r>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培训地点：西安铁路职业技术学院负责人指定地点</w:t>
      </w:r>
    </w:p>
    <w:p>
      <w:pPr>
        <w:spacing w:line="480" w:lineRule="exact"/>
        <w:rPr>
          <w:rFonts w:hint="eastAsia" w:ascii="宋体" w:hAnsi="宋体" w:cs="宋体"/>
          <w:b/>
          <w:bCs/>
          <w:sz w:val="24"/>
          <w:lang w:val="zh-CN"/>
        </w:rPr>
      </w:pPr>
      <w:r>
        <w:rPr>
          <w:rFonts w:hint="eastAsia" w:ascii="宋体" w:hAnsi="宋体" w:cs="宋体"/>
          <w:b/>
          <w:bCs/>
          <w:sz w:val="24"/>
          <w:lang w:val="zh-CN"/>
        </w:rPr>
        <w:t>培训内容</w:t>
      </w:r>
      <w:bookmarkEnd w:id="323"/>
      <w:bookmarkEnd w:id="324"/>
    </w:p>
    <w:p>
      <w:pPr>
        <w:spacing w:line="480" w:lineRule="exact"/>
        <w:ind w:firstLine="480" w:firstLineChars="200"/>
        <w:rPr>
          <w:rFonts w:hint="eastAsia" w:ascii="宋体" w:hAnsi="宋体" w:cs="宋体"/>
          <w:sz w:val="24"/>
          <w:lang w:val="zh-CN"/>
        </w:rPr>
      </w:pPr>
      <w:r>
        <w:rPr>
          <w:rFonts w:hint="eastAsia" w:ascii="宋体" w:hAnsi="宋体" w:cs="宋体"/>
          <w:sz w:val="24"/>
          <w:lang w:val="zh-CN"/>
        </w:rPr>
        <w:t>应用设备的目的和范围；应用设备的操作流程以及买方业务流程之间相对应关系；具体操作系统：基础安装、调试与维护；常见问题的处理与解决办法</w:t>
      </w:r>
    </w:p>
    <w:p>
      <w:pPr>
        <w:pStyle w:val="2"/>
        <w:spacing w:line="480" w:lineRule="exact"/>
        <w:rPr>
          <w:rFonts w:hint="eastAsia" w:ascii="宋体" w:hAnsi="宋体" w:cs="宋体"/>
          <w:kern w:val="0"/>
          <w:sz w:val="24"/>
          <w:szCs w:val="24"/>
        </w:rPr>
      </w:pPr>
    </w:p>
    <w:sectPr>
      <w:pgSz w:w="11906" w:h="16838"/>
      <w:pgMar w:top="1418" w:right="1418" w:bottom="1418" w:left="1134" w:header="907" w:footer="1021" w:gutter="567"/>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_GB2312">
    <w:altName w:val="Segoe Print"/>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Segoe Print"/>
    <w:panose1 w:val="00000000000000000000"/>
    <w:charset w:val="00"/>
    <w:family w:val="roman"/>
    <w:pitch w:val="default"/>
    <w:sig w:usb0="00000000" w:usb1="00000000" w:usb2="00000000" w:usb3="00000000" w:csb0="00000001" w:csb1="00000000"/>
  </w:font>
  <w:font w:name="Adobe Song Std L">
    <w:altName w:val="Arial Unicode MS"/>
    <w:panose1 w:val="00000000000000000000"/>
    <w:charset w:val="00"/>
    <w:family w:val="roma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幼圆">
    <w:panose1 w:val="02010509060101010101"/>
    <w:charset w:val="86"/>
    <w:family w:val="modern"/>
    <w:pitch w:val="default"/>
    <w:sig w:usb0="00000001" w:usb1="080E0000" w:usb2="0000000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微软简老宋">
    <w:altName w:val="宋体"/>
    <w:panose1 w:val="00000000000000000000"/>
    <w:charset w:val="00"/>
    <w:family w:val="auto"/>
    <w:pitch w:val="default"/>
    <w:sig w:usb0="00000000" w:usb1="00000000" w:usb2="00000010" w:usb3="00000000" w:csb0="00040000" w:csb1="00000000"/>
  </w:font>
  <w:font w:name="Myriad Pro Light">
    <w:altName w:val="Segoe Print"/>
    <w:panose1 w:val="00000000000000000000"/>
    <w:charset w:val="00"/>
    <w:family w:val="swiss"/>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widowControl w:val="0"/>
      <w:pBdr>
        <w:top w:val="none" w:color="auto" w:sz="0" w:space="1"/>
        <w:left w:val="none" w:color="auto" w:sz="0" w:space="4"/>
        <w:bottom w:val="none" w:color="auto" w:sz="0" w:space="0"/>
        <w:right w:val="none" w:color="auto" w:sz="0" w:space="4"/>
        <w:between w:val="none" w:color="auto" w:sz="0" w:space="0"/>
      </w:pBdr>
      <w:snapToGrid w:val="0"/>
      <w:jc w:val="center"/>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0000009"/>
    <w:multiLevelType w:val="multilevel"/>
    <w:tmpl w:val="00000009"/>
    <w:lvl w:ilvl="0" w:tentative="0">
      <w:start w:val="1"/>
      <w:numFmt w:val="decimal"/>
      <w:pStyle w:val="175"/>
      <w:lvlText w:val="%1."/>
      <w:lvlJc w:val="left"/>
      <w:pPr>
        <w:tabs>
          <w:tab w:val="left" w:pos="540"/>
        </w:tabs>
        <w:ind w:left="540" w:hanging="360"/>
      </w:pPr>
      <w:rPr>
        <w:rFonts w:hint="default"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abstractNum w:abstractNumId="2">
    <w:nsid w:val="025B0AD7"/>
    <w:multiLevelType w:val="singleLevel"/>
    <w:tmpl w:val="025B0AD7"/>
    <w:lvl w:ilvl="0" w:tentative="0">
      <w:start w:val="1"/>
      <w:numFmt w:val="bullet"/>
      <w:pStyle w:val="216"/>
      <w:lvlText w:val=""/>
      <w:lvlJc w:val="left"/>
      <w:pPr>
        <w:tabs>
          <w:tab w:val="left" w:pos="442"/>
        </w:tabs>
        <w:ind w:left="442" w:hanging="425"/>
      </w:pPr>
      <w:rPr>
        <w:rFonts w:hint="default" w:ascii="Wingdings" w:hAnsi="Wingdings"/>
      </w:rPr>
    </w:lvl>
  </w:abstractNum>
  <w:abstractNum w:abstractNumId="3">
    <w:nsid w:val="07765C0F"/>
    <w:multiLevelType w:val="multilevel"/>
    <w:tmpl w:val="07765C0F"/>
    <w:lvl w:ilvl="0" w:tentative="0">
      <w:start w:val="1"/>
      <w:numFmt w:val="bullet"/>
      <w:pStyle w:val="174"/>
      <w:lvlText w:val=""/>
      <w:lvlJc w:val="left"/>
      <w:pPr>
        <w:tabs>
          <w:tab w:val="left" w:pos="1020"/>
        </w:tabs>
        <w:ind w:left="1020" w:hanging="420"/>
      </w:pPr>
      <w:rPr>
        <w:rFonts w:hint="default" w:ascii="Wingdings" w:hAnsi="Wingdings"/>
      </w:rPr>
    </w:lvl>
    <w:lvl w:ilvl="1" w:tentative="0">
      <w:start w:val="1"/>
      <w:numFmt w:val="bullet"/>
      <w:pStyle w:val="253"/>
      <w:lvlText w:val=""/>
      <w:lvlJc w:val="left"/>
      <w:pPr>
        <w:tabs>
          <w:tab w:val="left" w:pos="1440"/>
        </w:tabs>
        <w:ind w:left="1440" w:hanging="420"/>
      </w:pPr>
      <w:rPr>
        <w:rFonts w:hint="default" w:ascii="Wingdings" w:hAnsi="Wingdings"/>
      </w:rPr>
    </w:lvl>
    <w:lvl w:ilvl="2" w:tentative="0">
      <w:start w:val="1"/>
      <w:numFmt w:val="bullet"/>
      <w:lvlText w:val=""/>
      <w:lvlJc w:val="left"/>
      <w:pPr>
        <w:tabs>
          <w:tab w:val="left" w:pos="1860"/>
        </w:tabs>
        <w:ind w:left="1860" w:hanging="420"/>
      </w:pPr>
      <w:rPr>
        <w:rFonts w:hint="default" w:ascii="Wingdings" w:hAnsi="Wingdings"/>
      </w:rPr>
    </w:lvl>
    <w:lvl w:ilvl="3" w:tentative="0">
      <w:start w:val="1"/>
      <w:numFmt w:val="bullet"/>
      <w:lvlText w:val=""/>
      <w:lvlJc w:val="left"/>
      <w:pPr>
        <w:tabs>
          <w:tab w:val="left" w:pos="2280"/>
        </w:tabs>
        <w:ind w:left="2280" w:hanging="420"/>
      </w:pPr>
      <w:rPr>
        <w:rFonts w:hint="default" w:ascii="Wingdings" w:hAnsi="Wingdings"/>
      </w:rPr>
    </w:lvl>
    <w:lvl w:ilvl="4" w:tentative="0">
      <w:start w:val="1"/>
      <w:numFmt w:val="bullet"/>
      <w:lvlText w:val=""/>
      <w:lvlJc w:val="left"/>
      <w:pPr>
        <w:tabs>
          <w:tab w:val="left" w:pos="2700"/>
        </w:tabs>
        <w:ind w:left="2700" w:hanging="420"/>
      </w:pPr>
      <w:rPr>
        <w:rFonts w:hint="default" w:ascii="Wingdings" w:hAnsi="Wingdings"/>
      </w:rPr>
    </w:lvl>
    <w:lvl w:ilvl="5" w:tentative="0">
      <w:start w:val="1"/>
      <w:numFmt w:val="bullet"/>
      <w:lvlText w:val=""/>
      <w:lvlJc w:val="left"/>
      <w:pPr>
        <w:tabs>
          <w:tab w:val="left" w:pos="3120"/>
        </w:tabs>
        <w:ind w:left="3120" w:hanging="420"/>
      </w:pPr>
      <w:rPr>
        <w:rFonts w:hint="default" w:ascii="Wingdings" w:hAnsi="Wingdings"/>
      </w:rPr>
    </w:lvl>
    <w:lvl w:ilvl="6" w:tentative="0">
      <w:start w:val="1"/>
      <w:numFmt w:val="bullet"/>
      <w:lvlText w:val=""/>
      <w:lvlJc w:val="left"/>
      <w:pPr>
        <w:tabs>
          <w:tab w:val="left" w:pos="3540"/>
        </w:tabs>
        <w:ind w:left="3540" w:hanging="420"/>
      </w:pPr>
      <w:rPr>
        <w:rFonts w:hint="default" w:ascii="Wingdings" w:hAnsi="Wingdings"/>
      </w:rPr>
    </w:lvl>
    <w:lvl w:ilvl="7" w:tentative="0">
      <w:start w:val="1"/>
      <w:numFmt w:val="bullet"/>
      <w:lvlText w:val=""/>
      <w:lvlJc w:val="left"/>
      <w:pPr>
        <w:tabs>
          <w:tab w:val="left" w:pos="3960"/>
        </w:tabs>
        <w:ind w:left="3960" w:hanging="420"/>
      </w:pPr>
      <w:rPr>
        <w:rFonts w:hint="default" w:ascii="Wingdings" w:hAnsi="Wingdings"/>
      </w:rPr>
    </w:lvl>
    <w:lvl w:ilvl="8" w:tentative="0">
      <w:start w:val="1"/>
      <w:numFmt w:val="bullet"/>
      <w:lvlText w:val=""/>
      <w:lvlJc w:val="left"/>
      <w:pPr>
        <w:tabs>
          <w:tab w:val="left" w:pos="4380"/>
        </w:tabs>
        <w:ind w:left="4380" w:hanging="420"/>
      </w:pPr>
      <w:rPr>
        <w:rFonts w:hint="default" w:ascii="Wingdings" w:hAnsi="Wingdings"/>
      </w:rPr>
    </w:lvl>
  </w:abstractNum>
  <w:abstractNum w:abstractNumId="4">
    <w:nsid w:val="08F84D93"/>
    <w:multiLevelType w:val="multilevel"/>
    <w:tmpl w:val="08F84D93"/>
    <w:lvl w:ilvl="0" w:tentative="0">
      <w:start w:val="1"/>
      <w:numFmt w:val="bullet"/>
      <w:pStyle w:val="168"/>
      <w:lvlText w:val=""/>
      <w:lvlJc w:val="left"/>
      <w:pPr>
        <w:tabs>
          <w:tab w:val="left" w:pos="987"/>
        </w:tabs>
        <w:ind w:left="987" w:hanging="420"/>
      </w:pPr>
      <w:rPr>
        <w:rFonts w:hint="default" w:ascii="Wingdings" w:hAnsi="Wingdings"/>
      </w:rPr>
    </w:lvl>
    <w:lvl w:ilvl="1" w:tentative="0">
      <w:start w:val="1"/>
      <w:numFmt w:val="bullet"/>
      <w:lvlText w:val=""/>
      <w:lvlJc w:val="left"/>
      <w:pPr>
        <w:tabs>
          <w:tab w:val="left" w:pos="1407"/>
        </w:tabs>
        <w:ind w:left="1407" w:hanging="420"/>
      </w:pPr>
      <w:rPr>
        <w:rFonts w:hint="default" w:ascii="Wingdings" w:hAnsi="Wingdings"/>
      </w:rPr>
    </w:lvl>
    <w:lvl w:ilvl="2" w:tentative="0">
      <w:start w:val="1"/>
      <w:numFmt w:val="bullet"/>
      <w:lvlText w:val=""/>
      <w:lvlJc w:val="left"/>
      <w:pPr>
        <w:tabs>
          <w:tab w:val="left" w:pos="1827"/>
        </w:tabs>
        <w:ind w:left="1827" w:hanging="420"/>
      </w:pPr>
      <w:rPr>
        <w:rFonts w:hint="default" w:ascii="Wingdings" w:hAnsi="Wingdings"/>
      </w:rPr>
    </w:lvl>
    <w:lvl w:ilvl="3" w:tentative="0">
      <w:start w:val="1"/>
      <w:numFmt w:val="bullet"/>
      <w:lvlText w:val=""/>
      <w:lvlJc w:val="left"/>
      <w:pPr>
        <w:tabs>
          <w:tab w:val="left" w:pos="2247"/>
        </w:tabs>
        <w:ind w:left="2247" w:hanging="420"/>
      </w:pPr>
      <w:rPr>
        <w:rFonts w:hint="default" w:ascii="Wingdings" w:hAnsi="Wingdings"/>
      </w:rPr>
    </w:lvl>
    <w:lvl w:ilvl="4" w:tentative="0">
      <w:start w:val="1"/>
      <w:numFmt w:val="bullet"/>
      <w:lvlText w:val=""/>
      <w:lvlJc w:val="left"/>
      <w:pPr>
        <w:tabs>
          <w:tab w:val="left" w:pos="2667"/>
        </w:tabs>
        <w:ind w:left="2667" w:hanging="420"/>
      </w:pPr>
      <w:rPr>
        <w:rFonts w:hint="default" w:ascii="Wingdings" w:hAnsi="Wingdings"/>
      </w:rPr>
    </w:lvl>
    <w:lvl w:ilvl="5" w:tentative="0">
      <w:start w:val="1"/>
      <w:numFmt w:val="bullet"/>
      <w:lvlText w:val=""/>
      <w:lvlJc w:val="left"/>
      <w:pPr>
        <w:tabs>
          <w:tab w:val="left" w:pos="3087"/>
        </w:tabs>
        <w:ind w:left="3087" w:hanging="420"/>
      </w:pPr>
      <w:rPr>
        <w:rFonts w:hint="default" w:ascii="Wingdings" w:hAnsi="Wingdings"/>
      </w:rPr>
    </w:lvl>
    <w:lvl w:ilvl="6" w:tentative="0">
      <w:start w:val="1"/>
      <w:numFmt w:val="bullet"/>
      <w:lvlText w:val=""/>
      <w:lvlJc w:val="left"/>
      <w:pPr>
        <w:tabs>
          <w:tab w:val="left" w:pos="3507"/>
        </w:tabs>
        <w:ind w:left="3507" w:hanging="420"/>
      </w:pPr>
      <w:rPr>
        <w:rFonts w:hint="default" w:ascii="Wingdings" w:hAnsi="Wingdings"/>
      </w:rPr>
    </w:lvl>
    <w:lvl w:ilvl="7" w:tentative="0">
      <w:start w:val="1"/>
      <w:numFmt w:val="bullet"/>
      <w:lvlText w:val=""/>
      <w:lvlJc w:val="left"/>
      <w:pPr>
        <w:tabs>
          <w:tab w:val="left" w:pos="3927"/>
        </w:tabs>
        <w:ind w:left="3927" w:hanging="420"/>
      </w:pPr>
      <w:rPr>
        <w:rFonts w:hint="default" w:ascii="Wingdings" w:hAnsi="Wingdings"/>
      </w:rPr>
    </w:lvl>
    <w:lvl w:ilvl="8" w:tentative="0">
      <w:start w:val="1"/>
      <w:numFmt w:val="bullet"/>
      <w:lvlText w:val=""/>
      <w:lvlJc w:val="left"/>
      <w:pPr>
        <w:tabs>
          <w:tab w:val="left" w:pos="4347"/>
        </w:tabs>
        <w:ind w:left="4347" w:hanging="420"/>
      </w:pPr>
      <w:rPr>
        <w:rFonts w:hint="default" w:ascii="Wingdings" w:hAnsi="Wingdings"/>
      </w:rPr>
    </w:lvl>
  </w:abstractNum>
  <w:abstractNum w:abstractNumId="5">
    <w:nsid w:val="0AF22849"/>
    <w:multiLevelType w:val="multilevel"/>
    <w:tmpl w:val="0AF22849"/>
    <w:lvl w:ilvl="0" w:tentative="0">
      <w:start w:val="1"/>
      <w:numFmt w:val="chineseCountingThousand"/>
      <w:isLgl/>
      <w:lvlText w:val="%1."/>
      <w:lvlJc w:val="left"/>
      <w:pPr>
        <w:tabs>
          <w:tab w:val="left" w:pos="1068"/>
        </w:tabs>
        <w:ind w:left="1068" w:hanging="425"/>
      </w:pPr>
      <w:rPr>
        <w:rFonts w:hint="eastAsia" w:cs="Times New Roman"/>
      </w:rPr>
    </w:lvl>
    <w:lvl w:ilvl="1" w:tentative="0">
      <w:start w:val="1"/>
      <w:numFmt w:val="decimal"/>
      <w:isLgl/>
      <w:lvlText w:val="%1.%2."/>
      <w:lvlJc w:val="left"/>
      <w:pPr>
        <w:tabs>
          <w:tab w:val="left" w:pos="1210"/>
        </w:tabs>
        <w:ind w:left="1210" w:hanging="567"/>
      </w:pPr>
      <w:rPr>
        <w:rFonts w:hint="eastAsia" w:cs="Times New Roman"/>
      </w:rPr>
    </w:lvl>
    <w:lvl w:ilvl="2" w:tentative="0">
      <w:start w:val="1"/>
      <w:numFmt w:val="decimal"/>
      <w:pStyle w:val="194"/>
      <w:lvlText w:val="%1.%2.%3."/>
      <w:lvlJc w:val="left"/>
      <w:pPr>
        <w:tabs>
          <w:tab w:val="left" w:pos="1352"/>
        </w:tabs>
        <w:ind w:left="1352" w:hanging="709"/>
      </w:pPr>
      <w:rPr>
        <w:rFonts w:hint="eastAsia" w:cs="Times New Roman"/>
      </w:rPr>
    </w:lvl>
    <w:lvl w:ilvl="3" w:tentative="0">
      <w:start w:val="1"/>
      <w:numFmt w:val="decimal"/>
      <w:lvlText w:val="%1.%2.%3.%4."/>
      <w:lvlJc w:val="left"/>
      <w:pPr>
        <w:tabs>
          <w:tab w:val="left" w:pos="1494"/>
        </w:tabs>
        <w:ind w:left="1494" w:hanging="851"/>
      </w:pPr>
      <w:rPr>
        <w:rFonts w:hint="eastAsia" w:cs="Times New Roman"/>
      </w:rPr>
    </w:lvl>
    <w:lvl w:ilvl="4" w:tentative="0">
      <w:start w:val="1"/>
      <w:numFmt w:val="decimal"/>
      <w:lvlText w:val="%1.%2.%3.%4.%5."/>
      <w:lvlJc w:val="left"/>
      <w:pPr>
        <w:tabs>
          <w:tab w:val="left" w:pos="1635"/>
        </w:tabs>
        <w:ind w:left="1635" w:hanging="992"/>
      </w:pPr>
      <w:rPr>
        <w:rFonts w:hint="eastAsia" w:cs="Times New Roman"/>
      </w:rPr>
    </w:lvl>
    <w:lvl w:ilvl="5" w:tentative="0">
      <w:start w:val="1"/>
      <w:numFmt w:val="decimal"/>
      <w:lvlText w:val="%1.%2.%3.%4.%5.%6."/>
      <w:lvlJc w:val="left"/>
      <w:pPr>
        <w:tabs>
          <w:tab w:val="left" w:pos="1777"/>
        </w:tabs>
        <w:ind w:left="1777" w:hanging="1134"/>
      </w:pPr>
      <w:rPr>
        <w:rFonts w:hint="eastAsia" w:cs="Times New Roman"/>
      </w:rPr>
    </w:lvl>
    <w:lvl w:ilvl="6" w:tentative="0">
      <w:start w:val="1"/>
      <w:numFmt w:val="decimal"/>
      <w:lvlText w:val="%1.%2.%3.%4.%5.%6.%7."/>
      <w:lvlJc w:val="left"/>
      <w:pPr>
        <w:tabs>
          <w:tab w:val="left" w:pos="1919"/>
        </w:tabs>
        <w:ind w:left="1919" w:hanging="1276"/>
      </w:pPr>
      <w:rPr>
        <w:rFonts w:hint="eastAsia" w:cs="Times New Roman"/>
      </w:rPr>
    </w:lvl>
    <w:lvl w:ilvl="7" w:tentative="0">
      <w:start w:val="1"/>
      <w:numFmt w:val="decimal"/>
      <w:lvlText w:val="%1.%2.%3.%4.%5.%6.%7.%8."/>
      <w:lvlJc w:val="left"/>
      <w:pPr>
        <w:tabs>
          <w:tab w:val="left" w:pos="2061"/>
        </w:tabs>
        <w:ind w:left="2061" w:hanging="1418"/>
      </w:pPr>
      <w:rPr>
        <w:rFonts w:hint="eastAsia" w:cs="Times New Roman"/>
      </w:rPr>
    </w:lvl>
    <w:lvl w:ilvl="8" w:tentative="0">
      <w:start w:val="1"/>
      <w:numFmt w:val="decimal"/>
      <w:lvlText w:val="%1.%2.%3.%4.%5.%6.%7.%8.%9."/>
      <w:lvlJc w:val="left"/>
      <w:pPr>
        <w:tabs>
          <w:tab w:val="left" w:pos="2202"/>
        </w:tabs>
        <w:ind w:left="2202" w:hanging="1559"/>
      </w:pPr>
      <w:rPr>
        <w:rFonts w:hint="eastAsia" w:cs="Times New Roman"/>
      </w:rPr>
    </w:lvl>
  </w:abstractNum>
  <w:abstractNum w:abstractNumId="6">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0865C52"/>
    <w:multiLevelType w:val="multilevel"/>
    <w:tmpl w:val="20865C52"/>
    <w:lvl w:ilvl="0" w:tentative="0">
      <w:start w:val="1"/>
      <w:numFmt w:val="bullet"/>
      <w:pStyle w:val="183"/>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8">
    <w:nsid w:val="2A8C6948"/>
    <w:multiLevelType w:val="multilevel"/>
    <w:tmpl w:val="2A8C6948"/>
    <w:lvl w:ilvl="0" w:tentative="0">
      <w:start w:val="1"/>
      <w:numFmt w:val="bullet"/>
      <w:pStyle w:val="26"/>
      <w:lvlText w:val=""/>
      <w:lvlJc w:val="left"/>
      <w:pPr>
        <w:tabs>
          <w:tab w:val="left" w:pos="1500"/>
        </w:tabs>
        <w:ind w:left="1500" w:hanging="420"/>
      </w:pPr>
      <w:rPr>
        <w:rFonts w:hint="default" w:ascii="Wingdings" w:hAnsi="Wingdings"/>
      </w:rPr>
    </w:lvl>
    <w:lvl w:ilvl="1" w:tentative="0">
      <w:start w:val="1"/>
      <w:numFmt w:val="bullet"/>
      <w:lvlText w:val=""/>
      <w:lvlJc w:val="left"/>
      <w:pPr>
        <w:tabs>
          <w:tab w:val="left" w:pos="1920"/>
        </w:tabs>
        <w:ind w:left="1920" w:hanging="420"/>
      </w:pPr>
      <w:rPr>
        <w:rFonts w:hint="default" w:ascii="Wingdings" w:hAnsi="Wingdings"/>
      </w:rPr>
    </w:lvl>
    <w:lvl w:ilvl="2" w:tentative="0">
      <w:start w:val="1"/>
      <w:numFmt w:val="bullet"/>
      <w:lvlText w:val=""/>
      <w:lvlJc w:val="left"/>
      <w:pPr>
        <w:tabs>
          <w:tab w:val="left" w:pos="2340"/>
        </w:tabs>
        <w:ind w:left="2340" w:hanging="420"/>
      </w:pPr>
      <w:rPr>
        <w:rFonts w:hint="default" w:ascii="Wingdings" w:hAnsi="Wingdings"/>
      </w:rPr>
    </w:lvl>
    <w:lvl w:ilvl="3" w:tentative="0">
      <w:start w:val="1"/>
      <w:numFmt w:val="bullet"/>
      <w:lvlText w:val=""/>
      <w:lvlJc w:val="left"/>
      <w:pPr>
        <w:tabs>
          <w:tab w:val="left" w:pos="2760"/>
        </w:tabs>
        <w:ind w:left="2760" w:hanging="420"/>
      </w:pPr>
      <w:rPr>
        <w:rFonts w:hint="default" w:ascii="Wingdings" w:hAnsi="Wingdings"/>
      </w:rPr>
    </w:lvl>
    <w:lvl w:ilvl="4" w:tentative="0">
      <w:start w:val="1"/>
      <w:numFmt w:val="bullet"/>
      <w:lvlText w:val=""/>
      <w:lvlJc w:val="left"/>
      <w:pPr>
        <w:tabs>
          <w:tab w:val="left" w:pos="3180"/>
        </w:tabs>
        <w:ind w:left="3180" w:hanging="420"/>
      </w:pPr>
      <w:rPr>
        <w:rFonts w:hint="default" w:ascii="Wingdings" w:hAnsi="Wingdings"/>
      </w:rPr>
    </w:lvl>
    <w:lvl w:ilvl="5" w:tentative="0">
      <w:start w:val="1"/>
      <w:numFmt w:val="bullet"/>
      <w:lvlText w:val=""/>
      <w:lvlJc w:val="left"/>
      <w:pPr>
        <w:tabs>
          <w:tab w:val="left" w:pos="3600"/>
        </w:tabs>
        <w:ind w:left="3600" w:hanging="420"/>
      </w:pPr>
      <w:rPr>
        <w:rFonts w:hint="default" w:ascii="Wingdings" w:hAnsi="Wingdings"/>
      </w:rPr>
    </w:lvl>
    <w:lvl w:ilvl="6" w:tentative="0">
      <w:start w:val="1"/>
      <w:numFmt w:val="bullet"/>
      <w:lvlText w:val=""/>
      <w:lvlJc w:val="left"/>
      <w:pPr>
        <w:tabs>
          <w:tab w:val="left" w:pos="4020"/>
        </w:tabs>
        <w:ind w:left="4020" w:hanging="420"/>
      </w:pPr>
      <w:rPr>
        <w:rFonts w:hint="default" w:ascii="Wingdings" w:hAnsi="Wingdings"/>
      </w:rPr>
    </w:lvl>
    <w:lvl w:ilvl="7" w:tentative="0">
      <w:start w:val="1"/>
      <w:numFmt w:val="bullet"/>
      <w:lvlText w:val=""/>
      <w:lvlJc w:val="left"/>
      <w:pPr>
        <w:tabs>
          <w:tab w:val="left" w:pos="4440"/>
        </w:tabs>
        <w:ind w:left="4440" w:hanging="420"/>
      </w:pPr>
      <w:rPr>
        <w:rFonts w:hint="default" w:ascii="Wingdings" w:hAnsi="Wingdings"/>
      </w:rPr>
    </w:lvl>
    <w:lvl w:ilvl="8" w:tentative="0">
      <w:start w:val="1"/>
      <w:numFmt w:val="bullet"/>
      <w:lvlText w:val=""/>
      <w:lvlJc w:val="left"/>
      <w:pPr>
        <w:tabs>
          <w:tab w:val="left" w:pos="4860"/>
        </w:tabs>
        <w:ind w:left="4860" w:hanging="420"/>
      </w:pPr>
      <w:rPr>
        <w:rFonts w:hint="default" w:ascii="Wingdings" w:hAnsi="Wingdings"/>
      </w:rPr>
    </w:lvl>
  </w:abstractNum>
  <w:abstractNum w:abstractNumId="9">
    <w:nsid w:val="3C64098E"/>
    <w:multiLevelType w:val="multilevel"/>
    <w:tmpl w:val="3C64098E"/>
    <w:lvl w:ilvl="0" w:tentative="0">
      <w:start w:val="1"/>
      <w:numFmt w:val="bullet"/>
      <w:pStyle w:val="243"/>
      <w:lvlText w:val=""/>
      <w:lvlJc w:val="left"/>
      <w:pPr>
        <w:tabs>
          <w:tab w:val="left" w:pos="851"/>
        </w:tabs>
        <w:ind w:left="851" w:hanging="284"/>
      </w:pPr>
      <w:rPr>
        <w:rFonts w:hint="default" w:ascii="Wingdings" w:hAnsi="Wingdings"/>
        <w:b w:val="0"/>
        <w:i w:val="0"/>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3E691215"/>
    <w:multiLevelType w:val="multilevel"/>
    <w:tmpl w:val="3E691215"/>
    <w:lvl w:ilvl="0" w:tentative="0">
      <w:start w:val="1"/>
      <w:numFmt w:val="decimal"/>
      <w:lvlText w:val="%1、"/>
      <w:lvlJc w:val="left"/>
      <w:pPr>
        <w:tabs>
          <w:tab w:val="left" w:pos="420"/>
        </w:tabs>
        <w:ind w:left="420" w:hanging="420"/>
      </w:pPr>
      <w:rPr>
        <w:rFonts w:hint="eastAsia" w:cs="Times New Roman"/>
      </w:rPr>
    </w:lvl>
    <w:lvl w:ilvl="1" w:tentative="0">
      <w:start w:val="1"/>
      <w:numFmt w:val="decimal"/>
      <w:pStyle w:val="182"/>
      <w:lvlText w:val="(%2)"/>
      <w:lvlJc w:val="left"/>
      <w:pPr>
        <w:tabs>
          <w:tab w:val="left" w:pos="851"/>
        </w:tabs>
        <w:ind w:left="851" w:hanging="431"/>
      </w:pPr>
      <w:rPr>
        <w:rFonts w:hint="eastAsia" w:cs="Times New Roman"/>
      </w:rPr>
    </w:lvl>
    <w:lvl w:ilvl="2" w:tentative="0">
      <w:start w:val="1"/>
      <w:numFmt w:val="decimal"/>
      <w:lvlText w:val="（%3）"/>
      <w:lvlJc w:val="left"/>
      <w:pPr>
        <w:tabs>
          <w:tab w:val="left" w:pos="1560"/>
        </w:tabs>
        <w:ind w:left="1560" w:hanging="720"/>
      </w:pPr>
      <w:rPr>
        <w:rFonts w:hint="default"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1">
    <w:nsid w:val="3F0E44C6"/>
    <w:multiLevelType w:val="multilevel"/>
    <w:tmpl w:val="3F0E44C6"/>
    <w:lvl w:ilvl="0" w:tentative="0">
      <w:start w:val="1"/>
      <w:numFmt w:val="chineseCountingThousand"/>
      <w:suff w:val="space"/>
      <w:lvlText w:val="第%1章"/>
      <w:lvlJc w:val="left"/>
      <w:pPr>
        <w:ind w:left="482"/>
      </w:pPr>
      <w:rPr>
        <w:rFonts w:hint="eastAsia" w:cs="Times New Roman"/>
      </w:rPr>
    </w:lvl>
    <w:lvl w:ilvl="1" w:tentative="0">
      <w:start w:val="1"/>
      <w:numFmt w:val="decimal"/>
      <w:isLgl/>
      <w:suff w:val="space"/>
      <w:lvlText w:val="%1.%2"/>
      <w:lvlJc w:val="left"/>
      <w:pPr>
        <w:ind w:left="482"/>
      </w:pPr>
      <w:rPr>
        <w:rFonts w:hint="eastAsia" w:cs="Times New Roman"/>
      </w:rPr>
    </w:lvl>
    <w:lvl w:ilvl="2" w:tentative="0">
      <w:start w:val="1"/>
      <w:numFmt w:val="decimal"/>
      <w:isLgl/>
      <w:suff w:val="space"/>
      <w:lvlText w:val="%1.%2.%3"/>
      <w:lvlJc w:val="left"/>
      <w:pPr>
        <w:ind w:left="482"/>
      </w:pPr>
      <w:rPr>
        <w:rFonts w:hint="default" w:ascii="Times New Roman" w:hAnsi="Times New Roman" w:eastAsia="宋体" w:cs="Times New Roman"/>
        <w:b w:val="0"/>
        <w:i w:val="0"/>
        <w:sz w:val="28"/>
      </w:rPr>
    </w:lvl>
    <w:lvl w:ilvl="3" w:tentative="0">
      <w:start w:val="1"/>
      <w:numFmt w:val="decimal"/>
      <w:isLgl/>
      <w:suff w:val="space"/>
      <w:lvlText w:val="%1.%2.%3.%4"/>
      <w:lvlJc w:val="left"/>
      <w:pPr>
        <w:ind w:left="482"/>
      </w:pPr>
      <w:rPr>
        <w:rFonts w:hint="default" w:ascii="Times New Roman" w:hAnsi="Times New Roman" w:eastAsia="宋体" w:cs="Times New Roman"/>
      </w:rPr>
    </w:lvl>
    <w:lvl w:ilvl="4" w:tentative="0">
      <w:start w:val="1"/>
      <w:numFmt w:val="decimal"/>
      <w:isLgl/>
      <w:suff w:val="space"/>
      <w:lvlText w:val="%1.%2.%3.%4.%5"/>
      <w:lvlJc w:val="left"/>
      <w:pPr>
        <w:ind w:left="482"/>
      </w:pPr>
      <w:rPr>
        <w:rFonts w:hint="eastAsia" w:cs="Times New Roman"/>
      </w:rPr>
    </w:lvl>
    <w:lvl w:ilvl="5" w:tentative="0">
      <w:start w:val="1"/>
      <w:numFmt w:val="decimal"/>
      <w:pStyle w:val="179"/>
      <w:lvlText w:val="%6)"/>
      <w:lvlJc w:val="left"/>
      <w:pPr>
        <w:tabs>
          <w:tab w:val="left" w:pos="1634"/>
        </w:tabs>
        <w:ind w:left="1634" w:hanging="1067"/>
      </w:pPr>
      <w:rPr>
        <w:rFonts w:hint="eastAsia" w:cs="Times New Roman"/>
      </w:rPr>
    </w:lvl>
    <w:lvl w:ilvl="6" w:tentative="0">
      <w:start w:val="1"/>
      <w:numFmt w:val="none"/>
      <w:lvlText w:val="(1)"/>
      <w:lvlJc w:val="left"/>
      <w:pPr>
        <w:tabs>
          <w:tab w:val="left" w:pos="-482"/>
        </w:tabs>
        <w:ind w:left="-482"/>
      </w:pPr>
      <w:rPr>
        <w:rFonts w:hint="eastAsia" w:cs="Times New Roman"/>
      </w:rPr>
    </w:lvl>
    <w:lvl w:ilvl="7" w:tentative="0">
      <w:start w:val="1"/>
      <w:numFmt w:val="lowerLetter"/>
      <w:lvlText w:val="%8."/>
      <w:lvlJc w:val="left"/>
      <w:pPr>
        <w:tabs>
          <w:tab w:val="left" w:pos="1922"/>
        </w:tabs>
        <w:ind w:left="1922" w:hanging="432"/>
      </w:pPr>
      <w:rPr>
        <w:rFonts w:hint="eastAsia" w:cs="Times New Roman"/>
      </w:rPr>
    </w:lvl>
    <w:lvl w:ilvl="8" w:tentative="0">
      <w:start w:val="1"/>
      <w:numFmt w:val="lowerRoman"/>
      <w:lvlText w:val="%9."/>
      <w:lvlJc w:val="right"/>
      <w:pPr>
        <w:tabs>
          <w:tab w:val="left" w:pos="2066"/>
        </w:tabs>
        <w:ind w:left="2066" w:hanging="144"/>
      </w:pPr>
      <w:rPr>
        <w:rFonts w:hint="eastAsia" w:cs="Times New Roman"/>
      </w:rPr>
    </w:lvl>
  </w:abstractNum>
  <w:abstractNum w:abstractNumId="12">
    <w:nsid w:val="44BE72FA"/>
    <w:multiLevelType w:val="multilevel"/>
    <w:tmpl w:val="44BE72FA"/>
    <w:lvl w:ilvl="0" w:tentative="0">
      <w:start w:val="1"/>
      <w:numFmt w:val="bullet"/>
      <w:pStyle w:val="185"/>
      <w:lvlText w:val=""/>
      <w:lvlJc w:val="left"/>
      <w:pPr>
        <w:tabs>
          <w:tab w:val="left" w:pos="900"/>
        </w:tabs>
        <w:ind w:left="900" w:hanging="420"/>
      </w:pPr>
      <w:rPr>
        <w:rFonts w:hint="default" w:ascii="Wingdings" w:hAnsi="Wingdings"/>
      </w:rPr>
    </w:lvl>
    <w:lvl w:ilvl="1" w:tentative="0">
      <w:start w:val="1"/>
      <w:numFmt w:val="decimal"/>
      <w:lvlText w:val="%2)"/>
      <w:lvlJc w:val="left"/>
      <w:pPr>
        <w:tabs>
          <w:tab w:val="left" w:pos="1320"/>
        </w:tabs>
        <w:ind w:left="1320" w:hanging="420"/>
      </w:pPr>
      <w:rPr>
        <w:rFonts w:hint="default" w:cs="Times New Roman"/>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3">
    <w:nsid w:val="45633BF8"/>
    <w:multiLevelType w:val="multilevel"/>
    <w:tmpl w:val="45633BF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4">
    <w:nsid w:val="46AA2577"/>
    <w:multiLevelType w:val="multilevel"/>
    <w:tmpl w:val="46AA2577"/>
    <w:lvl w:ilvl="0" w:tentative="0">
      <w:start w:val="1"/>
      <w:numFmt w:val="bullet"/>
      <w:pStyle w:val="248"/>
      <w:lvlText w:val=""/>
      <w:lvlJc w:val="left"/>
      <w:pPr>
        <w:tabs>
          <w:tab w:val="left" w:pos="987"/>
        </w:tabs>
        <w:ind w:left="987" w:hanging="420"/>
      </w:pPr>
      <w:rPr>
        <w:rFonts w:hint="default" w:ascii="Wingdings" w:hAnsi="Wingdings"/>
      </w:rPr>
    </w:lvl>
    <w:lvl w:ilvl="1" w:tentative="0">
      <w:start w:val="1"/>
      <w:numFmt w:val="bullet"/>
      <w:lvlText w:val=""/>
      <w:lvlJc w:val="left"/>
      <w:pPr>
        <w:tabs>
          <w:tab w:val="left" w:pos="1407"/>
        </w:tabs>
        <w:ind w:left="1407" w:hanging="420"/>
      </w:pPr>
      <w:rPr>
        <w:rFonts w:hint="default" w:ascii="Wingdings" w:hAnsi="Wingdings"/>
      </w:rPr>
    </w:lvl>
    <w:lvl w:ilvl="2" w:tentative="0">
      <w:start w:val="1"/>
      <w:numFmt w:val="bullet"/>
      <w:lvlText w:val=""/>
      <w:lvlJc w:val="left"/>
      <w:pPr>
        <w:tabs>
          <w:tab w:val="left" w:pos="1827"/>
        </w:tabs>
        <w:ind w:left="1827" w:hanging="420"/>
      </w:pPr>
      <w:rPr>
        <w:rFonts w:hint="default" w:ascii="Wingdings" w:hAnsi="Wingdings"/>
      </w:rPr>
    </w:lvl>
    <w:lvl w:ilvl="3" w:tentative="0">
      <w:start w:val="1"/>
      <w:numFmt w:val="bullet"/>
      <w:lvlText w:val=""/>
      <w:lvlJc w:val="left"/>
      <w:pPr>
        <w:tabs>
          <w:tab w:val="left" w:pos="2247"/>
        </w:tabs>
        <w:ind w:left="2247" w:hanging="420"/>
      </w:pPr>
      <w:rPr>
        <w:rFonts w:hint="default" w:ascii="Wingdings" w:hAnsi="Wingdings"/>
      </w:rPr>
    </w:lvl>
    <w:lvl w:ilvl="4" w:tentative="0">
      <w:start w:val="1"/>
      <w:numFmt w:val="bullet"/>
      <w:lvlText w:val=""/>
      <w:lvlJc w:val="left"/>
      <w:pPr>
        <w:tabs>
          <w:tab w:val="left" w:pos="2667"/>
        </w:tabs>
        <w:ind w:left="2667" w:hanging="420"/>
      </w:pPr>
      <w:rPr>
        <w:rFonts w:hint="default" w:ascii="Wingdings" w:hAnsi="Wingdings"/>
      </w:rPr>
    </w:lvl>
    <w:lvl w:ilvl="5" w:tentative="0">
      <w:start w:val="1"/>
      <w:numFmt w:val="bullet"/>
      <w:lvlText w:val=""/>
      <w:lvlJc w:val="left"/>
      <w:pPr>
        <w:tabs>
          <w:tab w:val="left" w:pos="3087"/>
        </w:tabs>
        <w:ind w:left="3087" w:hanging="420"/>
      </w:pPr>
      <w:rPr>
        <w:rFonts w:hint="default" w:ascii="Wingdings" w:hAnsi="Wingdings"/>
      </w:rPr>
    </w:lvl>
    <w:lvl w:ilvl="6" w:tentative="0">
      <w:start w:val="1"/>
      <w:numFmt w:val="bullet"/>
      <w:lvlText w:val=""/>
      <w:lvlJc w:val="left"/>
      <w:pPr>
        <w:tabs>
          <w:tab w:val="left" w:pos="3507"/>
        </w:tabs>
        <w:ind w:left="3507" w:hanging="420"/>
      </w:pPr>
      <w:rPr>
        <w:rFonts w:hint="default" w:ascii="Wingdings" w:hAnsi="Wingdings"/>
      </w:rPr>
    </w:lvl>
    <w:lvl w:ilvl="7" w:tentative="0">
      <w:start w:val="1"/>
      <w:numFmt w:val="bullet"/>
      <w:lvlText w:val=""/>
      <w:lvlJc w:val="left"/>
      <w:pPr>
        <w:tabs>
          <w:tab w:val="left" w:pos="3927"/>
        </w:tabs>
        <w:ind w:left="3927" w:hanging="420"/>
      </w:pPr>
      <w:rPr>
        <w:rFonts w:hint="default" w:ascii="Wingdings" w:hAnsi="Wingdings"/>
      </w:rPr>
    </w:lvl>
    <w:lvl w:ilvl="8" w:tentative="0">
      <w:start w:val="1"/>
      <w:numFmt w:val="bullet"/>
      <w:lvlText w:val=""/>
      <w:lvlJc w:val="left"/>
      <w:pPr>
        <w:tabs>
          <w:tab w:val="left" w:pos="4347"/>
        </w:tabs>
        <w:ind w:left="4347" w:hanging="420"/>
      </w:pPr>
      <w:rPr>
        <w:rFonts w:hint="default" w:ascii="Wingdings" w:hAnsi="Wingdings"/>
      </w:rPr>
    </w:lvl>
  </w:abstractNum>
  <w:abstractNum w:abstractNumId="15">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55A6183C"/>
    <w:multiLevelType w:val="singleLevel"/>
    <w:tmpl w:val="55A6183C"/>
    <w:lvl w:ilvl="0" w:tentative="0">
      <w:start w:val="1"/>
      <w:numFmt w:val="chineseCounting"/>
      <w:suff w:val="nothing"/>
      <w:lvlText w:val="%1、"/>
      <w:lvlJc w:val="left"/>
    </w:lvl>
  </w:abstractNum>
  <w:abstractNum w:abstractNumId="17">
    <w:nsid w:val="5965F3C0"/>
    <w:multiLevelType w:val="singleLevel"/>
    <w:tmpl w:val="5965F3C0"/>
    <w:lvl w:ilvl="0" w:tentative="0">
      <w:start w:val="1"/>
      <w:numFmt w:val="decimal"/>
      <w:suff w:val="nothing"/>
      <w:lvlText w:val="%1、"/>
      <w:lvlJc w:val="left"/>
    </w:lvl>
  </w:abstractNum>
  <w:abstractNum w:abstractNumId="18">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9">
    <w:nsid w:val="60003D70"/>
    <w:multiLevelType w:val="multilevel"/>
    <w:tmpl w:val="60003D70"/>
    <w:lvl w:ilvl="0" w:tentative="0">
      <w:start w:val="1"/>
      <w:numFmt w:val="decimal"/>
      <w:pStyle w:val="235"/>
      <w:lvlText w:val="%1."/>
      <w:lvlJc w:val="left"/>
      <w:pPr>
        <w:tabs>
          <w:tab w:val="left" w:pos="0"/>
        </w:tabs>
        <w:ind w:left="425" w:hanging="425"/>
      </w:pPr>
      <w:rPr>
        <w:rFonts w:hint="eastAsia" w:cs="Times New Roman"/>
      </w:rPr>
    </w:lvl>
    <w:lvl w:ilvl="1" w:tentative="0">
      <w:start w:val="1"/>
      <w:numFmt w:val="decimal"/>
      <w:lvlText w:val="%1.%2."/>
      <w:lvlJc w:val="left"/>
      <w:pPr>
        <w:tabs>
          <w:tab w:val="left" w:pos="454"/>
        </w:tabs>
        <w:ind w:left="567" w:hanging="567"/>
      </w:pPr>
      <w:rPr>
        <w:rFonts w:hint="eastAsia" w:cs="Times New Roman"/>
      </w:rPr>
    </w:lvl>
    <w:lvl w:ilvl="2" w:tentative="0">
      <w:start w:val="1"/>
      <w:numFmt w:val="decimal"/>
      <w:lvlText w:val="%1.%2.%3."/>
      <w:lvlJc w:val="left"/>
      <w:pPr>
        <w:tabs>
          <w:tab w:val="left" w:pos="737"/>
        </w:tabs>
        <w:ind w:left="709" w:hanging="709"/>
      </w:pPr>
      <w:rPr>
        <w:rFonts w:hint="eastAsia"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20">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21">
    <w:nsid w:val="6A4D654B"/>
    <w:multiLevelType w:val="singleLevel"/>
    <w:tmpl w:val="6A4D654B"/>
    <w:lvl w:ilvl="0" w:tentative="0">
      <w:start w:val="1"/>
      <w:numFmt w:val="bullet"/>
      <w:pStyle w:val="164"/>
      <w:lvlText w:val=""/>
      <w:lvlJc w:val="left"/>
      <w:pPr>
        <w:tabs>
          <w:tab w:val="left" w:pos="425"/>
        </w:tabs>
        <w:ind w:left="425" w:hanging="425"/>
      </w:pPr>
      <w:rPr>
        <w:rFonts w:hint="default" w:ascii="Wingdings" w:hAnsi="Wingdings"/>
      </w:rPr>
    </w:lvl>
  </w:abstractNum>
  <w:abstractNum w:abstractNumId="22">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8"/>
  </w:num>
  <w:num w:numId="2">
    <w:abstractNumId w:val="21"/>
  </w:num>
  <w:num w:numId="3">
    <w:abstractNumId w:val="4"/>
  </w:num>
  <w:num w:numId="4">
    <w:abstractNumId w:val="3"/>
  </w:num>
  <w:num w:numId="5">
    <w:abstractNumId w:val="1"/>
  </w:num>
  <w:num w:numId="6">
    <w:abstractNumId w:val="11"/>
  </w:num>
  <w:num w:numId="7">
    <w:abstractNumId w:val="10"/>
  </w:num>
  <w:num w:numId="8">
    <w:abstractNumId w:val="7"/>
  </w:num>
  <w:num w:numId="9">
    <w:abstractNumId w:val="12"/>
  </w:num>
  <w:num w:numId="10">
    <w:abstractNumId w:val="5"/>
  </w:num>
  <w:num w:numId="11">
    <w:abstractNumId w:val="2"/>
  </w:num>
  <w:num w:numId="12">
    <w:abstractNumId w:val="19"/>
  </w:num>
  <w:num w:numId="13">
    <w:abstractNumId w:val="9"/>
  </w:num>
  <w:num w:numId="14">
    <w:abstractNumId w:val="14"/>
  </w:num>
  <w:num w:numId="15">
    <w:abstractNumId w:val="16"/>
  </w:num>
  <w:num w:numId="16">
    <w:abstractNumId w:val="22"/>
  </w:num>
  <w:num w:numId="17">
    <w:abstractNumId w:val="6"/>
  </w:num>
  <w:num w:numId="18">
    <w:abstractNumId w:val="15"/>
  </w:num>
  <w:num w:numId="19">
    <w:abstractNumId w:val="17"/>
  </w:num>
  <w:num w:numId="20">
    <w:abstractNumId w:val="0"/>
  </w:num>
  <w:num w:numId="21">
    <w:abstractNumId w:val="20"/>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00172A27"/>
    <w:rsid w:val="0001010A"/>
    <w:rsid w:val="00011D52"/>
    <w:rsid w:val="00014BA3"/>
    <w:rsid w:val="00016C68"/>
    <w:rsid w:val="0001720B"/>
    <w:rsid w:val="00017210"/>
    <w:rsid w:val="000206FE"/>
    <w:rsid w:val="00023381"/>
    <w:rsid w:val="00023E5C"/>
    <w:rsid w:val="00023E6B"/>
    <w:rsid w:val="00024729"/>
    <w:rsid w:val="0003019C"/>
    <w:rsid w:val="00030FD9"/>
    <w:rsid w:val="000324AF"/>
    <w:rsid w:val="00034203"/>
    <w:rsid w:val="00035B0C"/>
    <w:rsid w:val="00035C3A"/>
    <w:rsid w:val="000364FC"/>
    <w:rsid w:val="00040821"/>
    <w:rsid w:val="000443FA"/>
    <w:rsid w:val="00045BB2"/>
    <w:rsid w:val="0004746E"/>
    <w:rsid w:val="000474F3"/>
    <w:rsid w:val="00051256"/>
    <w:rsid w:val="00056EB2"/>
    <w:rsid w:val="00057159"/>
    <w:rsid w:val="0006205F"/>
    <w:rsid w:val="00064C6A"/>
    <w:rsid w:val="00065BB9"/>
    <w:rsid w:val="000661C5"/>
    <w:rsid w:val="00071E89"/>
    <w:rsid w:val="000745EE"/>
    <w:rsid w:val="00082EED"/>
    <w:rsid w:val="00082FDF"/>
    <w:rsid w:val="00084D0D"/>
    <w:rsid w:val="00096331"/>
    <w:rsid w:val="000A0419"/>
    <w:rsid w:val="000A13CC"/>
    <w:rsid w:val="000A1419"/>
    <w:rsid w:val="000A23FD"/>
    <w:rsid w:val="000A2E5F"/>
    <w:rsid w:val="000A3CB2"/>
    <w:rsid w:val="000B7763"/>
    <w:rsid w:val="000C3FD1"/>
    <w:rsid w:val="000C5151"/>
    <w:rsid w:val="000C528D"/>
    <w:rsid w:val="000C5C7C"/>
    <w:rsid w:val="000C6369"/>
    <w:rsid w:val="000C6B23"/>
    <w:rsid w:val="000D2BBC"/>
    <w:rsid w:val="000D74F5"/>
    <w:rsid w:val="000D75C2"/>
    <w:rsid w:val="000E1E35"/>
    <w:rsid w:val="000F0287"/>
    <w:rsid w:val="000F06E5"/>
    <w:rsid w:val="000F2232"/>
    <w:rsid w:val="000F3C3C"/>
    <w:rsid w:val="000F3CB2"/>
    <w:rsid w:val="000F6A89"/>
    <w:rsid w:val="0010132F"/>
    <w:rsid w:val="001027DE"/>
    <w:rsid w:val="00102D4C"/>
    <w:rsid w:val="00105341"/>
    <w:rsid w:val="001106E0"/>
    <w:rsid w:val="0011085D"/>
    <w:rsid w:val="00110F3E"/>
    <w:rsid w:val="0011138D"/>
    <w:rsid w:val="0011148B"/>
    <w:rsid w:val="00111970"/>
    <w:rsid w:val="0011345E"/>
    <w:rsid w:val="001140F1"/>
    <w:rsid w:val="00116D66"/>
    <w:rsid w:val="00116F98"/>
    <w:rsid w:val="00117355"/>
    <w:rsid w:val="00120979"/>
    <w:rsid w:val="0012426B"/>
    <w:rsid w:val="00125732"/>
    <w:rsid w:val="001265D5"/>
    <w:rsid w:val="0013083C"/>
    <w:rsid w:val="00130887"/>
    <w:rsid w:val="00132209"/>
    <w:rsid w:val="00132585"/>
    <w:rsid w:val="00134090"/>
    <w:rsid w:val="001431AA"/>
    <w:rsid w:val="00145E9F"/>
    <w:rsid w:val="00146421"/>
    <w:rsid w:val="0014782C"/>
    <w:rsid w:val="00150B43"/>
    <w:rsid w:val="00151A4B"/>
    <w:rsid w:val="00152407"/>
    <w:rsid w:val="00160BA7"/>
    <w:rsid w:val="00171838"/>
    <w:rsid w:val="00171A59"/>
    <w:rsid w:val="00172A27"/>
    <w:rsid w:val="00172EF7"/>
    <w:rsid w:val="00173729"/>
    <w:rsid w:val="0017562F"/>
    <w:rsid w:val="001813E7"/>
    <w:rsid w:val="00183838"/>
    <w:rsid w:val="0018456F"/>
    <w:rsid w:val="0018514F"/>
    <w:rsid w:val="001901C5"/>
    <w:rsid w:val="001908BD"/>
    <w:rsid w:val="00192513"/>
    <w:rsid w:val="00196C01"/>
    <w:rsid w:val="00196F04"/>
    <w:rsid w:val="001A2CBF"/>
    <w:rsid w:val="001A5207"/>
    <w:rsid w:val="001B0728"/>
    <w:rsid w:val="001B0AB3"/>
    <w:rsid w:val="001B4717"/>
    <w:rsid w:val="001B6FA1"/>
    <w:rsid w:val="001C049C"/>
    <w:rsid w:val="001C06B1"/>
    <w:rsid w:val="001C67AF"/>
    <w:rsid w:val="001C6E67"/>
    <w:rsid w:val="001D2226"/>
    <w:rsid w:val="001D4503"/>
    <w:rsid w:val="001D4656"/>
    <w:rsid w:val="001D7CD0"/>
    <w:rsid w:val="001E01FD"/>
    <w:rsid w:val="001E3EC9"/>
    <w:rsid w:val="001E50B9"/>
    <w:rsid w:val="001E6DA4"/>
    <w:rsid w:val="001F016B"/>
    <w:rsid w:val="001F3AE6"/>
    <w:rsid w:val="00212736"/>
    <w:rsid w:val="00216C20"/>
    <w:rsid w:val="00217593"/>
    <w:rsid w:val="002216B7"/>
    <w:rsid w:val="0022240F"/>
    <w:rsid w:val="00224725"/>
    <w:rsid w:val="002258E8"/>
    <w:rsid w:val="00230F7D"/>
    <w:rsid w:val="00233FC6"/>
    <w:rsid w:val="00235335"/>
    <w:rsid w:val="002369EC"/>
    <w:rsid w:val="00240F19"/>
    <w:rsid w:val="00246B73"/>
    <w:rsid w:val="00251A41"/>
    <w:rsid w:val="00253880"/>
    <w:rsid w:val="00263A98"/>
    <w:rsid w:val="00266CCB"/>
    <w:rsid w:val="00270984"/>
    <w:rsid w:val="00270C5F"/>
    <w:rsid w:val="00276613"/>
    <w:rsid w:val="002803DD"/>
    <w:rsid w:val="0028145D"/>
    <w:rsid w:val="002844C7"/>
    <w:rsid w:val="00292C15"/>
    <w:rsid w:val="00295EA8"/>
    <w:rsid w:val="00297F32"/>
    <w:rsid w:val="002A2BAD"/>
    <w:rsid w:val="002A3165"/>
    <w:rsid w:val="002A4C8F"/>
    <w:rsid w:val="002B1158"/>
    <w:rsid w:val="002B3FBA"/>
    <w:rsid w:val="002B610E"/>
    <w:rsid w:val="002C1C7D"/>
    <w:rsid w:val="002C3374"/>
    <w:rsid w:val="002C39A7"/>
    <w:rsid w:val="002C3FDE"/>
    <w:rsid w:val="002C5C25"/>
    <w:rsid w:val="002D1669"/>
    <w:rsid w:val="002D4699"/>
    <w:rsid w:val="002D5D76"/>
    <w:rsid w:val="002D5E86"/>
    <w:rsid w:val="002E27C8"/>
    <w:rsid w:val="002E3EBC"/>
    <w:rsid w:val="002E78D8"/>
    <w:rsid w:val="002F1B0F"/>
    <w:rsid w:val="00302247"/>
    <w:rsid w:val="0030427E"/>
    <w:rsid w:val="003054C3"/>
    <w:rsid w:val="0030692F"/>
    <w:rsid w:val="0030740E"/>
    <w:rsid w:val="003170BC"/>
    <w:rsid w:val="0033155A"/>
    <w:rsid w:val="003357E4"/>
    <w:rsid w:val="003442DA"/>
    <w:rsid w:val="003450CE"/>
    <w:rsid w:val="003509FF"/>
    <w:rsid w:val="00352E08"/>
    <w:rsid w:val="00355D38"/>
    <w:rsid w:val="00360BC2"/>
    <w:rsid w:val="00360D7B"/>
    <w:rsid w:val="0036240B"/>
    <w:rsid w:val="0036447C"/>
    <w:rsid w:val="00372E08"/>
    <w:rsid w:val="003747D1"/>
    <w:rsid w:val="00385DC1"/>
    <w:rsid w:val="003910BB"/>
    <w:rsid w:val="00392599"/>
    <w:rsid w:val="003957EA"/>
    <w:rsid w:val="0039623B"/>
    <w:rsid w:val="00396738"/>
    <w:rsid w:val="003A05F9"/>
    <w:rsid w:val="003A2B36"/>
    <w:rsid w:val="003A3EEC"/>
    <w:rsid w:val="003A4635"/>
    <w:rsid w:val="003A4B12"/>
    <w:rsid w:val="003A4EEB"/>
    <w:rsid w:val="003A62FC"/>
    <w:rsid w:val="003B1874"/>
    <w:rsid w:val="003B28D1"/>
    <w:rsid w:val="003B3BC3"/>
    <w:rsid w:val="003B5F80"/>
    <w:rsid w:val="003C2790"/>
    <w:rsid w:val="003C33C6"/>
    <w:rsid w:val="003C7DFF"/>
    <w:rsid w:val="003D0978"/>
    <w:rsid w:val="003D126D"/>
    <w:rsid w:val="003D2E3A"/>
    <w:rsid w:val="003D3697"/>
    <w:rsid w:val="003D49D9"/>
    <w:rsid w:val="003D641C"/>
    <w:rsid w:val="003D721D"/>
    <w:rsid w:val="003E7901"/>
    <w:rsid w:val="003F2C3F"/>
    <w:rsid w:val="003F394B"/>
    <w:rsid w:val="003F5E49"/>
    <w:rsid w:val="00405499"/>
    <w:rsid w:val="00406719"/>
    <w:rsid w:val="004067C7"/>
    <w:rsid w:val="004068D8"/>
    <w:rsid w:val="00406FB0"/>
    <w:rsid w:val="00407B89"/>
    <w:rsid w:val="00411597"/>
    <w:rsid w:val="00432EA4"/>
    <w:rsid w:val="00434537"/>
    <w:rsid w:val="00436356"/>
    <w:rsid w:val="004366DD"/>
    <w:rsid w:val="004415AD"/>
    <w:rsid w:val="00446F01"/>
    <w:rsid w:val="00447584"/>
    <w:rsid w:val="00450765"/>
    <w:rsid w:val="004538E4"/>
    <w:rsid w:val="00453B37"/>
    <w:rsid w:val="00461014"/>
    <w:rsid w:val="0046644B"/>
    <w:rsid w:val="00466460"/>
    <w:rsid w:val="004671D5"/>
    <w:rsid w:val="00472078"/>
    <w:rsid w:val="00472333"/>
    <w:rsid w:val="0047378E"/>
    <w:rsid w:val="00475359"/>
    <w:rsid w:val="0047736B"/>
    <w:rsid w:val="00481AB2"/>
    <w:rsid w:val="004829F6"/>
    <w:rsid w:val="00486AA9"/>
    <w:rsid w:val="00487DEF"/>
    <w:rsid w:val="00490498"/>
    <w:rsid w:val="0049184D"/>
    <w:rsid w:val="00494CD2"/>
    <w:rsid w:val="004956A9"/>
    <w:rsid w:val="00496BF9"/>
    <w:rsid w:val="00497035"/>
    <w:rsid w:val="004A0814"/>
    <w:rsid w:val="004A1EF8"/>
    <w:rsid w:val="004A38AA"/>
    <w:rsid w:val="004A3E27"/>
    <w:rsid w:val="004A595F"/>
    <w:rsid w:val="004B7110"/>
    <w:rsid w:val="004C2438"/>
    <w:rsid w:val="004C344B"/>
    <w:rsid w:val="004D2597"/>
    <w:rsid w:val="004D3275"/>
    <w:rsid w:val="004D47C7"/>
    <w:rsid w:val="004D4F01"/>
    <w:rsid w:val="004D7771"/>
    <w:rsid w:val="004E0184"/>
    <w:rsid w:val="004E100E"/>
    <w:rsid w:val="004E1D67"/>
    <w:rsid w:val="004E4CAC"/>
    <w:rsid w:val="004E550A"/>
    <w:rsid w:val="004E6248"/>
    <w:rsid w:val="004F08C1"/>
    <w:rsid w:val="004F0D24"/>
    <w:rsid w:val="004F1223"/>
    <w:rsid w:val="004F271F"/>
    <w:rsid w:val="004F2EF1"/>
    <w:rsid w:val="004F5DC0"/>
    <w:rsid w:val="004F6878"/>
    <w:rsid w:val="004F6B01"/>
    <w:rsid w:val="004F761C"/>
    <w:rsid w:val="0050406B"/>
    <w:rsid w:val="00504A38"/>
    <w:rsid w:val="005105DC"/>
    <w:rsid w:val="00511923"/>
    <w:rsid w:val="0051352C"/>
    <w:rsid w:val="005147DA"/>
    <w:rsid w:val="0051749F"/>
    <w:rsid w:val="005218F2"/>
    <w:rsid w:val="005237FA"/>
    <w:rsid w:val="00525330"/>
    <w:rsid w:val="00526241"/>
    <w:rsid w:val="00526F17"/>
    <w:rsid w:val="00527D75"/>
    <w:rsid w:val="00532909"/>
    <w:rsid w:val="0054000E"/>
    <w:rsid w:val="0054174B"/>
    <w:rsid w:val="00544AD4"/>
    <w:rsid w:val="005503AC"/>
    <w:rsid w:val="00550729"/>
    <w:rsid w:val="00550CC2"/>
    <w:rsid w:val="00556FB8"/>
    <w:rsid w:val="005576AB"/>
    <w:rsid w:val="00563740"/>
    <w:rsid w:val="005655D0"/>
    <w:rsid w:val="00570819"/>
    <w:rsid w:val="00573433"/>
    <w:rsid w:val="0057571E"/>
    <w:rsid w:val="005877F9"/>
    <w:rsid w:val="00594EE5"/>
    <w:rsid w:val="005A29D7"/>
    <w:rsid w:val="005A4D60"/>
    <w:rsid w:val="005B0A62"/>
    <w:rsid w:val="005B53FF"/>
    <w:rsid w:val="005B56B3"/>
    <w:rsid w:val="005B6204"/>
    <w:rsid w:val="005C0083"/>
    <w:rsid w:val="005C1D51"/>
    <w:rsid w:val="005C1DA2"/>
    <w:rsid w:val="005C2F41"/>
    <w:rsid w:val="005C575D"/>
    <w:rsid w:val="005C6FF2"/>
    <w:rsid w:val="005D767F"/>
    <w:rsid w:val="005E0971"/>
    <w:rsid w:val="005F2D60"/>
    <w:rsid w:val="006000C2"/>
    <w:rsid w:val="006018E9"/>
    <w:rsid w:val="00610B1D"/>
    <w:rsid w:val="006113C0"/>
    <w:rsid w:val="006159B3"/>
    <w:rsid w:val="006268A5"/>
    <w:rsid w:val="00630A57"/>
    <w:rsid w:val="00631AFB"/>
    <w:rsid w:val="006327AA"/>
    <w:rsid w:val="00632C38"/>
    <w:rsid w:val="006352CB"/>
    <w:rsid w:val="00635C7B"/>
    <w:rsid w:val="0064021E"/>
    <w:rsid w:val="00642D94"/>
    <w:rsid w:val="00646E75"/>
    <w:rsid w:val="006504B7"/>
    <w:rsid w:val="006525E1"/>
    <w:rsid w:val="00657A3E"/>
    <w:rsid w:val="0066090C"/>
    <w:rsid w:val="006624E2"/>
    <w:rsid w:val="00663211"/>
    <w:rsid w:val="006641F8"/>
    <w:rsid w:val="00673F7F"/>
    <w:rsid w:val="0067760D"/>
    <w:rsid w:val="00685BEB"/>
    <w:rsid w:val="00685C24"/>
    <w:rsid w:val="006934D9"/>
    <w:rsid w:val="00697090"/>
    <w:rsid w:val="006978A3"/>
    <w:rsid w:val="006A1A8E"/>
    <w:rsid w:val="006A1C29"/>
    <w:rsid w:val="006A1E3F"/>
    <w:rsid w:val="006A2C4E"/>
    <w:rsid w:val="006B04A8"/>
    <w:rsid w:val="006B7163"/>
    <w:rsid w:val="006B7953"/>
    <w:rsid w:val="006C321B"/>
    <w:rsid w:val="006D28BC"/>
    <w:rsid w:val="006E0637"/>
    <w:rsid w:val="006E1F93"/>
    <w:rsid w:val="006E2726"/>
    <w:rsid w:val="006E299F"/>
    <w:rsid w:val="006E3C37"/>
    <w:rsid w:val="006E3FA5"/>
    <w:rsid w:val="006E7F22"/>
    <w:rsid w:val="006F7FC7"/>
    <w:rsid w:val="007032AC"/>
    <w:rsid w:val="00705001"/>
    <w:rsid w:val="00706AC6"/>
    <w:rsid w:val="0071120D"/>
    <w:rsid w:val="007112A6"/>
    <w:rsid w:val="007129EB"/>
    <w:rsid w:val="00727822"/>
    <w:rsid w:val="00727C3F"/>
    <w:rsid w:val="00730ECB"/>
    <w:rsid w:val="00730FA2"/>
    <w:rsid w:val="00732A00"/>
    <w:rsid w:val="00733D56"/>
    <w:rsid w:val="0073517E"/>
    <w:rsid w:val="00740140"/>
    <w:rsid w:val="00742242"/>
    <w:rsid w:val="007502E0"/>
    <w:rsid w:val="007506B2"/>
    <w:rsid w:val="00763E1B"/>
    <w:rsid w:val="00766EB4"/>
    <w:rsid w:val="0077168F"/>
    <w:rsid w:val="007742FC"/>
    <w:rsid w:val="007859F6"/>
    <w:rsid w:val="00786F55"/>
    <w:rsid w:val="00790F6F"/>
    <w:rsid w:val="00792AF3"/>
    <w:rsid w:val="00794531"/>
    <w:rsid w:val="00797C7F"/>
    <w:rsid w:val="007A5E59"/>
    <w:rsid w:val="007B0CCD"/>
    <w:rsid w:val="007B37F3"/>
    <w:rsid w:val="007B5C4B"/>
    <w:rsid w:val="007C16D2"/>
    <w:rsid w:val="007C1B7A"/>
    <w:rsid w:val="007C2BA2"/>
    <w:rsid w:val="007C496C"/>
    <w:rsid w:val="007C5A09"/>
    <w:rsid w:val="007C5DD0"/>
    <w:rsid w:val="007C65FA"/>
    <w:rsid w:val="007C707E"/>
    <w:rsid w:val="007D4EB7"/>
    <w:rsid w:val="007D6303"/>
    <w:rsid w:val="007E14E0"/>
    <w:rsid w:val="007E22CC"/>
    <w:rsid w:val="007E373D"/>
    <w:rsid w:val="007F12EA"/>
    <w:rsid w:val="007F66A7"/>
    <w:rsid w:val="008010EF"/>
    <w:rsid w:val="00803DF3"/>
    <w:rsid w:val="00804BB7"/>
    <w:rsid w:val="00805A02"/>
    <w:rsid w:val="008075C8"/>
    <w:rsid w:val="00813670"/>
    <w:rsid w:val="00822A55"/>
    <w:rsid w:val="00825325"/>
    <w:rsid w:val="00825C8F"/>
    <w:rsid w:val="00827E96"/>
    <w:rsid w:val="00831DB3"/>
    <w:rsid w:val="00832843"/>
    <w:rsid w:val="00833297"/>
    <w:rsid w:val="00833838"/>
    <w:rsid w:val="00834985"/>
    <w:rsid w:val="00834E96"/>
    <w:rsid w:val="008400C7"/>
    <w:rsid w:val="00841F70"/>
    <w:rsid w:val="00844759"/>
    <w:rsid w:val="00844CD0"/>
    <w:rsid w:val="008506B4"/>
    <w:rsid w:val="008507AF"/>
    <w:rsid w:val="0085165A"/>
    <w:rsid w:val="00851B6D"/>
    <w:rsid w:val="0085222A"/>
    <w:rsid w:val="0085522A"/>
    <w:rsid w:val="0085618A"/>
    <w:rsid w:val="00856E10"/>
    <w:rsid w:val="008672F7"/>
    <w:rsid w:val="008715D6"/>
    <w:rsid w:val="0087184B"/>
    <w:rsid w:val="00871ED8"/>
    <w:rsid w:val="00880552"/>
    <w:rsid w:val="00882777"/>
    <w:rsid w:val="00885868"/>
    <w:rsid w:val="00892B8E"/>
    <w:rsid w:val="0089524A"/>
    <w:rsid w:val="008A1A78"/>
    <w:rsid w:val="008A2306"/>
    <w:rsid w:val="008A637A"/>
    <w:rsid w:val="008B0AF8"/>
    <w:rsid w:val="008B0D6D"/>
    <w:rsid w:val="008B3185"/>
    <w:rsid w:val="008B4409"/>
    <w:rsid w:val="008D0308"/>
    <w:rsid w:val="008D0F72"/>
    <w:rsid w:val="008D1951"/>
    <w:rsid w:val="008D332B"/>
    <w:rsid w:val="008D452B"/>
    <w:rsid w:val="008D65D6"/>
    <w:rsid w:val="008E2184"/>
    <w:rsid w:val="008E7556"/>
    <w:rsid w:val="008F0C97"/>
    <w:rsid w:val="008F3A7F"/>
    <w:rsid w:val="008F402D"/>
    <w:rsid w:val="0090242C"/>
    <w:rsid w:val="00903C30"/>
    <w:rsid w:val="00904A65"/>
    <w:rsid w:val="00907B85"/>
    <w:rsid w:val="00910B38"/>
    <w:rsid w:val="00910BE8"/>
    <w:rsid w:val="00911DCB"/>
    <w:rsid w:val="0091456C"/>
    <w:rsid w:val="00914BFF"/>
    <w:rsid w:val="00920CE5"/>
    <w:rsid w:val="009224D1"/>
    <w:rsid w:val="00923FCB"/>
    <w:rsid w:val="00925C5D"/>
    <w:rsid w:val="009262BB"/>
    <w:rsid w:val="00932DAF"/>
    <w:rsid w:val="00936423"/>
    <w:rsid w:val="0094094B"/>
    <w:rsid w:val="00941390"/>
    <w:rsid w:val="00942876"/>
    <w:rsid w:val="009449CA"/>
    <w:rsid w:val="009514B3"/>
    <w:rsid w:val="00952025"/>
    <w:rsid w:val="009539DD"/>
    <w:rsid w:val="00960491"/>
    <w:rsid w:val="00973A09"/>
    <w:rsid w:val="00976DDD"/>
    <w:rsid w:val="0098014A"/>
    <w:rsid w:val="00981B51"/>
    <w:rsid w:val="00987180"/>
    <w:rsid w:val="0098781C"/>
    <w:rsid w:val="00987FCF"/>
    <w:rsid w:val="00990FDD"/>
    <w:rsid w:val="00993A17"/>
    <w:rsid w:val="00993D1E"/>
    <w:rsid w:val="00994E48"/>
    <w:rsid w:val="009951A3"/>
    <w:rsid w:val="00996250"/>
    <w:rsid w:val="009A0061"/>
    <w:rsid w:val="009A258D"/>
    <w:rsid w:val="009A35E2"/>
    <w:rsid w:val="009A40E2"/>
    <w:rsid w:val="009A57C5"/>
    <w:rsid w:val="009A666F"/>
    <w:rsid w:val="009B0C3C"/>
    <w:rsid w:val="009B2365"/>
    <w:rsid w:val="009B2F30"/>
    <w:rsid w:val="009B4096"/>
    <w:rsid w:val="009B444E"/>
    <w:rsid w:val="009B45DD"/>
    <w:rsid w:val="009B6C78"/>
    <w:rsid w:val="009C0566"/>
    <w:rsid w:val="009C37FF"/>
    <w:rsid w:val="009C5055"/>
    <w:rsid w:val="009D16D7"/>
    <w:rsid w:val="009D195D"/>
    <w:rsid w:val="009D1FA8"/>
    <w:rsid w:val="009D33D3"/>
    <w:rsid w:val="009D5F7C"/>
    <w:rsid w:val="009D669D"/>
    <w:rsid w:val="009E1373"/>
    <w:rsid w:val="009E7213"/>
    <w:rsid w:val="009E7BA4"/>
    <w:rsid w:val="009F0505"/>
    <w:rsid w:val="009F24A3"/>
    <w:rsid w:val="009F277E"/>
    <w:rsid w:val="009F2A31"/>
    <w:rsid w:val="009F770E"/>
    <w:rsid w:val="00A03102"/>
    <w:rsid w:val="00A07C87"/>
    <w:rsid w:val="00A158CF"/>
    <w:rsid w:val="00A206C4"/>
    <w:rsid w:val="00A20AC2"/>
    <w:rsid w:val="00A21BB4"/>
    <w:rsid w:val="00A22B31"/>
    <w:rsid w:val="00A24103"/>
    <w:rsid w:val="00A24931"/>
    <w:rsid w:val="00A25233"/>
    <w:rsid w:val="00A25C7C"/>
    <w:rsid w:val="00A261E7"/>
    <w:rsid w:val="00A316DA"/>
    <w:rsid w:val="00A3406F"/>
    <w:rsid w:val="00A37295"/>
    <w:rsid w:val="00A4100C"/>
    <w:rsid w:val="00A416C0"/>
    <w:rsid w:val="00A41D24"/>
    <w:rsid w:val="00A47F9D"/>
    <w:rsid w:val="00A519C0"/>
    <w:rsid w:val="00A55C4B"/>
    <w:rsid w:val="00A60E13"/>
    <w:rsid w:val="00A62860"/>
    <w:rsid w:val="00A66839"/>
    <w:rsid w:val="00A66929"/>
    <w:rsid w:val="00A71659"/>
    <w:rsid w:val="00A76176"/>
    <w:rsid w:val="00A82C12"/>
    <w:rsid w:val="00A907D4"/>
    <w:rsid w:val="00A91B60"/>
    <w:rsid w:val="00A91B9E"/>
    <w:rsid w:val="00A920AA"/>
    <w:rsid w:val="00A92D1C"/>
    <w:rsid w:val="00AA019F"/>
    <w:rsid w:val="00AA384A"/>
    <w:rsid w:val="00AA5B8A"/>
    <w:rsid w:val="00AA6ECF"/>
    <w:rsid w:val="00AC00DF"/>
    <w:rsid w:val="00AC39C2"/>
    <w:rsid w:val="00AC5929"/>
    <w:rsid w:val="00AD0AFB"/>
    <w:rsid w:val="00AE17AB"/>
    <w:rsid w:val="00AE265B"/>
    <w:rsid w:val="00AE62B7"/>
    <w:rsid w:val="00AF4B33"/>
    <w:rsid w:val="00AF4BD1"/>
    <w:rsid w:val="00AF67DF"/>
    <w:rsid w:val="00B007E8"/>
    <w:rsid w:val="00B01828"/>
    <w:rsid w:val="00B031A6"/>
    <w:rsid w:val="00B0605D"/>
    <w:rsid w:val="00B11CA5"/>
    <w:rsid w:val="00B12D1B"/>
    <w:rsid w:val="00B1501B"/>
    <w:rsid w:val="00B171BB"/>
    <w:rsid w:val="00B23E96"/>
    <w:rsid w:val="00B25D23"/>
    <w:rsid w:val="00B25DC6"/>
    <w:rsid w:val="00B30206"/>
    <w:rsid w:val="00B30D3D"/>
    <w:rsid w:val="00B31673"/>
    <w:rsid w:val="00B34F63"/>
    <w:rsid w:val="00B36B63"/>
    <w:rsid w:val="00B42149"/>
    <w:rsid w:val="00B429C0"/>
    <w:rsid w:val="00B42C5E"/>
    <w:rsid w:val="00B458E6"/>
    <w:rsid w:val="00B47EB3"/>
    <w:rsid w:val="00B51100"/>
    <w:rsid w:val="00B51DCA"/>
    <w:rsid w:val="00B645FF"/>
    <w:rsid w:val="00B6567E"/>
    <w:rsid w:val="00B74141"/>
    <w:rsid w:val="00B77472"/>
    <w:rsid w:val="00B81E6A"/>
    <w:rsid w:val="00B837AF"/>
    <w:rsid w:val="00B85B2B"/>
    <w:rsid w:val="00B90B2C"/>
    <w:rsid w:val="00B9117B"/>
    <w:rsid w:val="00B92E74"/>
    <w:rsid w:val="00B93E72"/>
    <w:rsid w:val="00B94E60"/>
    <w:rsid w:val="00B96506"/>
    <w:rsid w:val="00BA04DD"/>
    <w:rsid w:val="00BA0BD7"/>
    <w:rsid w:val="00BA131F"/>
    <w:rsid w:val="00BA2FE3"/>
    <w:rsid w:val="00BA4FF2"/>
    <w:rsid w:val="00BA57FC"/>
    <w:rsid w:val="00BA5BBE"/>
    <w:rsid w:val="00BA5BF3"/>
    <w:rsid w:val="00BB0086"/>
    <w:rsid w:val="00BB1CE9"/>
    <w:rsid w:val="00BB2ABE"/>
    <w:rsid w:val="00BB545A"/>
    <w:rsid w:val="00BB61D6"/>
    <w:rsid w:val="00BC2014"/>
    <w:rsid w:val="00BC7B66"/>
    <w:rsid w:val="00BD593F"/>
    <w:rsid w:val="00BE369A"/>
    <w:rsid w:val="00BF1488"/>
    <w:rsid w:val="00C0560A"/>
    <w:rsid w:val="00C06605"/>
    <w:rsid w:val="00C10AD7"/>
    <w:rsid w:val="00C119A9"/>
    <w:rsid w:val="00C12E4C"/>
    <w:rsid w:val="00C26853"/>
    <w:rsid w:val="00C34FD2"/>
    <w:rsid w:val="00C35A3C"/>
    <w:rsid w:val="00C35D55"/>
    <w:rsid w:val="00C36B05"/>
    <w:rsid w:val="00C410C1"/>
    <w:rsid w:val="00C439C2"/>
    <w:rsid w:val="00C45AB9"/>
    <w:rsid w:val="00C57F20"/>
    <w:rsid w:val="00C623B3"/>
    <w:rsid w:val="00C6383F"/>
    <w:rsid w:val="00C66AAB"/>
    <w:rsid w:val="00C9093B"/>
    <w:rsid w:val="00C944B5"/>
    <w:rsid w:val="00C97E0B"/>
    <w:rsid w:val="00CA0D53"/>
    <w:rsid w:val="00CA1D99"/>
    <w:rsid w:val="00CA512A"/>
    <w:rsid w:val="00CA6749"/>
    <w:rsid w:val="00CB1872"/>
    <w:rsid w:val="00CB586F"/>
    <w:rsid w:val="00CB6CB9"/>
    <w:rsid w:val="00CC1A70"/>
    <w:rsid w:val="00CC5A7E"/>
    <w:rsid w:val="00CD6615"/>
    <w:rsid w:val="00CE25C4"/>
    <w:rsid w:val="00CE2D65"/>
    <w:rsid w:val="00CE473C"/>
    <w:rsid w:val="00CE73A4"/>
    <w:rsid w:val="00CF198E"/>
    <w:rsid w:val="00CF776F"/>
    <w:rsid w:val="00D049D4"/>
    <w:rsid w:val="00D15A2C"/>
    <w:rsid w:val="00D166C6"/>
    <w:rsid w:val="00D20DD7"/>
    <w:rsid w:val="00D24197"/>
    <w:rsid w:val="00D3085D"/>
    <w:rsid w:val="00D31EBC"/>
    <w:rsid w:val="00D44690"/>
    <w:rsid w:val="00D509EA"/>
    <w:rsid w:val="00D51B2F"/>
    <w:rsid w:val="00D56A5A"/>
    <w:rsid w:val="00D57A34"/>
    <w:rsid w:val="00D67C0A"/>
    <w:rsid w:val="00D728D5"/>
    <w:rsid w:val="00D7474B"/>
    <w:rsid w:val="00D74970"/>
    <w:rsid w:val="00D77BCB"/>
    <w:rsid w:val="00D81FA8"/>
    <w:rsid w:val="00D83577"/>
    <w:rsid w:val="00D86C98"/>
    <w:rsid w:val="00D86CAA"/>
    <w:rsid w:val="00D86F6F"/>
    <w:rsid w:val="00D934E6"/>
    <w:rsid w:val="00D937A4"/>
    <w:rsid w:val="00D93B88"/>
    <w:rsid w:val="00D97CDD"/>
    <w:rsid w:val="00DA06CE"/>
    <w:rsid w:val="00DA1CD5"/>
    <w:rsid w:val="00DA4E07"/>
    <w:rsid w:val="00DA574D"/>
    <w:rsid w:val="00DB24B6"/>
    <w:rsid w:val="00DB3F9A"/>
    <w:rsid w:val="00DC1FD6"/>
    <w:rsid w:val="00DC3D78"/>
    <w:rsid w:val="00DC46CD"/>
    <w:rsid w:val="00DD1A56"/>
    <w:rsid w:val="00DD2ABE"/>
    <w:rsid w:val="00DD47AA"/>
    <w:rsid w:val="00DD52BF"/>
    <w:rsid w:val="00DE26B5"/>
    <w:rsid w:val="00DE3295"/>
    <w:rsid w:val="00DE51BC"/>
    <w:rsid w:val="00DE60FF"/>
    <w:rsid w:val="00DE7782"/>
    <w:rsid w:val="00DF213B"/>
    <w:rsid w:val="00DF450A"/>
    <w:rsid w:val="00E0355F"/>
    <w:rsid w:val="00E06F39"/>
    <w:rsid w:val="00E11FA4"/>
    <w:rsid w:val="00E17DFD"/>
    <w:rsid w:val="00E20F91"/>
    <w:rsid w:val="00E21845"/>
    <w:rsid w:val="00E22B2C"/>
    <w:rsid w:val="00E231CE"/>
    <w:rsid w:val="00E31215"/>
    <w:rsid w:val="00E32121"/>
    <w:rsid w:val="00E4052C"/>
    <w:rsid w:val="00E4352F"/>
    <w:rsid w:val="00E449C7"/>
    <w:rsid w:val="00E47218"/>
    <w:rsid w:val="00E53513"/>
    <w:rsid w:val="00E558BA"/>
    <w:rsid w:val="00E62CDD"/>
    <w:rsid w:val="00E66BA2"/>
    <w:rsid w:val="00E7159C"/>
    <w:rsid w:val="00E73F65"/>
    <w:rsid w:val="00E80057"/>
    <w:rsid w:val="00E82DE7"/>
    <w:rsid w:val="00E86992"/>
    <w:rsid w:val="00E9714B"/>
    <w:rsid w:val="00EA2643"/>
    <w:rsid w:val="00EA2F9A"/>
    <w:rsid w:val="00EA5E3C"/>
    <w:rsid w:val="00EA7182"/>
    <w:rsid w:val="00EB7837"/>
    <w:rsid w:val="00ED7826"/>
    <w:rsid w:val="00EE335D"/>
    <w:rsid w:val="00EE4B9D"/>
    <w:rsid w:val="00EE7483"/>
    <w:rsid w:val="00EE797C"/>
    <w:rsid w:val="00EF19F1"/>
    <w:rsid w:val="00EF7E87"/>
    <w:rsid w:val="00F003C5"/>
    <w:rsid w:val="00F00FA1"/>
    <w:rsid w:val="00F044DE"/>
    <w:rsid w:val="00F104C4"/>
    <w:rsid w:val="00F13387"/>
    <w:rsid w:val="00F16D47"/>
    <w:rsid w:val="00F173C7"/>
    <w:rsid w:val="00F22458"/>
    <w:rsid w:val="00F23FC3"/>
    <w:rsid w:val="00F24D34"/>
    <w:rsid w:val="00F2622B"/>
    <w:rsid w:val="00F27A6B"/>
    <w:rsid w:val="00F35902"/>
    <w:rsid w:val="00F36D71"/>
    <w:rsid w:val="00F44E43"/>
    <w:rsid w:val="00F46468"/>
    <w:rsid w:val="00F47C19"/>
    <w:rsid w:val="00F52A44"/>
    <w:rsid w:val="00F55054"/>
    <w:rsid w:val="00F61216"/>
    <w:rsid w:val="00F625BF"/>
    <w:rsid w:val="00F648B0"/>
    <w:rsid w:val="00F64C61"/>
    <w:rsid w:val="00F650B9"/>
    <w:rsid w:val="00F654BD"/>
    <w:rsid w:val="00F6572D"/>
    <w:rsid w:val="00F65FFA"/>
    <w:rsid w:val="00F6667D"/>
    <w:rsid w:val="00F66FF0"/>
    <w:rsid w:val="00F716F6"/>
    <w:rsid w:val="00F733C3"/>
    <w:rsid w:val="00F75B33"/>
    <w:rsid w:val="00F75DF8"/>
    <w:rsid w:val="00F771C4"/>
    <w:rsid w:val="00F832C1"/>
    <w:rsid w:val="00F8418C"/>
    <w:rsid w:val="00F86322"/>
    <w:rsid w:val="00F8666F"/>
    <w:rsid w:val="00F87212"/>
    <w:rsid w:val="00F87619"/>
    <w:rsid w:val="00F912C2"/>
    <w:rsid w:val="00F9458A"/>
    <w:rsid w:val="00F94A2F"/>
    <w:rsid w:val="00F96B48"/>
    <w:rsid w:val="00F97DBF"/>
    <w:rsid w:val="00FA204B"/>
    <w:rsid w:val="00FA27B3"/>
    <w:rsid w:val="00FA2960"/>
    <w:rsid w:val="00FA2E10"/>
    <w:rsid w:val="00FA3D4B"/>
    <w:rsid w:val="00FB0FD4"/>
    <w:rsid w:val="00FB231E"/>
    <w:rsid w:val="00FC0E5A"/>
    <w:rsid w:val="00FC1D89"/>
    <w:rsid w:val="00FC5B33"/>
    <w:rsid w:val="00FC5BCF"/>
    <w:rsid w:val="00FD4708"/>
    <w:rsid w:val="00FD72D3"/>
    <w:rsid w:val="00FD7868"/>
    <w:rsid w:val="00FE0211"/>
    <w:rsid w:val="00FE27B6"/>
    <w:rsid w:val="00FE52F5"/>
    <w:rsid w:val="00FE7640"/>
    <w:rsid w:val="00FF30AE"/>
    <w:rsid w:val="00FF388D"/>
    <w:rsid w:val="00FF64FF"/>
    <w:rsid w:val="00FF6911"/>
    <w:rsid w:val="010D7994"/>
    <w:rsid w:val="01434DA4"/>
    <w:rsid w:val="014464B6"/>
    <w:rsid w:val="01B02CBE"/>
    <w:rsid w:val="028D0285"/>
    <w:rsid w:val="02924A45"/>
    <w:rsid w:val="029D7FF6"/>
    <w:rsid w:val="02EE11A6"/>
    <w:rsid w:val="0374190F"/>
    <w:rsid w:val="03A90D48"/>
    <w:rsid w:val="03BB3AF7"/>
    <w:rsid w:val="03D7310D"/>
    <w:rsid w:val="03DD1344"/>
    <w:rsid w:val="0462177B"/>
    <w:rsid w:val="04840278"/>
    <w:rsid w:val="048506FC"/>
    <w:rsid w:val="04F11495"/>
    <w:rsid w:val="051F4B71"/>
    <w:rsid w:val="05F27E48"/>
    <w:rsid w:val="06057470"/>
    <w:rsid w:val="06C46FE0"/>
    <w:rsid w:val="06E93F77"/>
    <w:rsid w:val="06F86E8F"/>
    <w:rsid w:val="07211600"/>
    <w:rsid w:val="075C2A20"/>
    <w:rsid w:val="0850525A"/>
    <w:rsid w:val="0910175E"/>
    <w:rsid w:val="091A3DCB"/>
    <w:rsid w:val="098F7B83"/>
    <w:rsid w:val="09FD4AF1"/>
    <w:rsid w:val="0A293363"/>
    <w:rsid w:val="0A3A4B42"/>
    <w:rsid w:val="0ABC0F79"/>
    <w:rsid w:val="0AFE2A16"/>
    <w:rsid w:val="0B1313E0"/>
    <w:rsid w:val="0C0B6404"/>
    <w:rsid w:val="0C600D3C"/>
    <w:rsid w:val="0C691815"/>
    <w:rsid w:val="0EC47DCF"/>
    <w:rsid w:val="0EC74BA1"/>
    <w:rsid w:val="0FEA4950"/>
    <w:rsid w:val="0FF8289D"/>
    <w:rsid w:val="10160848"/>
    <w:rsid w:val="101705D1"/>
    <w:rsid w:val="107B1737"/>
    <w:rsid w:val="107B612D"/>
    <w:rsid w:val="10C955E0"/>
    <w:rsid w:val="111A5EF1"/>
    <w:rsid w:val="11281799"/>
    <w:rsid w:val="116E0AAA"/>
    <w:rsid w:val="11F66EA2"/>
    <w:rsid w:val="125A2DFC"/>
    <w:rsid w:val="12952765"/>
    <w:rsid w:val="12E83DB2"/>
    <w:rsid w:val="13925347"/>
    <w:rsid w:val="13964464"/>
    <w:rsid w:val="13C048B3"/>
    <w:rsid w:val="141D626D"/>
    <w:rsid w:val="14D86146"/>
    <w:rsid w:val="151C7AD9"/>
    <w:rsid w:val="152711AF"/>
    <w:rsid w:val="163343CE"/>
    <w:rsid w:val="16730E1A"/>
    <w:rsid w:val="16B4161D"/>
    <w:rsid w:val="17EE1633"/>
    <w:rsid w:val="182F6B87"/>
    <w:rsid w:val="18751706"/>
    <w:rsid w:val="18C16569"/>
    <w:rsid w:val="1A233822"/>
    <w:rsid w:val="1B1C1703"/>
    <w:rsid w:val="1BD82CB1"/>
    <w:rsid w:val="1C012AB6"/>
    <w:rsid w:val="1C8D6231"/>
    <w:rsid w:val="1CD970A4"/>
    <w:rsid w:val="1D2362F7"/>
    <w:rsid w:val="1D596433"/>
    <w:rsid w:val="1FC5387F"/>
    <w:rsid w:val="1FCB584F"/>
    <w:rsid w:val="202205CA"/>
    <w:rsid w:val="20264041"/>
    <w:rsid w:val="20431B77"/>
    <w:rsid w:val="21832B80"/>
    <w:rsid w:val="21A65C9C"/>
    <w:rsid w:val="21E93C53"/>
    <w:rsid w:val="22797810"/>
    <w:rsid w:val="22FF0C0F"/>
    <w:rsid w:val="23034D16"/>
    <w:rsid w:val="231E790E"/>
    <w:rsid w:val="232E3E16"/>
    <w:rsid w:val="23B83EFF"/>
    <w:rsid w:val="23DB7293"/>
    <w:rsid w:val="24067570"/>
    <w:rsid w:val="24222EF7"/>
    <w:rsid w:val="24814B0B"/>
    <w:rsid w:val="251C18D0"/>
    <w:rsid w:val="25DF2C7E"/>
    <w:rsid w:val="25F14A56"/>
    <w:rsid w:val="26A540AE"/>
    <w:rsid w:val="26F0776A"/>
    <w:rsid w:val="27AD675F"/>
    <w:rsid w:val="27CA58C7"/>
    <w:rsid w:val="27FB2677"/>
    <w:rsid w:val="28AF6216"/>
    <w:rsid w:val="28D624CD"/>
    <w:rsid w:val="2A250D08"/>
    <w:rsid w:val="2A3A4E42"/>
    <w:rsid w:val="2A8245D0"/>
    <w:rsid w:val="2A8744FF"/>
    <w:rsid w:val="2A8869A1"/>
    <w:rsid w:val="2B9816D5"/>
    <w:rsid w:val="2C0F3849"/>
    <w:rsid w:val="2C996B48"/>
    <w:rsid w:val="2CE83D59"/>
    <w:rsid w:val="2DE53AA2"/>
    <w:rsid w:val="2E2451EA"/>
    <w:rsid w:val="2E2D17C1"/>
    <w:rsid w:val="2E33667B"/>
    <w:rsid w:val="2E745684"/>
    <w:rsid w:val="2E851DBC"/>
    <w:rsid w:val="2F160F0C"/>
    <w:rsid w:val="2FC71EE2"/>
    <w:rsid w:val="30F4588D"/>
    <w:rsid w:val="31B20316"/>
    <w:rsid w:val="31B93060"/>
    <w:rsid w:val="31D266B5"/>
    <w:rsid w:val="32A04A49"/>
    <w:rsid w:val="32DE1872"/>
    <w:rsid w:val="33030D07"/>
    <w:rsid w:val="33876951"/>
    <w:rsid w:val="33D943B2"/>
    <w:rsid w:val="33F51791"/>
    <w:rsid w:val="344D2A69"/>
    <w:rsid w:val="35271602"/>
    <w:rsid w:val="358A2CA9"/>
    <w:rsid w:val="358B2F7D"/>
    <w:rsid w:val="35A775F0"/>
    <w:rsid w:val="3617216E"/>
    <w:rsid w:val="36456541"/>
    <w:rsid w:val="36F36922"/>
    <w:rsid w:val="36FC0D50"/>
    <w:rsid w:val="371E6061"/>
    <w:rsid w:val="37354623"/>
    <w:rsid w:val="37B77977"/>
    <w:rsid w:val="37CD64F1"/>
    <w:rsid w:val="388A6A72"/>
    <w:rsid w:val="38B9198D"/>
    <w:rsid w:val="391B3AAE"/>
    <w:rsid w:val="39E94B19"/>
    <w:rsid w:val="39EC607B"/>
    <w:rsid w:val="3A467DFE"/>
    <w:rsid w:val="3A6042C3"/>
    <w:rsid w:val="3A926E11"/>
    <w:rsid w:val="3ACE6772"/>
    <w:rsid w:val="3B543AED"/>
    <w:rsid w:val="3B6632C4"/>
    <w:rsid w:val="3C0500A1"/>
    <w:rsid w:val="3C11560C"/>
    <w:rsid w:val="3C4A7C00"/>
    <w:rsid w:val="3CA84B31"/>
    <w:rsid w:val="3CBC3F22"/>
    <w:rsid w:val="3D3F548F"/>
    <w:rsid w:val="3D874119"/>
    <w:rsid w:val="3D897A42"/>
    <w:rsid w:val="3DE00E44"/>
    <w:rsid w:val="3E635A43"/>
    <w:rsid w:val="3ED25662"/>
    <w:rsid w:val="3FFA3ACF"/>
    <w:rsid w:val="40D05757"/>
    <w:rsid w:val="426C30C3"/>
    <w:rsid w:val="432A06EE"/>
    <w:rsid w:val="434C241E"/>
    <w:rsid w:val="43B049A8"/>
    <w:rsid w:val="440E5016"/>
    <w:rsid w:val="441E413A"/>
    <w:rsid w:val="4425161D"/>
    <w:rsid w:val="44AA61BA"/>
    <w:rsid w:val="45954899"/>
    <w:rsid w:val="45D15871"/>
    <w:rsid w:val="460011D9"/>
    <w:rsid w:val="46151841"/>
    <w:rsid w:val="46B9473E"/>
    <w:rsid w:val="46C92DEB"/>
    <w:rsid w:val="47506DD9"/>
    <w:rsid w:val="47B63AD8"/>
    <w:rsid w:val="47CB20D7"/>
    <w:rsid w:val="48C53353"/>
    <w:rsid w:val="490EEC46"/>
    <w:rsid w:val="499F113F"/>
    <w:rsid w:val="49C201EA"/>
    <w:rsid w:val="4A7658A1"/>
    <w:rsid w:val="4A930559"/>
    <w:rsid w:val="4ABE074A"/>
    <w:rsid w:val="4AF11947"/>
    <w:rsid w:val="4C3D0B17"/>
    <w:rsid w:val="4CAA5E5A"/>
    <w:rsid w:val="4CB84237"/>
    <w:rsid w:val="4D635047"/>
    <w:rsid w:val="4EFE70E5"/>
    <w:rsid w:val="4F0D6C21"/>
    <w:rsid w:val="4F7F68C9"/>
    <w:rsid w:val="4F865761"/>
    <w:rsid w:val="502D0FC1"/>
    <w:rsid w:val="50AB3C07"/>
    <w:rsid w:val="50AD1FD4"/>
    <w:rsid w:val="50AD7AB7"/>
    <w:rsid w:val="513141DB"/>
    <w:rsid w:val="514B1A5B"/>
    <w:rsid w:val="51A57BB5"/>
    <w:rsid w:val="51AE290A"/>
    <w:rsid w:val="51DC0300"/>
    <w:rsid w:val="51F115A8"/>
    <w:rsid w:val="52C25D1D"/>
    <w:rsid w:val="52E83D65"/>
    <w:rsid w:val="53680ED2"/>
    <w:rsid w:val="53EA5EA8"/>
    <w:rsid w:val="54025A70"/>
    <w:rsid w:val="54F91DF4"/>
    <w:rsid w:val="55036F4A"/>
    <w:rsid w:val="55767677"/>
    <w:rsid w:val="55B43D10"/>
    <w:rsid w:val="564351D9"/>
    <w:rsid w:val="565F3332"/>
    <w:rsid w:val="571275E3"/>
    <w:rsid w:val="57284577"/>
    <w:rsid w:val="575F6862"/>
    <w:rsid w:val="579A6B8C"/>
    <w:rsid w:val="579E2302"/>
    <w:rsid w:val="58381859"/>
    <w:rsid w:val="592D4D3C"/>
    <w:rsid w:val="596C6792"/>
    <w:rsid w:val="5A1C6F97"/>
    <w:rsid w:val="5B5373CC"/>
    <w:rsid w:val="5CC5009E"/>
    <w:rsid w:val="5D207CA0"/>
    <w:rsid w:val="5D386D21"/>
    <w:rsid w:val="5E4A0FA8"/>
    <w:rsid w:val="5EB33735"/>
    <w:rsid w:val="5F2465A9"/>
    <w:rsid w:val="5FE72DDE"/>
    <w:rsid w:val="60415129"/>
    <w:rsid w:val="6085435C"/>
    <w:rsid w:val="60E52C3F"/>
    <w:rsid w:val="610B6736"/>
    <w:rsid w:val="61640321"/>
    <w:rsid w:val="620172C4"/>
    <w:rsid w:val="621238AA"/>
    <w:rsid w:val="62EB1DF1"/>
    <w:rsid w:val="639C5B44"/>
    <w:rsid w:val="63AA7024"/>
    <w:rsid w:val="63DD3176"/>
    <w:rsid w:val="63FB23CA"/>
    <w:rsid w:val="65101F80"/>
    <w:rsid w:val="65651561"/>
    <w:rsid w:val="659974D3"/>
    <w:rsid w:val="65D60F2D"/>
    <w:rsid w:val="66096AAC"/>
    <w:rsid w:val="66D6315C"/>
    <w:rsid w:val="67655645"/>
    <w:rsid w:val="677D1397"/>
    <w:rsid w:val="6A574E1C"/>
    <w:rsid w:val="6B0713F8"/>
    <w:rsid w:val="6B5E50BD"/>
    <w:rsid w:val="6CD64694"/>
    <w:rsid w:val="6DDD37AC"/>
    <w:rsid w:val="6E5A0DC8"/>
    <w:rsid w:val="6E853A0A"/>
    <w:rsid w:val="6EFC00C3"/>
    <w:rsid w:val="6F6C29CE"/>
    <w:rsid w:val="6FC71F70"/>
    <w:rsid w:val="6FF45532"/>
    <w:rsid w:val="70350AEB"/>
    <w:rsid w:val="706A0CA4"/>
    <w:rsid w:val="70CC318C"/>
    <w:rsid w:val="7129018D"/>
    <w:rsid w:val="71A1648C"/>
    <w:rsid w:val="71D9642E"/>
    <w:rsid w:val="7248175F"/>
    <w:rsid w:val="72783A9D"/>
    <w:rsid w:val="72DC2478"/>
    <w:rsid w:val="73F54E2E"/>
    <w:rsid w:val="73F83037"/>
    <w:rsid w:val="741B7D15"/>
    <w:rsid w:val="741C452A"/>
    <w:rsid w:val="742D4EC5"/>
    <w:rsid w:val="74611994"/>
    <w:rsid w:val="74AA4BD9"/>
    <w:rsid w:val="75070C0F"/>
    <w:rsid w:val="75840FA5"/>
    <w:rsid w:val="758B6367"/>
    <w:rsid w:val="75A647CF"/>
    <w:rsid w:val="762A3480"/>
    <w:rsid w:val="76457034"/>
    <w:rsid w:val="769D360A"/>
    <w:rsid w:val="77271987"/>
    <w:rsid w:val="775438F6"/>
    <w:rsid w:val="775E3326"/>
    <w:rsid w:val="77A1080A"/>
    <w:rsid w:val="77F81AC6"/>
    <w:rsid w:val="781E1231"/>
    <w:rsid w:val="7886284B"/>
    <w:rsid w:val="79D46266"/>
    <w:rsid w:val="79D73B46"/>
    <w:rsid w:val="7A1D2383"/>
    <w:rsid w:val="7A332819"/>
    <w:rsid w:val="7A3F4389"/>
    <w:rsid w:val="7A4F3488"/>
    <w:rsid w:val="7A620E6D"/>
    <w:rsid w:val="7AA310A4"/>
    <w:rsid w:val="7AB52966"/>
    <w:rsid w:val="7B4671AA"/>
    <w:rsid w:val="7B5D39EA"/>
    <w:rsid w:val="7B8F6295"/>
    <w:rsid w:val="7BD36D06"/>
    <w:rsid w:val="7C2B1B3E"/>
    <w:rsid w:val="7E315859"/>
    <w:rsid w:val="7E6E47B0"/>
    <w:rsid w:val="7E727ADC"/>
    <w:rsid w:val="7EBB5880"/>
    <w:rsid w:val="7EC25C6D"/>
    <w:rsid w:val="7F8978DB"/>
    <w:rsid w:val="7FC80CA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qFormat="1" w:unhideWhenUsed="0" w:uiPriority="99" w:semiHidden="0" w:name="List Bullet"/>
    <w:lsdException w:uiPriority="99" w:name="List Number"/>
    <w:lsdException w:qFormat="1" w:unhideWhenUsed="0" w:uiPriority="99" w:semiHidden="0" w:name="List 2"/>
    <w:lsdException w:qFormat="1" w:unhideWhenUsed="0" w:uiPriority="99" w:semiHidden="0" w:name="List 3"/>
    <w:lsdException w:uiPriority="99"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uiPriority="99" w:name="List Bullet 4"/>
    <w:lsdException w:uiPriority="99" w:name="List Bullet 5"/>
    <w:lsdException w:uiPriority="99" w:name="List Number 2"/>
    <w:lsdException w:uiPriority="99" w:name="List Number 3"/>
    <w:lsdException w:qFormat="1" w:unhideWhenUsed="0" w:uiPriority="99" w:semiHidden="0"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3"/>
    <w:qFormat/>
    <w:uiPriority w:val="99"/>
    <w:pPr>
      <w:keepNext/>
      <w:keepLines/>
      <w:spacing w:before="340" w:after="330" w:line="576" w:lineRule="auto"/>
      <w:outlineLvl w:val="0"/>
    </w:pPr>
    <w:rPr>
      <w:b/>
      <w:bCs/>
      <w:kern w:val="44"/>
      <w:sz w:val="44"/>
      <w:szCs w:val="44"/>
    </w:rPr>
  </w:style>
  <w:style w:type="paragraph" w:styleId="4">
    <w:name w:val="heading 2"/>
    <w:basedOn w:val="1"/>
    <w:next w:val="1"/>
    <w:link w:val="64"/>
    <w:qFormat/>
    <w:uiPriority w:val="99"/>
    <w:pPr>
      <w:keepNext/>
      <w:keepLines/>
      <w:spacing w:before="260" w:after="260" w:line="413" w:lineRule="auto"/>
      <w:outlineLvl w:val="1"/>
    </w:pPr>
    <w:rPr>
      <w:rFonts w:ascii="Arial" w:hAnsi="Arial" w:eastAsia="黑体" w:cs="Arial"/>
      <w:b/>
      <w:bCs/>
      <w:sz w:val="32"/>
      <w:szCs w:val="32"/>
    </w:rPr>
  </w:style>
  <w:style w:type="paragraph" w:styleId="5">
    <w:name w:val="heading 3"/>
    <w:basedOn w:val="1"/>
    <w:next w:val="1"/>
    <w:link w:val="65"/>
    <w:qFormat/>
    <w:uiPriority w:val="99"/>
    <w:pPr>
      <w:keepNext/>
      <w:keepLines/>
      <w:spacing w:before="260" w:after="260" w:line="413" w:lineRule="auto"/>
      <w:outlineLvl w:val="2"/>
    </w:pPr>
    <w:rPr>
      <w:rFonts w:eastAsia="楷体_GB2312"/>
      <w:b/>
      <w:bCs/>
      <w:sz w:val="30"/>
      <w:szCs w:val="30"/>
    </w:rPr>
  </w:style>
  <w:style w:type="paragraph" w:styleId="6">
    <w:name w:val="heading 4"/>
    <w:basedOn w:val="1"/>
    <w:next w:val="1"/>
    <w:link w:val="66"/>
    <w:qFormat/>
    <w:uiPriority w:val="99"/>
    <w:pPr>
      <w:keepNext/>
      <w:keepLines/>
      <w:spacing w:before="280" w:after="290" w:line="372" w:lineRule="auto"/>
      <w:outlineLvl w:val="3"/>
    </w:pPr>
    <w:rPr>
      <w:rFonts w:ascii="Arial" w:hAnsi="Arial" w:eastAsia="黑体"/>
      <w:b/>
      <w:sz w:val="28"/>
      <w:szCs w:val="20"/>
    </w:rPr>
  </w:style>
  <w:style w:type="paragraph" w:styleId="7">
    <w:name w:val="heading 5"/>
    <w:basedOn w:val="1"/>
    <w:next w:val="1"/>
    <w:link w:val="67"/>
    <w:qFormat/>
    <w:uiPriority w:val="99"/>
    <w:pPr>
      <w:keepNext/>
      <w:keepLines/>
      <w:spacing w:before="280" w:after="290" w:line="372" w:lineRule="auto"/>
      <w:outlineLvl w:val="4"/>
    </w:pPr>
    <w:rPr>
      <w:b/>
      <w:sz w:val="28"/>
      <w:szCs w:val="20"/>
    </w:rPr>
  </w:style>
  <w:style w:type="paragraph" w:styleId="8">
    <w:name w:val="heading 6"/>
    <w:basedOn w:val="1"/>
    <w:next w:val="1"/>
    <w:link w:val="68"/>
    <w:qFormat/>
    <w:uiPriority w:val="99"/>
    <w:pPr>
      <w:keepNext/>
      <w:keepLines/>
      <w:autoSpaceDE w:val="0"/>
      <w:autoSpaceDN w:val="0"/>
      <w:adjustRightInd w:val="0"/>
      <w:spacing w:before="240" w:after="64" w:line="320" w:lineRule="atLeast"/>
      <w:textAlignment w:val="baseline"/>
      <w:outlineLvl w:val="5"/>
    </w:pPr>
    <w:rPr>
      <w:rFonts w:ascii="黑体" w:hAnsi="Tms Rmn" w:eastAsia="黑体"/>
      <w:b/>
      <w:spacing w:val="20"/>
      <w:kern w:val="0"/>
      <w:sz w:val="24"/>
      <w:szCs w:val="20"/>
    </w:rPr>
  </w:style>
  <w:style w:type="paragraph" w:styleId="9">
    <w:name w:val="heading 7"/>
    <w:basedOn w:val="1"/>
    <w:next w:val="1"/>
    <w:link w:val="69"/>
    <w:qFormat/>
    <w:uiPriority w:val="99"/>
    <w:pPr>
      <w:keepNext/>
      <w:keepLines/>
      <w:spacing w:before="240" w:after="64" w:line="320" w:lineRule="atLeast"/>
      <w:ind w:left="372"/>
      <w:outlineLvl w:val="6"/>
    </w:pPr>
    <w:rPr>
      <w:b/>
      <w:bCs/>
      <w:sz w:val="24"/>
    </w:rPr>
  </w:style>
  <w:style w:type="paragraph" w:styleId="10">
    <w:name w:val="heading 8"/>
    <w:basedOn w:val="1"/>
    <w:next w:val="1"/>
    <w:link w:val="70"/>
    <w:qFormat/>
    <w:uiPriority w:val="99"/>
    <w:pPr>
      <w:keepNext/>
      <w:keepLines/>
      <w:spacing w:before="240" w:after="64" w:line="320" w:lineRule="atLeast"/>
      <w:ind w:left="372"/>
      <w:outlineLvl w:val="7"/>
    </w:pPr>
    <w:rPr>
      <w:rFonts w:ascii="Arial" w:hAnsi="Arial" w:eastAsia="黑体"/>
      <w:sz w:val="24"/>
    </w:rPr>
  </w:style>
  <w:style w:type="paragraph" w:styleId="11">
    <w:name w:val="heading 9"/>
    <w:basedOn w:val="1"/>
    <w:next w:val="1"/>
    <w:link w:val="71"/>
    <w:qFormat/>
    <w:uiPriority w:val="99"/>
    <w:pPr>
      <w:keepNext/>
      <w:keepLines/>
      <w:spacing w:before="240" w:after="64" w:line="320" w:lineRule="atLeast"/>
      <w:ind w:left="372"/>
      <w:outlineLvl w:val="8"/>
    </w:pPr>
    <w:rPr>
      <w:rFonts w:ascii="Arial" w:hAnsi="Arial" w:eastAsia="黑体"/>
      <w:szCs w:val="21"/>
    </w:rPr>
  </w:style>
  <w:style w:type="character" w:default="1" w:styleId="57">
    <w:name w:val="Default Paragraph Font"/>
    <w:unhideWhenUsed/>
    <w:qFormat/>
    <w:uiPriority w:val="1"/>
  </w:style>
  <w:style w:type="table" w:default="1" w:styleId="55">
    <w:name w:val="Normal Table"/>
    <w:unhideWhenUsed/>
    <w:qFormat/>
    <w:uiPriority w:val="99"/>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12">
    <w:name w:val="List 3"/>
    <w:basedOn w:val="1"/>
    <w:qFormat/>
    <w:uiPriority w:val="99"/>
    <w:pPr>
      <w:ind w:left="100" w:leftChars="400" w:hanging="200" w:hangingChars="200"/>
    </w:pPr>
  </w:style>
  <w:style w:type="paragraph" w:styleId="13">
    <w:name w:val="toc 7"/>
    <w:basedOn w:val="1"/>
    <w:next w:val="1"/>
    <w:qFormat/>
    <w:uiPriority w:val="99"/>
    <w:pPr>
      <w:ind w:left="2520" w:leftChars="1200"/>
    </w:pPr>
    <w:rPr>
      <w:rFonts w:ascii="Calibri" w:hAnsi="Calibri"/>
      <w:szCs w:val="22"/>
    </w:rPr>
  </w:style>
  <w:style w:type="paragraph" w:styleId="14">
    <w:name w:val="Normal Indent"/>
    <w:basedOn w:val="1"/>
    <w:link w:val="72"/>
    <w:qFormat/>
    <w:uiPriority w:val="99"/>
    <w:pPr>
      <w:ind w:firstLine="420" w:firstLineChars="200"/>
    </w:pPr>
    <w:rPr>
      <w:sz w:val="24"/>
    </w:rPr>
  </w:style>
  <w:style w:type="paragraph" w:styleId="15">
    <w:name w:val="caption"/>
    <w:basedOn w:val="1"/>
    <w:next w:val="1"/>
    <w:link w:val="73"/>
    <w:qFormat/>
    <w:uiPriority w:val="99"/>
    <w:pPr>
      <w:jc w:val="center"/>
    </w:pPr>
    <w:rPr>
      <w:rFonts w:ascii="Arial" w:hAnsi="Arial"/>
      <w:b/>
      <w:color w:val="808080"/>
      <w:sz w:val="24"/>
      <w:szCs w:val="20"/>
    </w:rPr>
  </w:style>
  <w:style w:type="paragraph" w:styleId="16">
    <w:name w:val="List Bullet"/>
    <w:basedOn w:val="1"/>
    <w:qFormat/>
    <w:uiPriority w:val="99"/>
    <w:pPr>
      <w:tabs>
        <w:tab w:val="left" w:pos="360"/>
      </w:tabs>
      <w:adjustRightInd w:val="0"/>
      <w:spacing w:line="360" w:lineRule="auto"/>
      <w:ind w:left="360" w:hanging="360"/>
    </w:pPr>
    <w:rPr>
      <w:sz w:val="24"/>
    </w:rPr>
  </w:style>
  <w:style w:type="paragraph" w:styleId="17">
    <w:name w:val="Document Map"/>
    <w:basedOn w:val="1"/>
    <w:link w:val="74"/>
    <w:qFormat/>
    <w:uiPriority w:val="99"/>
    <w:pPr>
      <w:shd w:val="clear" w:color="auto" w:fill="000080"/>
    </w:pPr>
    <w:rPr>
      <w:sz w:val="24"/>
      <w:szCs w:val="20"/>
    </w:rPr>
  </w:style>
  <w:style w:type="paragraph" w:styleId="18">
    <w:name w:val="annotation text"/>
    <w:basedOn w:val="1"/>
    <w:link w:val="75"/>
    <w:qFormat/>
    <w:uiPriority w:val="99"/>
    <w:pPr>
      <w:adjustRightInd w:val="0"/>
      <w:spacing w:line="360" w:lineRule="auto"/>
      <w:ind w:firstLine="200" w:firstLineChars="200"/>
      <w:jc w:val="left"/>
    </w:pPr>
    <w:rPr>
      <w:sz w:val="24"/>
    </w:rPr>
  </w:style>
  <w:style w:type="paragraph" w:styleId="19">
    <w:name w:val="Body Text 3"/>
    <w:basedOn w:val="1"/>
    <w:link w:val="76"/>
    <w:qFormat/>
    <w:uiPriority w:val="99"/>
    <w:pPr>
      <w:spacing w:after="120"/>
    </w:pPr>
    <w:rPr>
      <w:sz w:val="16"/>
      <w:szCs w:val="16"/>
    </w:rPr>
  </w:style>
  <w:style w:type="paragraph" w:styleId="20">
    <w:name w:val="List Bullet 3"/>
    <w:basedOn w:val="1"/>
    <w:qFormat/>
    <w:uiPriority w:val="99"/>
    <w:pPr>
      <w:adjustRightInd w:val="0"/>
      <w:spacing w:before="120" w:after="120" w:line="360" w:lineRule="auto"/>
    </w:pPr>
    <w:rPr>
      <w:rFonts w:ascii="Arial" w:hAnsi="Arial"/>
      <w:sz w:val="24"/>
    </w:rPr>
  </w:style>
  <w:style w:type="paragraph" w:styleId="21">
    <w:name w:val="Body Text"/>
    <w:basedOn w:val="1"/>
    <w:next w:val="1"/>
    <w:link w:val="77"/>
    <w:qFormat/>
    <w:uiPriority w:val="99"/>
    <w:pPr>
      <w:spacing w:after="120"/>
    </w:pPr>
    <w:rPr>
      <w:sz w:val="24"/>
    </w:rPr>
  </w:style>
  <w:style w:type="paragraph" w:styleId="22">
    <w:name w:val="Body Text Indent"/>
    <w:basedOn w:val="1"/>
    <w:link w:val="78"/>
    <w:qFormat/>
    <w:uiPriority w:val="99"/>
    <w:pPr>
      <w:spacing w:after="120"/>
      <w:ind w:left="420" w:leftChars="200"/>
    </w:pPr>
    <w:rPr>
      <w:sz w:val="24"/>
      <w:szCs w:val="20"/>
    </w:rPr>
  </w:style>
  <w:style w:type="paragraph" w:styleId="23">
    <w:name w:val="List 2"/>
    <w:basedOn w:val="1"/>
    <w:qFormat/>
    <w:uiPriority w:val="99"/>
    <w:pPr>
      <w:ind w:left="100" w:leftChars="200" w:hanging="200" w:hangingChars="200"/>
    </w:pPr>
  </w:style>
  <w:style w:type="paragraph" w:styleId="24">
    <w:name w:val="List Continue"/>
    <w:basedOn w:val="1"/>
    <w:qFormat/>
    <w:uiPriority w:val="99"/>
    <w:pPr>
      <w:adjustRightInd w:val="0"/>
      <w:spacing w:after="120" w:line="360" w:lineRule="auto"/>
      <w:ind w:left="420" w:leftChars="200" w:firstLine="200" w:firstLineChars="200"/>
    </w:pPr>
    <w:rPr>
      <w:sz w:val="24"/>
    </w:rPr>
  </w:style>
  <w:style w:type="paragraph" w:styleId="25">
    <w:name w:val="Block Text"/>
    <w:basedOn w:val="1"/>
    <w:qFormat/>
    <w:uiPriority w:val="99"/>
    <w:pPr>
      <w:adjustRightInd w:val="0"/>
      <w:ind w:left="-359" w:leftChars="-171" w:right="1644" w:rightChars="783" w:firstLine="437"/>
    </w:pPr>
  </w:style>
  <w:style w:type="paragraph" w:styleId="26">
    <w:name w:val="List Bullet 2"/>
    <w:basedOn w:val="1"/>
    <w:qFormat/>
    <w:uiPriority w:val="99"/>
    <w:pPr>
      <w:widowControl/>
      <w:numPr>
        <w:ilvl w:val="0"/>
        <w:numId w:val="1"/>
      </w:numPr>
      <w:adjustRightInd w:val="0"/>
      <w:spacing w:before="120" w:after="120" w:line="360" w:lineRule="auto"/>
      <w:ind w:firstLine="200" w:firstLineChars="200"/>
      <w:jc w:val="left"/>
    </w:pPr>
    <w:rPr>
      <w:kern w:val="0"/>
      <w:sz w:val="24"/>
      <w:szCs w:val="20"/>
    </w:rPr>
  </w:style>
  <w:style w:type="paragraph" w:styleId="27">
    <w:name w:val="toc 5"/>
    <w:basedOn w:val="1"/>
    <w:next w:val="1"/>
    <w:qFormat/>
    <w:uiPriority w:val="99"/>
    <w:pPr>
      <w:ind w:left="1680" w:leftChars="800"/>
    </w:pPr>
    <w:rPr>
      <w:rFonts w:ascii="Calibri" w:hAnsi="Calibri"/>
      <w:szCs w:val="22"/>
    </w:rPr>
  </w:style>
  <w:style w:type="paragraph" w:styleId="28">
    <w:name w:val="toc 3"/>
    <w:basedOn w:val="1"/>
    <w:next w:val="1"/>
    <w:qFormat/>
    <w:uiPriority w:val="99"/>
    <w:pPr>
      <w:ind w:left="840" w:leftChars="400"/>
    </w:pPr>
    <w:rPr>
      <w:sz w:val="24"/>
      <w:szCs w:val="20"/>
    </w:rPr>
  </w:style>
  <w:style w:type="paragraph" w:styleId="29">
    <w:name w:val="Plain Text"/>
    <w:basedOn w:val="1"/>
    <w:link w:val="79"/>
    <w:qFormat/>
    <w:uiPriority w:val="99"/>
    <w:rPr>
      <w:rFonts w:ascii="宋体" w:hAnsi="Courier New"/>
      <w:szCs w:val="20"/>
    </w:rPr>
  </w:style>
  <w:style w:type="paragraph" w:styleId="30">
    <w:name w:val="List Number 4"/>
    <w:basedOn w:val="1"/>
    <w:qFormat/>
    <w:uiPriority w:val="99"/>
    <w:pPr>
      <w:tabs>
        <w:tab w:val="left" w:pos="987"/>
        <w:tab w:val="left" w:pos="2340"/>
      </w:tabs>
      <w:adjustRightInd w:val="0"/>
      <w:spacing w:beforeLines="50" w:afterLines="50" w:line="360" w:lineRule="auto"/>
      <w:ind w:left="987" w:hanging="420"/>
    </w:pPr>
    <w:rPr>
      <w:rFonts w:ascii="Arial" w:hAnsi="Arial"/>
      <w:sz w:val="24"/>
      <w:szCs w:val="20"/>
    </w:rPr>
  </w:style>
  <w:style w:type="paragraph" w:styleId="31">
    <w:name w:val="toc 8"/>
    <w:basedOn w:val="1"/>
    <w:next w:val="1"/>
    <w:qFormat/>
    <w:uiPriority w:val="99"/>
    <w:pPr>
      <w:ind w:left="2940" w:leftChars="1400"/>
    </w:pPr>
    <w:rPr>
      <w:rFonts w:ascii="Calibri" w:hAnsi="Calibri"/>
      <w:szCs w:val="22"/>
    </w:rPr>
  </w:style>
  <w:style w:type="paragraph" w:styleId="32">
    <w:name w:val="Date"/>
    <w:basedOn w:val="1"/>
    <w:next w:val="1"/>
    <w:link w:val="80"/>
    <w:qFormat/>
    <w:uiPriority w:val="99"/>
    <w:pPr>
      <w:adjustRightInd w:val="0"/>
      <w:spacing w:line="360" w:lineRule="atLeast"/>
    </w:pPr>
    <w:rPr>
      <w:kern w:val="0"/>
      <w:sz w:val="28"/>
      <w:szCs w:val="20"/>
    </w:rPr>
  </w:style>
  <w:style w:type="paragraph" w:styleId="33">
    <w:name w:val="Body Text Indent 2"/>
    <w:basedOn w:val="1"/>
    <w:link w:val="81"/>
    <w:qFormat/>
    <w:uiPriority w:val="99"/>
    <w:pPr>
      <w:spacing w:line="560" w:lineRule="exact"/>
      <w:ind w:firstLine="560"/>
    </w:pPr>
    <w:rPr>
      <w:rFonts w:ascii="??_GB2312" w:hAnsi="宋体" w:eastAsia="Times New Roman"/>
      <w:color w:val="000000"/>
      <w:sz w:val="28"/>
      <w:szCs w:val="20"/>
    </w:rPr>
  </w:style>
  <w:style w:type="paragraph" w:styleId="34">
    <w:name w:val="Balloon Text"/>
    <w:basedOn w:val="1"/>
    <w:link w:val="82"/>
    <w:qFormat/>
    <w:uiPriority w:val="99"/>
    <w:rPr>
      <w:sz w:val="18"/>
      <w:szCs w:val="20"/>
    </w:rPr>
  </w:style>
  <w:style w:type="paragraph" w:styleId="35">
    <w:name w:val="footer"/>
    <w:basedOn w:val="1"/>
    <w:link w:val="83"/>
    <w:qFormat/>
    <w:uiPriority w:val="99"/>
    <w:pPr>
      <w:tabs>
        <w:tab w:val="center" w:pos="4153"/>
        <w:tab w:val="right" w:pos="8306"/>
      </w:tabs>
      <w:snapToGrid w:val="0"/>
      <w:jc w:val="left"/>
    </w:pPr>
    <w:rPr>
      <w:sz w:val="18"/>
      <w:szCs w:val="18"/>
    </w:rPr>
  </w:style>
  <w:style w:type="paragraph" w:styleId="36">
    <w:name w:val="header"/>
    <w:basedOn w:val="1"/>
    <w:link w:val="84"/>
    <w:qFormat/>
    <w:uiPriority w:val="99"/>
    <w:pPr>
      <w:pBdr>
        <w:bottom w:val="single" w:color="auto" w:sz="6" w:space="1"/>
      </w:pBdr>
      <w:tabs>
        <w:tab w:val="center" w:pos="4153"/>
        <w:tab w:val="right" w:pos="8306"/>
      </w:tabs>
      <w:snapToGrid w:val="0"/>
      <w:jc w:val="center"/>
    </w:pPr>
    <w:rPr>
      <w:sz w:val="18"/>
      <w:szCs w:val="18"/>
    </w:rPr>
  </w:style>
  <w:style w:type="paragraph" w:styleId="37">
    <w:name w:val="toc 1"/>
    <w:basedOn w:val="1"/>
    <w:next w:val="1"/>
    <w:qFormat/>
    <w:uiPriority w:val="99"/>
  </w:style>
  <w:style w:type="paragraph" w:styleId="38">
    <w:name w:val="toc 4"/>
    <w:basedOn w:val="1"/>
    <w:next w:val="1"/>
    <w:qFormat/>
    <w:uiPriority w:val="99"/>
    <w:pPr>
      <w:ind w:left="1260" w:leftChars="600"/>
    </w:pPr>
    <w:rPr>
      <w:rFonts w:ascii="Calibri" w:hAnsi="Calibri"/>
      <w:szCs w:val="22"/>
    </w:rPr>
  </w:style>
  <w:style w:type="paragraph" w:styleId="39">
    <w:name w:val="Subtitle"/>
    <w:basedOn w:val="1"/>
    <w:next w:val="1"/>
    <w:link w:val="85"/>
    <w:qFormat/>
    <w:uiPriority w:val="99"/>
    <w:pPr>
      <w:spacing w:before="240" w:after="60" w:line="312" w:lineRule="auto"/>
      <w:jc w:val="center"/>
      <w:outlineLvl w:val="1"/>
    </w:pPr>
    <w:rPr>
      <w:rFonts w:ascii="Cambria" w:hAnsi="Cambria"/>
      <w:b/>
      <w:bCs/>
      <w:kern w:val="28"/>
      <w:sz w:val="32"/>
      <w:szCs w:val="32"/>
    </w:rPr>
  </w:style>
  <w:style w:type="paragraph" w:styleId="40">
    <w:name w:val="List"/>
    <w:basedOn w:val="1"/>
    <w:qFormat/>
    <w:uiPriority w:val="99"/>
    <w:pPr>
      <w:ind w:left="200" w:hanging="200" w:hangingChars="200"/>
    </w:pPr>
  </w:style>
  <w:style w:type="paragraph" w:styleId="41">
    <w:name w:val="footnote text"/>
    <w:basedOn w:val="1"/>
    <w:link w:val="86"/>
    <w:qFormat/>
    <w:uiPriority w:val="99"/>
    <w:pPr>
      <w:snapToGrid w:val="0"/>
      <w:jc w:val="left"/>
    </w:pPr>
    <w:rPr>
      <w:kern w:val="0"/>
      <w:sz w:val="18"/>
      <w:szCs w:val="18"/>
    </w:rPr>
  </w:style>
  <w:style w:type="paragraph" w:styleId="42">
    <w:name w:val="toc 6"/>
    <w:basedOn w:val="1"/>
    <w:next w:val="1"/>
    <w:qFormat/>
    <w:uiPriority w:val="99"/>
    <w:pPr>
      <w:ind w:left="2100" w:leftChars="1000"/>
    </w:pPr>
    <w:rPr>
      <w:rFonts w:ascii="Calibri" w:hAnsi="Calibri"/>
      <w:szCs w:val="22"/>
    </w:rPr>
  </w:style>
  <w:style w:type="paragraph" w:styleId="43">
    <w:name w:val="List 5"/>
    <w:basedOn w:val="1"/>
    <w:qFormat/>
    <w:uiPriority w:val="99"/>
    <w:pPr>
      <w:ind w:left="100" w:leftChars="800" w:hanging="200" w:hangingChars="200"/>
    </w:pPr>
  </w:style>
  <w:style w:type="paragraph" w:styleId="44">
    <w:name w:val="Body Text Indent 3"/>
    <w:basedOn w:val="1"/>
    <w:link w:val="87"/>
    <w:qFormat/>
    <w:uiPriority w:val="99"/>
    <w:pPr>
      <w:spacing w:after="120"/>
      <w:ind w:left="420" w:leftChars="200"/>
    </w:pPr>
    <w:rPr>
      <w:sz w:val="16"/>
      <w:szCs w:val="20"/>
    </w:rPr>
  </w:style>
  <w:style w:type="paragraph" w:styleId="45">
    <w:name w:val="table of figures"/>
    <w:basedOn w:val="1"/>
    <w:next w:val="1"/>
    <w:qFormat/>
    <w:uiPriority w:val="99"/>
    <w:pPr>
      <w:ind w:left="840" w:leftChars="200" w:hanging="420" w:hangingChars="200"/>
    </w:pPr>
  </w:style>
  <w:style w:type="paragraph" w:styleId="46">
    <w:name w:val="toc 2"/>
    <w:basedOn w:val="1"/>
    <w:next w:val="1"/>
    <w:link w:val="88"/>
    <w:qFormat/>
    <w:uiPriority w:val="99"/>
    <w:pPr>
      <w:ind w:left="420" w:leftChars="200"/>
    </w:pPr>
    <w:rPr>
      <w:sz w:val="24"/>
      <w:szCs w:val="20"/>
    </w:rPr>
  </w:style>
  <w:style w:type="paragraph" w:styleId="47">
    <w:name w:val="toc 9"/>
    <w:basedOn w:val="1"/>
    <w:next w:val="1"/>
    <w:qFormat/>
    <w:uiPriority w:val="99"/>
    <w:pPr>
      <w:ind w:left="3360" w:leftChars="1600"/>
    </w:pPr>
    <w:rPr>
      <w:rFonts w:ascii="Calibri" w:hAnsi="Calibri"/>
      <w:szCs w:val="22"/>
    </w:rPr>
  </w:style>
  <w:style w:type="paragraph" w:styleId="48">
    <w:name w:val="Body Text 2"/>
    <w:basedOn w:val="1"/>
    <w:link w:val="89"/>
    <w:qFormat/>
    <w:uiPriority w:val="99"/>
    <w:pPr>
      <w:spacing w:after="120" w:line="480" w:lineRule="auto"/>
    </w:pPr>
    <w:rPr>
      <w:sz w:val="24"/>
      <w:szCs w:val="20"/>
    </w:rPr>
  </w:style>
  <w:style w:type="paragraph" w:styleId="4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50">
    <w:name w:val="index 1"/>
    <w:basedOn w:val="1"/>
    <w:next w:val="1"/>
    <w:qFormat/>
    <w:uiPriority w:val="99"/>
    <w:pPr>
      <w:tabs>
        <w:tab w:val="left" w:pos="1620"/>
      </w:tabs>
      <w:adjustRightInd w:val="0"/>
      <w:snapToGrid w:val="0"/>
      <w:spacing w:before="240" w:after="120" w:line="360" w:lineRule="auto"/>
      <w:ind w:firstLine="420"/>
      <w:jc w:val="left"/>
    </w:pPr>
    <w:rPr>
      <w:rFonts w:hAnsi="Arial"/>
      <w:kern w:val="0"/>
      <w:szCs w:val="20"/>
    </w:rPr>
  </w:style>
  <w:style w:type="paragraph" w:styleId="51">
    <w:name w:val="Title"/>
    <w:basedOn w:val="1"/>
    <w:link w:val="90"/>
    <w:qFormat/>
    <w:uiPriority w:val="99"/>
    <w:pPr>
      <w:spacing w:before="240" w:after="60"/>
      <w:jc w:val="center"/>
      <w:outlineLvl w:val="0"/>
    </w:pPr>
    <w:rPr>
      <w:rFonts w:ascii="Arial" w:hAnsi="Arial"/>
      <w:b/>
      <w:bCs/>
      <w:sz w:val="32"/>
      <w:szCs w:val="32"/>
    </w:rPr>
  </w:style>
  <w:style w:type="paragraph" w:styleId="52">
    <w:name w:val="annotation subject"/>
    <w:basedOn w:val="18"/>
    <w:next w:val="18"/>
    <w:link w:val="91"/>
    <w:qFormat/>
    <w:uiPriority w:val="99"/>
    <w:rPr>
      <w:b/>
      <w:bCs/>
    </w:rPr>
  </w:style>
  <w:style w:type="paragraph" w:styleId="53">
    <w:name w:val="Body Text First Indent"/>
    <w:basedOn w:val="21"/>
    <w:link w:val="92"/>
    <w:qFormat/>
    <w:uiPriority w:val="99"/>
    <w:pPr>
      <w:ind w:firstLine="420" w:firstLineChars="100"/>
    </w:pPr>
  </w:style>
  <w:style w:type="paragraph" w:styleId="54">
    <w:name w:val="Body Text First Indent 2"/>
    <w:basedOn w:val="22"/>
    <w:link w:val="93"/>
    <w:qFormat/>
    <w:uiPriority w:val="99"/>
    <w:pPr>
      <w:ind w:firstLine="420" w:firstLineChars="200"/>
    </w:pPr>
    <w:rPr>
      <w:szCs w:val="24"/>
    </w:rPr>
  </w:style>
  <w:style w:type="table" w:styleId="56">
    <w:name w:val="Table Grid"/>
    <w:basedOn w:val="55"/>
    <w:qFormat/>
    <w:uiPriority w:val="99"/>
    <w:pPr>
      <w:widowControl w:val="0"/>
      <w:adjustRightInd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8">
    <w:name w:val="Strong"/>
    <w:qFormat/>
    <w:uiPriority w:val="99"/>
    <w:rPr>
      <w:rFonts w:cs="Times New Roman"/>
      <w:b/>
      <w:bCs/>
    </w:rPr>
  </w:style>
  <w:style w:type="character" w:styleId="59">
    <w:name w:val="page number"/>
    <w:qFormat/>
    <w:uiPriority w:val="99"/>
    <w:rPr>
      <w:rFonts w:cs="Times New Roman"/>
    </w:rPr>
  </w:style>
  <w:style w:type="character" w:styleId="60">
    <w:name w:val="FollowedHyperlink"/>
    <w:qFormat/>
    <w:uiPriority w:val="99"/>
    <w:rPr>
      <w:rFonts w:cs="Times New Roman"/>
      <w:color w:val="800080"/>
      <w:u w:val="single"/>
    </w:rPr>
  </w:style>
  <w:style w:type="character" w:styleId="61">
    <w:name w:val="Emphasis"/>
    <w:qFormat/>
    <w:uiPriority w:val="99"/>
    <w:rPr>
      <w:rFonts w:cs="Times New Roman"/>
    </w:rPr>
  </w:style>
  <w:style w:type="character" w:styleId="62">
    <w:name w:val="Hyperlink"/>
    <w:qFormat/>
    <w:uiPriority w:val="99"/>
    <w:rPr>
      <w:rFonts w:ascii="宋体" w:hAnsi="宋体" w:eastAsia="宋体" w:cs="Times New Roman"/>
      <w:b/>
      <w:color w:val="0000FF"/>
      <w:kern w:val="2"/>
      <w:sz w:val="24"/>
      <w:szCs w:val="24"/>
      <w:u w:val="single"/>
      <w:lang w:val="en-US" w:eastAsia="zh-CN" w:bidi="ar-SA"/>
    </w:rPr>
  </w:style>
  <w:style w:type="character" w:customStyle="1" w:styleId="63">
    <w:name w:val="标题 1 Char"/>
    <w:link w:val="3"/>
    <w:qFormat/>
    <w:locked/>
    <w:uiPriority w:val="99"/>
    <w:rPr>
      <w:rFonts w:eastAsia="宋体" w:cs="Times New Roman"/>
      <w:b/>
      <w:bCs/>
      <w:kern w:val="44"/>
      <w:sz w:val="44"/>
      <w:szCs w:val="44"/>
      <w:lang w:val="en-US" w:eastAsia="zh-CN" w:bidi="ar-SA"/>
    </w:rPr>
  </w:style>
  <w:style w:type="character" w:customStyle="1" w:styleId="64">
    <w:name w:val="标题 2 Char"/>
    <w:link w:val="4"/>
    <w:qFormat/>
    <w:locked/>
    <w:uiPriority w:val="99"/>
    <w:rPr>
      <w:rFonts w:ascii="Arial" w:hAnsi="Arial" w:eastAsia="黑体" w:cs="Arial"/>
      <w:b/>
      <w:bCs/>
      <w:kern w:val="2"/>
      <w:sz w:val="32"/>
      <w:szCs w:val="32"/>
      <w:lang w:val="en-US" w:eastAsia="zh-CN" w:bidi="ar-SA"/>
    </w:rPr>
  </w:style>
  <w:style w:type="character" w:customStyle="1" w:styleId="65">
    <w:name w:val="标题 3 Char"/>
    <w:link w:val="5"/>
    <w:qFormat/>
    <w:locked/>
    <w:uiPriority w:val="99"/>
    <w:rPr>
      <w:rFonts w:eastAsia="楷体_GB2312" w:cs="Times New Roman"/>
      <w:b/>
      <w:bCs/>
      <w:kern w:val="2"/>
      <w:sz w:val="30"/>
      <w:szCs w:val="30"/>
      <w:lang w:val="en-US" w:eastAsia="zh-CN" w:bidi="ar-SA"/>
    </w:rPr>
  </w:style>
  <w:style w:type="character" w:customStyle="1" w:styleId="66">
    <w:name w:val="标题 4 Char"/>
    <w:link w:val="6"/>
    <w:qFormat/>
    <w:locked/>
    <w:uiPriority w:val="99"/>
    <w:rPr>
      <w:rFonts w:ascii="Arial" w:hAnsi="Arial" w:eastAsia="黑体"/>
      <w:b/>
      <w:kern w:val="2"/>
      <w:sz w:val="28"/>
    </w:rPr>
  </w:style>
  <w:style w:type="character" w:customStyle="1" w:styleId="67">
    <w:name w:val="标题 5 Char"/>
    <w:link w:val="7"/>
    <w:qFormat/>
    <w:locked/>
    <w:uiPriority w:val="99"/>
    <w:rPr>
      <w:b/>
      <w:kern w:val="2"/>
      <w:sz w:val="28"/>
    </w:rPr>
  </w:style>
  <w:style w:type="character" w:customStyle="1" w:styleId="68">
    <w:name w:val="标题 6 Char"/>
    <w:link w:val="8"/>
    <w:qFormat/>
    <w:locked/>
    <w:uiPriority w:val="99"/>
    <w:rPr>
      <w:rFonts w:ascii="黑体" w:hAnsi="Tms Rmn" w:eastAsia="黑体"/>
      <w:b/>
      <w:spacing w:val="20"/>
      <w:sz w:val="24"/>
    </w:rPr>
  </w:style>
  <w:style w:type="character" w:customStyle="1" w:styleId="69">
    <w:name w:val="标题 7 Char"/>
    <w:link w:val="9"/>
    <w:qFormat/>
    <w:locked/>
    <w:uiPriority w:val="99"/>
    <w:rPr>
      <w:rFonts w:cs="Times New Roman"/>
      <w:b/>
      <w:bCs/>
      <w:kern w:val="2"/>
      <w:sz w:val="24"/>
      <w:szCs w:val="24"/>
    </w:rPr>
  </w:style>
  <w:style w:type="character" w:customStyle="1" w:styleId="70">
    <w:name w:val="标题 8 Char"/>
    <w:link w:val="10"/>
    <w:qFormat/>
    <w:locked/>
    <w:uiPriority w:val="99"/>
    <w:rPr>
      <w:rFonts w:ascii="Arial" w:hAnsi="Arial" w:eastAsia="黑体" w:cs="Times New Roman"/>
      <w:kern w:val="2"/>
      <w:sz w:val="24"/>
      <w:szCs w:val="24"/>
    </w:rPr>
  </w:style>
  <w:style w:type="character" w:customStyle="1" w:styleId="71">
    <w:name w:val="标题 9 Char"/>
    <w:link w:val="11"/>
    <w:qFormat/>
    <w:locked/>
    <w:uiPriority w:val="99"/>
    <w:rPr>
      <w:rFonts w:ascii="Arial" w:hAnsi="Arial" w:eastAsia="黑体" w:cs="Times New Roman"/>
      <w:kern w:val="2"/>
      <w:sz w:val="21"/>
      <w:szCs w:val="21"/>
    </w:rPr>
  </w:style>
  <w:style w:type="character" w:customStyle="1" w:styleId="72">
    <w:name w:val="正文缩进 Char"/>
    <w:link w:val="14"/>
    <w:qFormat/>
    <w:locked/>
    <w:uiPriority w:val="99"/>
    <w:rPr>
      <w:rFonts w:eastAsia="宋体" w:cs="Times New Roman"/>
      <w:kern w:val="2"/>
      <w:sz w:val="24"/>
      <w:szCs w:val="24"/>
      <w:lang w:val="en-US" w:eastAsia="zh-CN" w:bidi="ar-SA"/>
    </w:rPr>
  </w:style>
  <w:style w:type="character" w:customStyle="1" w:styleId="73">
    <w:name w:val="题注 Char"/>
    <w:link w:val="15"/>
    <w:qFormat/>
    <w:locked/>
    <w:uiPriority w:val="99"/>
    <w:rPr>
      <w:rFonts w:ascii="Arial" w:hAnsi="Arial"/>
      <w:b/>
      <w:color w:val="808080"/>
      <w:kern w:val="2"/>
      <w:sz w:val="24"/>
    </w:rPr>
  </w:style>
  <w:style w:type="character" w:customStyle="1" w:styleId="74">
    <w:name w:val="文档结构图 Char"/>
    <w:link w:val="17"/>
    <w:qFormat/>
    <w:locked/>
    <w:uiPriority w:val="99"/>
    <w:rPr>
      <w:kern w:val="2"/>
      <w:sz w:val="24"/>
      <w:shd w:val="clear" w:color="auto" w:fill="000080"/>
    </w:rPr>
  </w:style>
  <w:style w:type="character" w:customStyle="1" w:styleId="75">
    <w:name w:val="批注文字 Char"/>
    <w:link w:val="18"/>
    <w:qFormat/>
    <w:locked/>
    <w:uiPriority w:val="99"/>
    <w:rPr>
      <w:rFonts w:cs="Times New Roman"/>
      <w:kern w:val="2"/>
      <w:sz w:val="24"/>
      <w:szCs w:val="24"/>
    </w:rPr>
  </w:style>
  <w:style w:type="character" w:customStyle="1" w:styleId="76">
    <w:name w:val="正文文本 3 Char"/>
    <w:link w:val="19"/>
    <w:qFormat/>
    <w:locked/>
    <w:uiPriority w:val="99"/>
    <w:rPr>
      <w:rFonts w:cs="Times New Roman"/>
      <w:kern w:val="2"/>
      <w:sz w:val="16"/>
      <w:szCs w:val="16"/>
    </w:rPr>
  </w:style>
  <w:style w:type="character" w:customStyle="1" w:styleId="77">
    <w:name w:val="正文文本 Char"/>
    <w:link w:val="21"/>
    <w:qFormat/>
    <w:locked/>
    <w:uiPriority w:val="99"/>
    <w:rPr>
      <w:rFonts w:cs="Times New Roman"/>
      <w:kern w:val="2"/>
      <w:sz w:val="24"/>
      <w:szCs w:val="24"/>
    </w:rPr>
  </w:style>
  <w:style w:type="character" w:customStyle="1" w:styleId="78">
    <w:name w:val="正文文本缩进 Char"/>
    <w:link w:val="22"/>
    <w:qFormat/>
    <w:locked/>
    <w:uiPriority w:val="99"/>
    <w:rPr>
      <w:kern w:val="2"/>
      <w:sz w:val="24"/>
    </w:rPr>
  </w:style>
  <w:style w:type="character" w:customStyle="1" w:styleId="79">
    <w:name w:val="纯文本 Char"/>
    <w:link w:val="29"/>
    <w:qFormat/>
    <w:locked/>
    <w:uiPriority w:val="99"/>
    <w:rPr>
      <w:rFonts w:ascii="宋体" w:hAnsi="Courier New"/>
      <w:kern w:val="2"/>
      <w:sz w:val="21"/>
    </w:rPr>
  </w:style>
  <w:style w:type="character" w:customStyle="1" w:styleId="80">
    <w:name w:val="日期 Char"/>
    <w:link w:val="32"/>
    <w:qFormat/>
    <w:locked/>
    <w:uiPriority w:val="99"/>
    <w:rPr>
      <w:sz w:val="28"/>
    </w:rPr>
  </w:style>
  <w:style w:type="character" w:customStyle="1" w:styleId="81">
    <w:name w:val="正文文本缩进 2 Char"/>
    <w:link w:val="33"/>
    <w:qFormat/>
    <w:locked/>
    <w:uiPriority w:val="99"/>
    <w:rPr>
      <w:rFonts w:ascii="??_GB2312" w:hAnsi="宋体" w:eastAsia="Times New Roman"/>
      <w:color w:val="000000"/>
      <w:kern w:val="2"/>
      <w:sz w:val="28"/>
    </w:rPr>
  </w:style>
  <w:style w:type="character" w:customStyle="1" w:styleId="82">
    <w:name w:val="批注框文本 Char"/>
    <w:link w:val="34"/>
    <w:qFormat/>
    <w:locked/>
    <w:uiPriority w:val="99"/>
    <w:rPr>
      <w:kern w:val="2"/>
      <w:sz w:val="18"/>
    </w:rPr>
  </w:style>
  <w:style w:type="character" w:customStyle="1" w:styleId="83">
    <w:name w:val="页脚 Char"/>
    <w:link w:val="35"/>
    <w:qFormat/>
    <w:locked/>
    <w:uiPriority w:val="99"/>
    <w:rPr>
      <w:rFonts w:eastAsia="宋体" w:cs="Times New Roman"/>
      <w:kern w:val="2"/>
      <w:sz w:val="18"/>
      <w:szCs w:val="18"/>
      <w:lang w:val="en-US" w:eastAsia="zh-CN" w:bidi="ar-SA"/>
    </w:rPr>
  </w:style>
  <w:style w:type="character" w:customStyle="1" w:styleId="84">
    <w:name w:val="页眉 Char"/>
    <w:link w:val="36"/>
    <w:qFormat/>
    <w:locked/>
    <w:uiPriority w:val="99"/>
    <w:rPr>
      <w:rFonts w:eastAsia="宋体" w:cs="Times New Roman"/>
      <w:kern w:val="2"/>
      <w:sz w:val="18"/>
      <w:szCs w:val="18"/>
      <w:lang w:val="en-US" w:eastAsia="zh-CN" w:bidi="ar-SA"/>
    </w:rPr>
  </w:style>
  <w:style w:type="character" w:customStyle="1" w:styleId="85">
    <w:name w:val="副标题 Char"/>
    <w:link w:val="39"/>
    <w:qFormat/>
    <w:locked/>
    <w:uiPriority w:val="99"/>
    <w:rPr>
      <w:rFonts w:ascii="Cambria" w:hAnsi="Cambria" w:eastAsia="宋体" w:cs="Times New Roman"/>
      <w:b/>
      <w:bCs/>
      <w:kern w:val="28"/>
      <w:sz w:val="32"/>
      <w:szCs w:val="32"/>
      <w:lang w:val="en-US" w:eastAsia="zh-CN" w:bidi="ar-SA"/>
    </w:rPr>
  </w:style>
  <w:style w:type="character" w:customStyle="1" w:styleId="86">
    <w:name w:val="脚注文本 Char"/>
    <w:link w:val="41"/>
    <w:qFormat/>
    <w:locked/>
    <w:uiPriority w:val="99"/>
    <w:rPr>
      <w:rFonts w:cs="Times New Roman"/>
      <w:sz w:val="18"/>
      <w:szCs w:val="18"/>
    </w:rPr>
  </w:style>
  <w:style w:type="character" w:customStyle="1" w:styleId="87">
    <w:name w:val="正文文本缩进 3 Char"/>
    <w:link w:val="44"/>
    <w:qFormat/>
    <w:locked/>
    <w:uiPriority w:val="99"/>
    <w:rPr>
      <w:kern w:val="2"/>
      <w:sz w:val="16"/>
    </w:rPr>
  </w:style>
  <w:style w:type="character" w:customStyle="1" w:styleId="88">
    <w:name w:val="目录 2 Char"/>
    <w:link w:val="46"/>
    <w:qFormat/>
    <w:locked/>
    <w:uiPriority w:val="99"/>
    <w:rPr>
      <w:kern w:val="2"/>
      <w:sz w:val="24"/>
    </w:rPr>
  </w:style>
  <w:style w:type="character" w:customStyle="1" w:styleId="89">
    <w:name w:val="正文文本 2 Char"/>
    <w:link w:val="48"/>
    <w:qFormat/>
    <w:locked/>
    <w:uiPriority w:val="99"/>
    <w:rPr>
      <w:kern w:val="2"/>
      <w:sz w:val="24"/>
    </w:rPr>
  </w:style>
  <w:style w:type="character" w:customStyle="1" w:styleId="90">
    <w:name w:val="标题 Char"/>
    <w:link w:val="51"/>
    <w:qFormat/>
    <w:locked/>
    <w:uiPriority w:val="99"/>
    <w:rPr>
      <w:rFonts w:ascii="Arial" w:hAnsi="Arial" w:cs="Arial"/>
      <w:b/>
      <w:bCs/>
      <w:kern w:val="2"/>
      <w:sz w:val="32"/>
      <w:szCs w:val="32"/>
    </w:rPr>
  </w:style>
  <w:style w:type="character" w:customStyle="1" w:styleId="91">
    <w:name w:val="批注主题 Char"/>
    <w:link w:val="52"/>
    <w:qFormat/>
    <w:locked/>
    <w:uiPriority w:val="99"/>
    <w:rPr>
      <w:rFonts w:cs="Times New Roman"/>
      <w:b/>
      <w:bCs/>
      <w:kern w:val="2"/>
      <w:sz w:val="24"/>
      <w:szCs w:val="24"/>
    </w:rPr>
  </w:style>
  <w:style w:type="character" w:customStyle="1" w:styleId="92">
    <w:name w:val="正文首行缩进 Char"/>
    <w:basedOn w:val="77"/>
    <w:link w:val="53"/>
    <w:qFormat/>
    <w:locked/>
    <w:uiPriority w:val="99"/>
  </w:style>
  <w:style w:type="character" w:customStyle="1" w:styleId="93">
    <w:name w:val="正文首行缩进 2 Char"/>
    <w:link w:val="54"/>
    <w:semiHidden/>
    <w:qFormat/>
    <w:uiPriority w:val="99"/>
    <w:rPr>
      <w:kern w:val="2"/>
      <w:sz w:val="24"/>
      <w:szCs w:val="24"/>
    </w:rPr>
  </w:style>
  <w:style w:type="character" w:customStyle="1" w:styleId="94">
    <w:name w:val="add_compare_btn4"/>
    <w:qFormat/>
    <w:uiPriority w:val="99"/>
    <w:rPr>
      <w:rFonts w:ascii="微软雅黑" w:hAnsi="微软雅黑" w:eastAsia="微软雅黑"/>
      <w:b/>
      <w:color w:val="1F4F88"/>
      <w:sz w:val="23"/>
    </w:rPr>
  </w:style>
  <w:style w:type="character" w:customStyle="1" w:styleId="95">
    <w:name w:val="标题 3 Char1"/>
    <w:qFormat/>
    <w:uiPriority w:val="99"/>
    <w:rPr>
      <w:rFonts w:ascii="Arial" w:hAnsi="Arial" w:eastAsia="黑体"/>
      <w:kern w:val="2"/>
      <w:sz w:val="32"/>
    </w:rPr>
  </w:style>
  <w:style w:type="character" w:customStyle="1" w:styleId="96">
    <w:name w:val="样式 黑体 二号"/>
    <w:qFormat/>
    <w:uiPriority w:val="99"/>
    <w:rPr>
      <w:rFonts w:ascii="Arial" w:hAnsi="Arial" w:eastAsia="黑体"/>
      <w:sz w:val="44"/>
    </w:rPr>
  </w:style>
  <w:style w:type="character" w:customStyle="1" w:styleId="97">
    <w:name w:val="t101"/>
    <w:qFormat/>
    <w:uiPriority w:val="99"/>
    <w:rPr>
      <w:rFonts w:cs="Times New Roman"/>
      <w:sz w:val="20"/>
      <w:szCs w:val="20"/>
    </w:rPr>
  </w:style>
  <w:style w:type="character" w:customStyle="1" w:styleId="98">
    <w:name w:val="probtxtb1"/>
    <w:qFormat/>
    <w:uiPriority w:val="99"/>
    <w:rPr>
      <w:rFonts w:ascii="Tahoma" w:hAnsi="Tahoma"/>
      <w:b/>
      <w:color w:val="EAB251"/>
      <w:sz w:val="27"/>
    </w:rPr>
  </w:style>
  <w:style w:type="character" w:customStyle="1" w:styleId="99">
    <w:name w:val="text021"/>
    <w:qFormat/>
    <w:uiPriority w:val="99"/>
    <w:rPr>
      <w:rFonts w:ascii="??" w:hAnsi="??"/>
      <w:color w:val="000000"/>
      <w:sz w:val="18"/>
      <w:u w:val="none"/>
    </w:rPr>
  </w:style>
  <w:style w:type="character" w:customStyle="1" w:styleId="100">
    <w:name w:val="font_31"/>
    <w:qFormat/>
    <w:uiPriority w:val="99"/>
    <w:rPr>
      <w:rFonts w:ascii="宋体" w:hAnsi="宋体" w:eastAsia="宋体" w:cs="Times New Roman"/>
      <w:color w:val="FF4005"/>
      <w:sz w:val="18"/>
      <w:szCs w:val="18"/>
    </w:rPr>
  </w:style>
  <w:style w:type="character" w:customStyle="1" w:styleId="101">
    <w:name w:val="a14px1"/>
    <w:qFormat/>
    <w:uiPriority w:val="99"/>
    <w:rPr>
      <w:rFonts w:ascii="Arial" w:hAnsi="Arial" w:cs="Arial"/>
      <w:sz w:val="21"/>
      <w:szCs w:val="21"/>
    </w:rPr>
  </w:style>
  <w:style w:type="character" w:customStyle="1" w:styleId="102">
    <w:name w:val="2nd level Char"/>
    <w:qFormat/>
    <w:uiPriority w:val="99"/>
    <w:rPr>
      <w:rFonts w:ascii="Arial" w:hAnsi="Arial" w:eastAsia="黑体" w:cs="Times New Roman"/>
      <w:b/>
      <w:bCs/>
      <w:kern w:val="2"/>
      <w:sz w:val="32"/>
      <w:szCs w:val="32"/>
      <w:lang w:val="en-US" w:eastAsia="zh-CN" w:bidi="ar-SA"/>
    </w:rPr>
  </w:style>
  <w:style w:type="character" w:customStyle="1" w:styleId="103">
    <w:name w:val="maywed421"/>
    <w:qFormat/>
    <w:uiPriority w:val="99"/>
    <w:rPr>
      <w:color w:val="366FB6"/>
      <w:u w:val="none"/>
    </w:rPr>
  </w:style>
  <w:style w:type="character" w:customStyle="1" w:styleId="104">
    <w:name w:val="正文 Alt+A Char"/>
    <w:link w:val="105"/>
    <w:qFormat/>
    <w:locked/>
    <w:uiPriority w:val="99"/>
    <w:rPr>
      <w:rFonts w:ascii="Arial" w:hAnsi="Arial" w:eastAsia="黑体"/>
      <w:sz w:val="18"/>
    </w:rPr>
  </w:style>
  <w:style w:type="paragraph" w:customStyle="1" w:styleId="105">
    <w:name w:val="正文 Alt+A"/>
    <w:basedOn w:val="1"/>
    <w:link w:val="104"/>
    <w:qFormat/>
    <w:uiPriority w:val="99"/>
    <w:pPr>
      <w:spacing w:line="240" w:lineRule="exact"/>
      <w:ind w:left="3" w:right="-38" w:rightChars="-18" w:firstLine="176" w:firstLineChars="84"/>
      <w:jc w:val="center"/>
    </w:pPr>
    <w:rPr>
      <w:rFonts w:ascii="Arial" w:hAnsi="Arial" w:eastAsia="黑体"/>
      <w:kern w:val="0"/>
      <w:sz w:val="18"/>
      <w:szCs w:val="20"/>
    </w:rPr>
  </w:style>
  <w:style w:type="character" w:customStyle="1" w:styleId="106">
    <w:name w:val="main14"/>
    <w:qFormat/>
    <w:uiPriority w:val="99"/>
    <w:rPr>
      <w:rFonts w:cs="Times New Roman"/>
    </w:rPr>
  </w:style>
  <w:style w:type="character" w:customStyle="1" w:styleId="107">
    <w:name w:val="btn-lnk-alignl2"/>
    <w:qFormat/>
    <w:uiPriority w:val="99"/>
  </w:style>
  <w:style w:type="character" w:customStyle="1" w:styleId="108">
    <w:name w:val="fontblank12"/>
    <w:qFormat/>
    <w:uiPriority w:val="99"/>
    <w:rPr>
      <w:rFonts w:cs="Times New Roman"/>
    </w:rPr>
  </w:style>
  <w:style w:type="character" w:customStyle="1" w:styleId="109">
    <w:name w:val="无间隔 Char"/>
    <w:link w:val="110"/>
    <w:qFormat/>
    <w:locked/>
    <w:uiPriority w:val="99"/>
    <w:rPr>
      <w:kern w:val="2"/>
      <w:sz w:val="21"/>
      <w:szCs w:val="24"/>
      <w:lang w:val="en-US" w:eastAsia="zh-CN" w:bidi="ar-SA"/>
    </w:rPr>
  </w:style>
  <w:style w:type="paragraph" w:customStyle="1" w:styleId="110">
    <w:name w:val="无间隔1"/>
    <w:link w:val="109"/>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11">
    <w:name w:val="正文文本 Char1"/>
    <w:qFormat/>
    <w:uiPriority w:val="99"/>
    <w:rPr>
      <w:kern w:val="2"/>
      <w:sz w:val="24"/>
    </w:rPr>
  </w:style>
  <w:style w:type="character" w:customStyle="1" w:styleId="112">
    <w:name w:val="样式 样式 黑体 二号 + 小三 加粗"/>
    <w:qFormat/>
    <w:uiPriority w:val="99"/>
    <w:rPr>
      <w:rFonts w:ascii="Arial" w:hAnsi="Arial" w:eastAsia="黑体"/>
      <w:sz w:val="30"/>
    </w:rPr>
  </w:style>
  <w:style w:type="character" w:customStyle="1" w:styleId="113">
    <w:name w:val="Char Char Char"/>
    <w:link w:val="114"/>
    <w:qFormat/>
    <w:locked/>
    <w:uiPriority w:val="99"/>
    <w:rPr>
      <w:rFonts w:eastAsia="宋体" w:cs="Times New Roman"/>
      <w:sz w:val="24"/>
      <w:lang w:val="en-US" w:eastAsia="zh-CN" w:bidi="ar-SA"/>
    </w:rPr>
  </w:style>
  <w:style w:type="paragraph" w:customStyle="1" w:styleId="114">
    <w:name w:val="Char2"/>
    <w:basedOn w:val="1"/>
    <w:link w:val="113"/>
    <w:qFormat/>
    <w:uiPriority w:val="99"/>
    <w:pPr>
      <w:adjustRightInd w:val="0"/>
      <w:spacing w:line="360" w:lineRule="auto"/>
    </w:pPr>
    <w:rPr>
      <w:kern w:val="0"/>
      <w:sz w:val="24"/>
      <w:szCs w:val="20"/>
    </w:rPr>
  </w:style>
  <w:style w:type="character" w:customStyle="1" w:styleId="115">
    <w:name w:val="font9pt-black"/>
    <w:qFormat/>
    <w:uiPriority w:val="99"/>
    <w:rPr>
      <w:rFonts w:cs="Times New Roman"/>
    </w:rPr>
  </w:style>
  <w:style w:type="character" w:customStyle="1" w:styleId="116">
    <w:name w:val="font-121"/>
    <w:qFormat/>
    <w:uiPriority w:val="99"/>
    <w:rPr>
      <w:color w:val="666666"/>
      <w:sz w:val="18"/>
      <w:u w:val="none"/>
    </w:rPr>
  </w:style>
  <w:style w:type="character" w:customStyle="1" w:styleId="117">
    <w:name w:val="Char Char Char1"/>
    <w:link w:val="118"/>
    <w:qFormat/>
    <w:locked/>
    <w:uiPriority w:val="99"/>
    <w:rPr>
      <w:rFonts w:ascii="Tahoma" w:hAnsi="Tahoma" w:eastAsia="宋体" w:cs="Times New Roman"/>
      <w:kern w:val="2"/>
      <w:sz w:val="24"/>
      <w:lang w:val="en-US" w:eastAsia="zh-CN" w:bidi="ar-SA"/>
    </w:rPr>
  </w:style>
  <w:style w:type="paragraph" w:customStyle="1" w:styleId="118">
    <w:name w:val="Char"/>
    <w:basedOn w:val="1"/>
    <w:link w:val="117"/>
    <w:qFormat/>
    <w:uiPriority w:val="99"/>
    <w:rPr>
      <w:rFonts w:ascii="Tahoma" w:hAnsi="Tahoma"/>
      <w:sz w:val="24"/>
      <w:szCs w:val="20"/>
    </w:rPr>
  </w:style>
  <w:style w:type="character" w:customStyle="1" w:styleId="119">
    <w:name w:val="14"/>
    <w:qFormat/>
    <w:uiPriority w:val="99"/>
    <w:rPr>
      <w:rFonts w:cs="Times New Roman"/>
    </w:rPr>
  </w:style>
  <w:style w:type="character" w:customStyle="1" w:styleId="120">
    <w:name w:val="正文不缩进 Char"/>
    <w:qFormat/>
    <w:uiPriority w:val="99"/>
    <w:rPr>
      <w:rFonts w:ascii="宋体" w:eastAsia="宋体" w:cs="Times New Roman"/>
      <w:sz w:val="24"/>
      <w:lang w:val="en-US" w:eastAsia="zh-CN" w:bidi="ar-SA"/>
    </w:rPr>
  </w:style>
  <w:style w:type="character" w:customStyle="1" w:styleId="121">
    <w:name w:val="正文格式 Char Char1"/>
    <w:link w:val="122"/>
    <w:qFormat/>
    <w:locked/>
    <w:uiPriority w:val="99"/>
    <w:rPr>
      <w:sz w:val="24"/>
    </w:rPr>
  </w:style>
  <w:style w:type="paragraph" w:customStyle="1" w:styleId="122">
    <w:name w:val="正文格式 Char"/>
    <w:basedOn w:val="1"/>
    <w:link w:val="121"/>
    <w:qFormat/>
    <w:uiPriority w:val="99"/>
    <w:pPr>
      <w:widowControl/>
      <w:adjustRightInd w:val="0"/>
      <w:snapToGrid w:val="0"/>
      <w:spacing w:line="360" w:lineRule="auto"/>
      <w:ind w:firstLine="527"/>
      <w:textAlignment w:val="baseline"/>
    </w:pPr>
    <w:rPr>
      <w:kern w:val="0"/>
      <w:sz w:val="24"/>
      <w:szCs w:val="20"/>
    </w:rPr>
  </w:style>
  <w:style w:type="character" w:customStyle="1" w:styleId="123">
    <w:name w:val="1.正文 Char"/>
    <w:link w:val="124"/>
    <w:qFormat/>
    <w:locked/>
    <w:uiPriority w:val="99"/>
    <w:rPr>
      <w:sz w:val="24"/>
      <w:lang w:val="en-US" w:eastAsia="zh-CN" w:bidi="ar-SA"/>
    </w:rPr>
  </w:style>
  <w:style w:type="paragraph" w:customStyle="1" w:styleId="124">
    <w:name w:val="1.正文"/>
    <w:link w:val="123"/>
    <w:qFormat/>
    <w:uiPriority w:val="99"/>
    <w:pPr>
      <w:widowControl w:val="0"/>
      <w:adjustRightInd w:val="0"/>
      <w:spacing w:line="360" w:lineRule="auto"/>
      <w:ind w:firstLine="397"/>
      <w:jc w:val="both"/>
      <w:textAlignment w:val="baseline"/>
    </w:pPr>
    <w:rPr>
      <w:rFonts w:ascii="Times New Roman" w:hAnsi="Times New Roman" w:eastAsia="宋体" w:cs="Times New Roman"/>
      <w:sz w:val="24"/>
      <w:lang w:val="en-US" w:eastAsia="zh-CN" w:bidi="ar-SA"/>
    </w:rPr>
  </w:style>
  <w:style w:type="character" w:customStyle="1" w:styleId="125">
    <w:name w:val="linkgray1"/>
    <w:qFormat/>
    <w:uiPriority w:val="99"/>
    <w:rPr>
      <w:color w:val="333333"/>
      <w:u w:val="none"/>
    </w:rPr>
  </w:style>
  <w:style w:type="character" w:customStyle="1" w:styleId="126">
    <w:name w:val="rmv1"/>
    <w:qFormat/>
    <w:uiPriority w:val="99"/>
  </w:style>
  <w:style w:type="character" w:customStyle="1" w:styleId="127">
    <w:name w:val="txt-deepblue-12b1"/>
    <w:qFormat/>
    <w:uiPriority w:val="99"/>
    <w:rPr>
      <w:rFonts w:ascii="宋体" w:hAnsi="宋体" w:eastAsia="宋体"/>
      <w:b/>
      <w:color w:val="0157A4"/>
      <w:sz w:val="18"/>
    </w:rPr>
  </w:style>
  <w:style w:type="character" w:customStyle="1" w:styleId="128">
    <w:name w:val="样式3 Char"/>
    <w:link w:val="129"/>
    <w:qFormat/>
    <w:locked/>
    <w:uiPriority w:val="99"/>
    <w:rPr>
      <w:kern w:val="2"/>
      <w:sz w:val="24"/>
    </w:rPr>
  </w:style>
  <w:style w:type="paragraph" w:customStyle="1" w:styleId="129">
    <w:name w:val="样式3"/>
    <w:basedOn w:val="1"/>
    <w:link w:val="128"/>
    <w:qFormat/>
    <w:uiPriority w:val="99"/>
    <w:pPr>
      <w:spacing w:line="360" w:lineRule="auto"/>
      <w:ind w:firstLine="480" w:firstLineChars="200"/>
    </w:pPr>
    <w:rPr>
      <w:sz w:val="24"/>
      <w:szCs w:val="20"/>
    </w:rPr>
  </w:style>
  <w:style w:type="character" w:customStyle="1" w:styleId="130">
    <w:name w:val="style11"/>
    <w:qFormat/>
    <w:uiPriority w:val="99"/>
    <w:rPr>
      <w:color w:val="FF4500"/>
    </w:rPr>
  </w:style>
  <w:style w:type="character" w:customStyle="1" w:styleId="131">
    <w:name w:val="font_41"/>
    <w:qFormat/>
    <w:uiPriority w:val="99"/>
    <w:rPr>
      <w:rFonts w:ascii="宋体" w:hAnsi="宋体" w:eastAsia="宋体" w:cs="Times New Roman"/>
      <w:color w:val="333333"/>
      <w:sz w:val="18"/>
      <w:szCs w:val="18"/>
    </w:rPr>
  </w:style>
  <w:style w:type="character" w:customStyle="1" w:styleId="132">
    <w:name w:val="A5"/>
    <w:qFormat/>
    <w:uiPriority w:val="99"/>
    <w:rPr>
      <w:rFonts w:ascii="Adobe Song Std L" w:eastAsia="Adobe Song Std L"/>
      <w:color w:val="6C6E70"/>
      <w:sz w:val="20"/>
    </w:rPr>
  </w:style>
  <w:style w:type="character" w:customStyle="1" w:styleId="133">
    <w:name w:val="正文文本 2 Char1"/>
    <w:qFormat/>
    <w:uiPriority w:val="99"/>
    <w:rPr>
      <w:rFonts w:cs="Times New Roman"/>
      <w:kern w:val="2"/>
      <w:sz w:val="24"/>
      <w:szCs w:val="24"/>
    </w:rPr>
  </w:style>
  <w:style w:type="character" w:customStyle="1" w:styleId="134">
    <w:name w:val="style5 style3"/>
    <w:qFormat/>
    <w:uiPriority w:val="99"/>
    <w:rPr>
      <w:rFonts w:cs="Times New Roman"/>
    </w:rPr>
  </w:style>
  <w:style w:type="character" w:customStyle="1" w:styleId="135">
    <w:name w:val="标题 3 Alt+3！ Char"/>
    <w:link w:val="136"/>
    <w:qFormat/>
    <w:locked/>
    <w:uiPriority w:val="99"/>
    <w:rPr>
      <w:rFonts w:ascii="Arial" w:hAnsi="Arial" w:eastAsia="黑体"/>
      <w:b/>
      <w:color w:val="000080"/>
      <w:sz w:val="28"/>
    </w:rPr>
  </w:style>
  <w:style w:type="paragraph" w:customStyle="1" w:styleId="136">
    <w:name w:val="标题 3 Alt+3！"/>
    <w:basedOn w:val="5"/>
    <w:link w:val="135"/>
    <w:qFormat/>
    <w:uiPriority w:val="99"/>
    <w:pPr>
      <w:keepNext w:val="0"/>
      <w:keepLines w:val="0"/>
      <w:tabs>
        <w:tab w:val="left" w:pos="720"/>
        <w:tab w:val="left" w:pos="5220"/>
      </w:tabs>
      <w:spacing w:beforeLines="50" w:after="0" w:line="360" w:lineRule="auto"/>
      <w:ind w:left="720" w:right="-796" w:rightChars="-379" w:hanging="720"/>
      <w:jc w:val="left"/>
    </w:pPr>
    <w:rPr>
      <w:rFonts w:ascii="Arial" w:hAnsi="Arial" w:eastAsia="黑体"/>
      <w:bCs w:val="0"/>
      <w:color w:val="000080"/>
      <w:kern w:val="0"/>
      <w:sz w:val="28"/>
      <w:szCs w:val="20"/>
    </w:rPr>
  </w:style>
  <w:style w:type="character" w:customStyle="1" w:styleId="137">
    <w:name w:val="正文标题后 Char"/>
    <w:link w:val="138"/>
    <w:qFormat/>
    <w:locked/>
    <w:uiPriority w:val="99"/>
    <w:rPr>
      <w:rFonts w:ascii="宋体" w:eastAsia="宋体"/>
      <w:sz w:val="28"/>
    </w:rPr>
  </w:style>
  <w:style w:type="paragraph" w:customStyle="1" w:styleId="138">
    <w:name w:val="正文标题后"/>
    <w:basedOn w:val="1"/>
    <w:link w:val="137"/>
    <w:qFormat/>
    <w:uiPriority w:val="99"/>
    <w:pPr>
      <w:spacing w:line="360" w:lineRule="auto"/>
      <w:ind w:firstLine="560" w:firstLineChars="200"/>
    </w:pPr>
    <w:rPr>
      <w:rFonts w:ascii="宋体"/>
      <w:kern w:val="0"/>
      <w:sz w:val="28"/>
      <w:szCs w:val="20"/>
    </w:rPr>
  </w:style>
  <w:style w:type="character" w:customStyle="1" w:styleId="139">
    <w:name w:val="自定义正文 Char Char"/>
    <w:link w:val="140"/>
    <w:qFormat/>
    <w:locked/>
    <w:uiPriority w:val="99"/>
    <w:rPr>
      <w:rFonts w:eastAsia="宋体" w:cs="Times New Roman"/>
      <w:kern w:val="2"/>
      <w:sz w:val="24"/>
      <w:szCs w:val="24"/>
      <w:lang w:val="en-US" w:eastAsia="zh-CN" w:bidi="ar-SA"/>
    </w:rPr>
  </w:style>
  <w:style w:type="paragraph" w:customStyle="1" w:styleId="140">
    <w:name w:val="自定义正文"/>
    <w:basedOn w:val="1"/>
    <w:link w:val="139"/>
    <w:qFormat/>
    <w:uiPriority w:val="99"/>
    <w:pPr>
      <w:spacing w:afterLines="50" w:line="360" w:lineRule="auto"/>
      <w:ind w:firstLine="200" w:firstLineChars="200"/>
      <w:jc w:val="left"/>
    </w:pPr>
    <w:rPr>
      <w:sz w:val="24"/>
    </w:rPr>
  </w:style>
  <w:style w:type="character" w:customStyle="1" w:styleId="141">
    <w:name w:val="unnamed1"/>
    <w:qFormat/>
    <w:uiPriority w:val="99"/>
    <w:rPr>
      <w:rFonts w:cs="Times New Roman"/>
    </w:rPr>
  </w:style>
  <w:style w:type="character" w:customStyle="1" w:styleId="142">
    <w:name w:val="txt1"/>
    <w:qFormat/>
    <w:uiPriority w:val="99"/>
    <w:rPr>
      <w:rFonts w:ascii="??" w:hAnsi="??"/>
      <w:color w:val="000000"/>
      <w:sz w:val="18"/>
    </w:rPr>
  </w:style>
  <w:style w:type="character" w:customStyle="1" w:styleId="143">
    <w:name w:val="A7"/>
    <w:qFormat/>
    <w:uiPriority w:val="99"/>
    <w:rPr>
      <w:b/>
      <w:color w:val="5988C6"/>
      <w:sz w:val="16"/>
    </w:rPr>
  </w:style>
  <w:style w:type="paragraph" w:customStyle="1" w:styleId="144">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_GB2312" w:hAnsi="宋体" w:eastAsia="Times New Roman" w:cs="宋体"/>
      <w:kern w:val="0"/>
      <w:sz w:val="24"/>
    </w:rPr>
  </w:style>
  <w:style w:type="paragraph" w:customStyle="1" w:styleId="145">
    <w:name w:val="样式 标题 3 + 小四"/>
    <w:basedOn w:val="1"/>
    <w:qFormat/>
    <w:uiPriority w:val="99"/>
  </w:style>
  <w:style w:type="paragraph" w:customStyle="1" w:styleId="14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_GB2312" w:hAnsi="宋体" w:eastAsia="Times New Roman" w:cs="宋体"/>
      <w:kern w:val="0"/>
      <w:sz w:val="24"/>
    </w:rPr>
  </w:style>
  <w:style w:type="paragraph" w:customStyle="1" w:styleId="147">
    <w:name w:val="项目2"/>
    <w:basedOn w:val="1"/>
    <w:qFormat/>
    <w:uiPriority w:val="99"/>
    <w:pPr>
      <w:widowControl/>
      <w:tabs>
        <w:tab w:val="left" w:pos="420"/>
      </w:tabs>
      <w:adjustRightInd w:val="0"/>
      <w:spacing w:line="360" w:lineRule="auto"/>
      <w:ind w:left="420" w:right="240" w:hanging="420" w:firstLineChars="200"/>
      <w:jc w:val="left"/>
    </w:pPr>
    <w:rPr>
      <w:rFonts w:ascii="宋体"/>
      <w:bCs/>
      <w:kern w:val="0"/>
      <w:sz w:val="24"/>
      <w:szCs w:val="20"/>
    </w:rPr>
  </w:style>
  <w:style w:type="paragraph" w:customStyle="1" w:styleId="148">
    <w:name w:val="文档正文"/>
    <w:basedOn w:val="1"/>
    <w:qFormat/>
    <w:uiPriority w:val="99"/>
    <w:pPr>
      <w:adjustRightInd w:val="0"/>
      <w:spacing w:beforeLines="50" w:afterLines="50" w:line="480" w:lineRule="atLeast"/>
      <w:ind w:firstLine="567"/>
      <w:textAlignment w:val="baseline"/>
    </w:pPr>
    <w:rPr>
      <w:rFonts w:eastAsia="楷体_GB2312"/>
      <w:kern w:val="0"/>
      <w:sz w:val="28"/>
      <w:szCs w:val="20"/>
    </w:rPr>
  </w:style>
  <w:style w:type="paragraph" w:customStyle="1" w:styleId="149">
    <w:name w:val="Char Char Char Char"/>
    <w:basedOn w:val="17"/>
    <w:qFormat/>
    <w:uiPriority w:val="99"/>
    <w:rPr>
      <w:rFonts w:ascii="Tahoma" w:hAnsi="Tahoma"/>
      <w:sz w:val="24"/>
    </w:rPr>
  </w:style>
  <w:style w:type="paragraph" w:customStyle="1" w:styleId="150">
    <w:name w:val="样式 样式 标题 3h3Level 3 HeadH3level_3PIM 3 + 行距: 1.5 倍行距 +"/>
    <w:basedOn w:val="1"/>
    <w:qFormat/>
    <w:uiPriority w:val="99"/>
    <w:pPr>
      <w:keepLines/>
      <w:widowControl/>
      <w:spacing w:before="360" w:afterLines="100" w:line="360" w:lineRule="auto"/>
      <w:ind w:left="2249" w:hanging="420"/>
      <w:outlineLvl w:val="2"/>
    </w:pPr>
    <w:rPr>
      <w:rFonts w:eastAsia="黑体" w:cs="宋体"/>
      <w:b/>
      <w:bCs/>
      <w:sz w:val="36"/>
      <w:szCs w:val="36"/>
    </w:rPr>
  </w:style>
  <w:style w:type="paragraph" w:customStyle="1" w:styleId="151">
    <w:name w:val="样式 行距: 2 倍行距 左  6.5 字符"/>
    <w:basedOn w:val="1"/>
    <w:qFormat/>
    <w:uiPriority w:val="99"/>
    <w:pPr>
      <w:ind w:left="200" w:leftChars="200"/>
    </w:pPr>
    <w:rPr>
      <w:rFonts w:cs="宋体"/>
      <w:kern w:val="0"/>
      <w:szCs w:val="20"/>
    </w:rPr>
  </w:style>
  <w:style w:type="paragraph" w:customStyle="1" w:styleId="152">
    <w:name w:val="4.1.2.1. 功能描述3"/>
    <w:basedOn w:val="5"/>
    <w:qFormat/>
    <w:uiPriority w:val="99"/>
    <w:pPr>
      <w:keepLines w:val="0"/>
      <w:tabs>
        <w:tab w:val="left" w:pos="720"/>
      </w:tabs>
      <w:spacing w:before="0" w:after="0" w:line="320" w:lineRule="exact"/>
      <w:ind w:left="720" w:hanging="720"/>
    </w:pPr>
    <w:rPr>
      <w:rFonts w:ascii="宋体" w:hAnsi="宋体" w:eastAsia="宋体"/>
      <w:sz w:val="21"/>
      <w:szCs w:val="24"/>
    </w:rPr>
  </w:style>
  <w:style w:type="paragraph" w:customStyle="1" w:styleId="153">
    <w:name w:val="Char11"/>
    <w:basedOn w:val="1"/>
    <w:qFormat/>
    <w:uiPriority w:val="99"/>
    <w:rPr>
      <w:rFonts w:ascii="??_GB2312" w:hAnsi="宋体" w:eastAsia="Times New Roman"/>
      <w:b/>
      <w:color w:val="000000"/>
      <w:szCs w:val="21"/>
    </w:rPr>
  </w:style>
  <w:style w:type="paragraph" w:customStyle="1" w:styleId="154">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_GB2312" w:hAnsi="宋体" w:eastAsia="Times New Roman" w:cs="宋体"/>
      <w:kern w:val="0"/>
      <w:sz w:val="24"/>
    </w:rPr>
  </w:style>
  <w:style w:type="paragraph" w:customStyle="1" w:styleId="155">
    <w:name w:val="封面正文"/>
    <w:qFormat/>
    <w:uiPriority w:val="99"/>
    <w:pPr>
      <w:jc w:val="both"/>
    </w:pPr>
    <w:rPr>
      <w:rFonts w:ascii="Times New Roman" w:hAnsi="Times New Roman" w:eastAsia="宋体" w:cs="Times New Roman"/>
      <w:lang w:val="en-US" w:eastAsia="zh-CN" w:bidi="ar-SA"/>
    </w:rPr>
  </w:style>
  <w:style w:type="paragraph" w:customStyle="1" w:styleId="156">
    <w:name w:val="ptdl"/>
    <w:basedOn w:val="1"/>
    <w:qFormat/>
    <w:uiPriority w:val="99"/>
    <w:pPr>
      <w:spacing w:after="156"/>
      <w:ind w:firstLine="480"/>
    </w:pPr>
    <w:rPr>
      <w:sz w:val="24"/>
    </w:rPr>
  </w:style>
  <w:style w:type="paragraph" w:customStyle="1" w:styleId="157">
    <w:name w:val="rmv2"/>
    <w:basedOn w:val="1"/>
    <w:qFormat/>
    <w:uiPriority w:val="99"/>
    <w:pPr>
      <w:widowControl/>
      <w:spacing w:after="150"/>
      <w:jc w:val="left"/>
    </w:pPr>
    <w:rPr>
      <w:rFonts w:ascii="宋体" w:hAnsi="宋体" w:cs="宋体"/>
      <w:kern w:val="0"/>
      <w:sz w:val="24"/>
    </w:rPr>
  </w:style>
  <w:style w:type="paragraph" w:customStyle="1" w:styleId="158">
    <w:name w:val="方案正文"/>
    <w:basedOn w:val="1"/>
    <w:qFormat/>
    <w:uiPriority w:val="99"/>
    <w:pPr>
      <w:spacing w:line="360" w:lineRule="auto"/>
    </w:pPr>
    <w:rPr>
      <w:sz w:val="24"/>
    </w:rPr>
  </w:style>
  <w:style w:type="paragraph" w:customStyle="1" w:styleId="159">
    <w:name w:val="_Style 112"/>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0">
    <w:name w:val="正文 + 宋体"/>
    <w:basedOn w:val="1"/>
    <w:qFormat/>
    <w:uiPriority w:val="99"/>
    <w:rPr>
      <w:color w:val="000000"/>
      <w:sz w:val="28"/>
      <w:szCs w:val="20"/>
    </w:rPr>
  </w:style>
  <w:style w:type="paragraph" w:customStyle="1" w:styleId="161">
    <w:name w:val="Char Char1 Char Char2 Char Char"/>
    <w:basedOn w:val="1"/>
    <w:qFormat/>
    <w:uiPriority w:val="99"/>
    <w:pPr>
      <w:spacing w:after="160" w:line="240" w:lineRule="exact"/>
      <w:jc w:val="left"/>
    </w:pPr>
    <w:rPr>
      <w:rFonts w:ascii="Verdana" w:hAnsi="Verdana"/>
      <w:kern w:val="0"/>
      <w:sz w:val="20"/>
      <w:szCs w:val="20"/>
      <w:lang w:eastAsia="en-US"/>
    </w:rPr>
  </w:style>
  <w:style w:type="paragraph" w:customStyle="1" w:styleId="162">
    <w:name w:val="样式1"/>
    <w:basedOn w:val="1"/>
    <w:qFormat/>
    <w:uiPriority w:val="99"/>
    <w:pPr>
      <w:tabs>
        <w:tab w:val="left" w:pos="540"/>
        <w:tab w:val="left" w:pos="900"/>
        <w:tab w:val="left" w:pos="2070"/>
        <w:tab w:val="left" w:pos="3150"/>
        <w:tab w:val="center" w:pos="5940"/>
        <w:tab w:val="right" w:pos="8100"/>
      </w:tabs>
      <w:wordWrap w:val="0"/>
      <w:overflowPunct w:val="0"/>
      <w:adjustRightInd w:val="0"/>
      <w:snapToGrid w:val="0"/>
      <w:spacing w:before="120" w:after="120" w:line="360" w:lineRule="auto"/>
      <w:ind w:left="1155"/>
      <w:textAlignment w:val="baseline"/>
    </w:pPr>
    <w:rPr>
      <w:rFonts w:ascii="宋体" w:hAnsi="宋体"/>
      <w:color w:val="000000"/>
      <w:kern w:val="0"/>
      <w:szCs w:val="20"/>
    </w:rPr>
  </w:style>
  <w:style w:type="paragraph" w:customStyle="1" w:styleId="163">
    <w:name w:val="标题3"/>
    <w:basedOn w:val="5"/>
    <w:qFormat/>
    <w:uiPriority w:val="99"/>
    <w:rPr>
      <w:rFonts w:ascii="宋体" w:hAnsi="宋体" w:eastAsia="宋体"/>
      <w:sz w:val="28"/>
      <w:szCs w:val="28"/>
    </w:rPr>
  </w:style>
  <w:style w:type="paragraph" w:customStyle="1" w:styleId="164">
    <w:name w:val="细目"/>
    <w:basedOn w:val="1"/>
    <w:qFormat/>
    <w:uiPriority w:val="99"/>
    <w:pPr>
      <w:numPr>
        <w:ilvl w:val="0"/>
        <w:numId w:val="2"/>
      </w:numPr>
      <w:snapToGrid w:val="0"/>
      <w:spacing w:before="240" w:after="120" w:line="320" w:lineRule="exact"/>
      <w:jc w:val="left"/>
    </w:pPr>
    <w:rPr>
      <w:rFonts w:hAnsi="Arial"/>
      <w:bCs/>
      <w:spacing w:val="10"/>
      <w:kern w:val="0"/>
      <w:szCs w:val="20"/>
    </w:rPr>
  </w:style>
  <w:style w:type="paragraph" w:customStyle="1" w:styleId="165">
    <w:name w:val="招标文件正文"/>
    <w:qFormat/>
    <w:uiPriority w:val="0"/>
    <w:pPr>
      <w:spacing w:before="120" w:after="120" w:line="300" w:lineRule="auto"/>
      <w:ind w:firstLine="200" w:firstLineChars="200"/>
    </w:pPr>
    <w:rPr>
      <w:rFonts w:ascii="宋体" w:hAnsi="Times New Roman" w:eastAsia="宋体" w:cs="Times New Roman"/>
      <w:spacing w:val="10"/>
      <w:w w:val="95"/>
      <w:sz w:val="21"/>
      <w:szCs w:val="22"/>
      <w:lang w:val="en-US" w:eastAsia="zh-CN" w:bidi="ar-SA"/>
    </w:rPr>
  </w:style>
  <w:style w:type="paragraph" w:customStyle="1" w:styleId="166">
    <w:name w:val="自定义表格文字"/>
    <w:basedOn w:val="1"/>
    <w:qFormat/>
    <w:uiPriority w:val="99"/>
    <w:pPr>
      <w:spacing w:before="60" w:after="60" w:line="320" w:lineRule="exact"/>
      <w:jc w:val="left"/>
    </w:pPr>
    <w:rPr>
      <w:rFonts w:ascii="宋体"/>
    </w:rPr>
  </w:style>
  <w:style w:type="paragraph" w:customStyle="1" w:styleId="167">
    <w:name w:val=".."/>
    <w:basedOn w:val="1"/>
    <w:next w:val="1"/>
    <w:qFormat/>
    <w:uiPriority w:val="99"/>
    <w:pPr>
      <w:autoSpaceDE w:val="0"/>
      <w:autoSpaceDN w:val="0"/>
      <w:adjustRightInd w:val="0"/>
      <w:jc w:val="left"/>
    </w:pPr>
    <w:rPr>
      <w:rFonts w:ascii="宋体"/>
      <w:sz w:val="20"/>
    </w:rPr>
  </w:style>
  <w:style w:type="paragraph" w:customStyle="1" w:styleId="168">
    <w:name w:val="样式 (西文) 幼圆 左 段前: 0 磅 段后: 0 磅 行距: 1.5 倍行距"/>
    <w:basedOn w:val="1"/>
    <w:qFormat/>
    <w:uiPriority w:val="99"/>
    <w:pPr>
      <w:numPr>
        <w:ilvl w:val="0"/>
        <w:numId w:val="3"/>
      </w:numPr>
      <w:spacing w:line="360" w:lineRule="auto"/>
      <w:jc w:val="left"/>
    </w:pPr>
    <w:rPr>
      <w:rFonts w:ascii="幼圆" w:cs="宋体"/>
      <w:szCs w:val="20"/>
    </w:rPr>
  </w:style>
  <w:style w:type="paragraph" w:customStyle="1" w:styleId="169">
    <w:name w:val="正文段"/>
    <w:basedOn w:val="1"/>
    <w:qFormat/>
    <w:uiPriority w:val="99"/>
    <w:pPr>
      <w:autoSpaceDE w:val="0"/>
      <w:autoSpaceDN w:val="0"/>
      <w:adjustRightInd w:val="0"/>
      <w:spacing w:after="240" w:line="360" w:lineRule="atLeast"/>
      <w:ind w:firstLine="454"/>
      <w:textAlignment w:val="baseline"/>
    </w:pPr>
    <w:rPr>
      <w:rFonts w:ascii="宋体" w:hAnsi="Tms Rmn"/>
      <w:kern w:val="0"/>
      <w:sz w:val="24"/>
      <w:szCs w:val="20"/>
    </w:rPr>
  </w:style>
  <w:style w:type="paragraph" w:customStyle="1" w:styleId="170">
    <w:name w:val="正文缩进1"/>
    <w:basedOn w:val="1"/>
    <w:qFormat/>
    <w:uiPriority w:val="99"/>
    <w:pPr>
      <w:ind w:firstLine="420"/>
    </w:pPr>
  </w:style>
  <w:style w:type="paragraph" w:customStyle="1" w:styleId="171">
    <w:name w:val="xl76"/>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_GB2312" w:hAnsi="宋体" w:eastAsia="Times New Roman" w:cs="宋体"/>
      <w:kern w:val="0"/>
      <w:sz w:val="24"/>
    </w:rPr>
  </w:style>
  <w:style w:type="paragraph" w:customStyle="1" w:styleId="172">
    <w:name w:val="textarea"/>
    <w:basedOn w:val="1"/>
    <w:qFormat/>
    <w:uiPriority w:val="99"/>
    <w:pPr>
      <w:widowControl/>
      <w:shd w:val="clear" w:color="auto" w:fill="FFFCFB"/>
      <w:spacing w:before="100" w:beforeAutospacing="1" w:after="100" w:afterAutospacing="1"/>
      <w:jc w:val="left"/>
    </w:pPr>
    <w:rPr>
      <w:rFonts w:ascii="Tahoma" w:hAnsi="Tahoma" w:cs="Tahoma"/>
      <w:color w:val="000000"/>
      <w:kern w:val="0"/>
      <w:sz w:val="18"/>
      <w:szCs w:val="18"/>
    </w:rPr>
  </w:style>
  <w:style w:type="paragraph" w:customStyle="1" w:styleId="173">
    <w:name w:val="章标题"/>
    <w:next w:val="1"/>
    <w:qFormat/>
    <w:uiPriority w:val="99"/>
    <w:pPr>
      <w:spacing w:beforeLines="50" w:afterLines="50"/>
      <w:jc w:val="both"/>
      <w:outlineLvl w:val="1"/>
    </w:pPr>
    <w:rPr>
      <w:rFonts w:ascii="黑体" w:hAnsi="Times New Roman" w:eastAsia="黑体" w:cs="Times New Roman"/>
      <w:sz w:val="21"/>
      <w:lang w:val="en-US" w:eastAsia="zh-CN" w:bidi="ar-SA"/>
    </w:rPr>
  </w:style>
  <w:style w:type="paragraph" w:customStyle="1" w:styleId="174">
    <w:name w:val="样式 样式1 + 小四 行距: 1.5 倍行距"/>
    <w:basedOn w:val="1"/>
    <w:qFormat/>
    <w:uiPriority w:val="99"/>
    <w:pPr>
      <w:numPr>
        <w:ilvl w:val="0"/>
        <w:numId w:val="4"/>
      </w:numPr>
      <w:spacing w:line="360" w:lineRule="auto"/>
    </w:pPr>
    <w:rPr>
      <w:rFonts w:eastAsia="黑体" w:cs="宋体"/>
      <w:b/>
      <w:sz w:val="28"/>
      <w:szCs w:val="28"/>
    </w:rPr>
  </w:style>
  <w:style w:type="paragraph" w:customStyle="1" w:styleId="175">
    <w:name w:val="Char Char Char Char Char Char Char Char Char"/>
    <w:basedOn w:val="1"/>
    <w:qFormat/>
    <w:uiPriority w:val="99"/>
    <w:pPr>
      <w:numPr>
        <w:ilvl w:val="0"/>
        <w:numId w:val="5"/>
      </w:numPr>
      <w:tabs>
        <w:tab w:val="left" w:pos="1200"/>
      </w:tabs>
      <w:ind w:left="1200"/>
    </w:pPr>
    <w:rPr>
      <w:sz w:val="24"/>
    </w:rPr>
  </w:style>
  <w:style w:type="paragraph" w:customStyle="1" w:styleId="176">
    <w:name w:val="TOC 标题1"/>
    <w:basedOn w:val="3"/>
    <w:next w:val="1"/>
    <w:qFormat/>
    <w:uiPriority w:val="99"/>
    <w:pPr>
      <w:spacing w:line="578" w:lineRule="auto"/>
      <w:jc w:val="center"/>
      <w:outlineLvl w:val="9"/>
    </w:pPr>
  </w:style>
  <w:style w:type="paragraph" w:customStyle="1" w:styleId="177">
    <w:name w:val="样式 (西文) 幼圆 左 左侧:  1.27 厘米 段前: 0 磅 段后: 0 磅 行距: 1.5 倍行距"/>
    <w:basedOn w:val="1"/>
    <w:qFormat/>
    <w:uiPriority w:val="99"/>
    <w:pPr>
      <w:spacing w:line="360" w:lineRule="auto"/>
      <w:ind w:left="567"/>
      <w:jc w:val="left"/>
    </w:pPr>
    <w:rPr>
      <w:rFonts w:ascii="幼圆" w:cs="宋体"/>
      <w:szCs w:val="20"/>
    </w:rPr>
  </w:style>
  <w:style w:type="paragraph" w:customStyle="1" w:styleId="17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_GB2312" w:hAnsi="宋体" w:eastAsia="Times New Roman" w:cs="宋体"/>
      <w:kern w:val="0"/>
      <w:sz w:val="24"/>
    </w:rPr>
  </w:style>
  <w:style w:type="paragraph" w:customStyle="1" w:styleId="179">
    <w:name w:val="样式6"/>
    <w:basedOn w:val="8"/>
    <w:qFormat/>
    <w:uiPriority w:val="99"/>
    <w:pPr>
      <w:widowControl/>
      <w:numPr>
        <w:ilvl w:val="5"/>
        <w:numId w:val="6"/>
      </w:numPr>
      <w:autoSpaceDE/>
      <w:autoSpaceDN/>
      <w:spacing w:line="320" w:lineRule="auto"/>
      <w:jc w:val="left"/>
      <w:textAlignment w:val="auto"/>
    </w:pPr>
    <w:rPr>
      <w:rFonts w:ascii="Arial" w:hAnsi="Arial" w:eastAsia="宋体"/>
      <w:spacing w:val="0"/>
      <w:sz w:val="24"/>
      <w:szCs w:val="20"/>
    </w:rPr>
  </w:style>
  <w:style w:type="paragraph" w:customStyle="1" w:styleId="180">
    <w:name w:val="标题2级"/>
    <w:basedOn w:val="4"/>
    <w:qFormat/>
    <w:uiPriority w:val="99"/>
    <w:pPr>
      <w:tabs>
        <w:tab w:val="left" w:pos="567"/>
      </w:tabs>
      <w:spacing w:before="0" w:after="0" w:line="360" w:lineRule="auto"/>
      <w:ind w:left="397" w:hanging="397"/>
    </w:pPr>
    <w:rPr>
      <w:rFonts w:ascii="宋体" w:hAnsi="宋体" w:eastAsia="宋体" w:cs="Times New Roman"/>
    </w:rPr>
  </w:style>
  <w:style w:type="paragraph" w:customStyle="1" w:styleId="181">
    <w:name w:val="Heading 41"/>
    <w:basedOn w:val="1"/>
    <w:qFormat/>
    <w:uiPriority w:val="99"/>
    <w:pPr>
      <w:ind w:left="120"/>
      <w:outlineLvl w:val="4"/>
    </w:pPr>
    <w:rPr>
      <w:rFonts w:ascii="宋体" w:hAnsi="宋体" w:cs="宋体"/>
      <w:b/>
      <w:bCs/>
      <w:sz w:val="24"/>
    </w:rPr>
  </w:style>
  <w:style w:type="paragraph" w:customStyle="1" w:styleId="182">
    <w:name w:val="a14"/>
    <w:basedOn w:val="1"/>
    <w:qFormat/>
    <w:uiPriority w:val="99"/>
    <w:pPr>
      <w:widowControl/>
      <w:numPr>
        <w:ilvl w:val="1"/>
        <w:numId w:val="7"/>
      </w:numPr>
      <w:spacing w:before="100" w:beforeAutospacing="1" w:after="100" w:afterAutospacing="1" w:line="300" w:lineRule="atLeast"/>
      <w:ind w:left="0" w:firstLine="375"/>
      <w:jc w:val="left"/>
    </w:pPr>
    <w:rPr>
      <w:rFonts w:ascii="宋体" w:hAnsi="宋体" w:cs="宋体"/>
      <w:kern w:val="0"/>
      <w:szCs w:val="21"/>
    </w:rPr>
  </w:style>
  <w:style w:type="paragraph" w:customStyle="1" w:styleId="183">
    <w:name w:val="内容1"/>
    <w:basedOn w:val="1"/>
    <w:qFormat/>
    <w:uiPriority w:val="99"/>
    <w:pPr>
      <w:numPr>
        <w:ilvl w:val="0"/>
        <w:numId w:val="8"/>
      </w:numPr>
      <w:spacing w:line="360" w:lineRule="auto"/>
    </w:pPr>
    <w:rPr>
      <w:rFonts w:ascii="宋体" w:hAnsi="宋体"/>
      <w:b/>
      <w:color w:val="000000"/>
      <w:sz w:val="24"/>
    </w:rPr>
  </w:style>
  <w:style w:type="paragraph" w:customStyle="1" w:styleId="184">
    <w:name w:val="表格 #1"/>
    <w:basedOn w:val="1"/>
    <w:qFormat/>
    <w:uiPriority w:val="99"/>
    <w:pPr>
      <w:adjustRightInd w:val="0"/>
      <w:snapToGrid w:val="0"/>
      <w:jc w:val="center"/>
    </w:pPr>
    <w:rPr>
      <w:sz w:val="24"/>
    </w:rPr>
  </w:style>
  <w:style w:type="paragraph" w:customStyle="1" w:styleId="185">
    <w:name w:val="符号与编号"/>
    <w:basedOn w:val="1"/>
    <w:qFormat/>
    <w:uiPriority w:val="99"/>
    <w:pPr>
      <w:numPr>
        <w:ilvl w:val="0"/>
        <w:numId w:val="9"/>
      </w:numPr>
      <w:spacing w:afterLines="50" w:line="400" w:lineRule="atLeast"/>
    </w:pPr>
    <w:rPr>
      <w:sz w:val="28"/>
      <w:szCs w:val="28"/>
    </w:rPr>
  </w:style>
  <w:style w:type="paragraph" w:customStyle="1" w:styleId="186">
    <w:name w:val="Heading 21"/>
    <w:basedOn w:val="1"/>
    <w:qFormat/>
    <w:uiPriority w:val="99"/>
    <w:pPr>
      <w:ind w:left="120"/>
      <w:outlineLvl w:val="2"/>
    </w:pPr>
    <w:rPr>
      <w:rFonts w:ascii="宋体" w:hAnsi="宋体" w:cs="宋体"/>
      <w:b/>
      <w:bCs/>
      <w:sz w:val="32"/>
      <w:szCs w:val="32"/>
    </w:rPr>
  </w:style>
  <w:style w:type="paragraph" w:customStyle="1" w:styleId="187">
    <w:name w:val="项目1"/>
    <w:basedOn w:val="14"/>
    <w:next w:val="14"/>
    <w:qFormat/>
    <w:uiPriority w:val="99"/>
  </w:style>
  <w:style w:type="paragraph" w:customStyle="1" w:styleId="188">
    <w:name w:val="1 Char Char Char Char"/>
    <w:basedOn w:val="1"/>
    <w:qFormat/>
    <w:uiPriority w:val="99"/>
    <w:pPr>
      <w:spacing w:line="360" w:lineRule="auto"/>
      <w:jc w:val="center"/>
    </w:pPr>
    <w:rPr>
      <w:rFonts w:ascii="Tahoma" w:hAnsi="Tahoma"/>
      <w:sz w:val="24"/>
      <w:szCs w:val="20"/>
    </w:rPr>
  </w:style>
  <w:style w:type="paragraph" w:customStyle="1" w:styleId="189">
    <w:name w:val="★B00.宋体小四"/>
    <w:basedOn w:val="1"/>
    <w:qFormat/>
    <w:uiPriority w:val="0"/>
    <w:pPr>
      <w:spacing w:line="360" w:lineRule="auto"/>
      <w:ind w:firstLine="420" w:firstLineChars="200"/>
    </w:pPr>
    <w:rPr>
      <w:rFonts w:ascii="宋体" w:hAnsi="宋体" w:eastAsia="宋体" w:cs="Times New Roman"/>
      <w:szCs w:val="21"/>
    </w:rPr>
  </w:style>
  <w:style w:type="paragraph" w:customStyle="1" w:styleId="190">
    <w:name w:val="文字"/>
    <w:basedOn w:val="1"/>
    <w:qFormat/>
    <w:uiPriority w:val="99"/>
    <w:pPr>
      <w:tabs>
        <w:tab w:val="left" w:pos="8520"/>
      </w:tabs>
      <w:spacing w:line="312" w:lineRule="auto"/>
      <w:ind w:right="-210" w:firstLine="556"/>
    </w:pPr>
    <w:rPr>
      <w:rFonts w:ascii="宋体" w:hAnsi="宋体" w:cs="黑体"/>
      <w:sz w:val="28"/>
    </w:rPr>
  </w:style>
  <w:style w:type="paragraph" w:customStyle="1" w:styleId="191">
    <w:name w:val="文章标题"/>
    <w:basedOn w:val="4"/>
    <w:next w:val="3"/>
    <w:qFormat/>
    <w:uiPriority w:val="99"/>
    <w:pPr>
      <w:keepNext w:val="0"/>
      <w:keepLines w:val="0"/>
      <w:adjustRightInd w:val="0"/>
      <w:spacing w:before="120" w:after="120" w:line="240" w:lineRule="auto"/>
      <w:jc w:val="center"/>
      <w:textAlignment w:val="baseline"/>
      <w:outlineLvl w:val="9"/>
    </w:pPr>
    <w:rPr>
      <w:rFonts w:ascii="宋体" w:hAnsi="Times New Roman" w:eastAsia="宋体" w:cs="Times New Roman"/>
      <w:bCs w:val="0"/>
      <w:spacing w:val="20"/>
      <w:kern w:val="0"/>
      <w:sz w:val="48"/>
      <w:szCs w:val="20"/>
    </w:rPr>
  </w:style>
  <w:style w:type="paragraph" w:customStyle="1" w:styleId="192">
    <w:name w:val="表格首行"/>
    <w:basedOn w:val="1"/>
    <w:qFormat/>
    <w:uiPriority w:val="99"/>
    <w:pPr>
      <w:spacing w:line="360" w:lineRule="auto"/>
      <w:jc w:val="center"/>
    </w:pPr>
    <w:rPr>
      <w:rFonts w:ascii="宋体" w:hAnsi="宋体" w:cs="宋体"/>
      <w:b/>
      <w:bCs/>
      <w:szCs w:val="21"/>
    </w:rPr>
  </w:style>
  <w:style w:type="paragraph" w:customStyle="1" w:styleId="193">
    <w:name w:val="alignc1"/>
    <w:basedOn w:val="1"/>
    <w:qFormat/>
    <w:uiPriority w:val="99"/>
    <w:pPr>
      <w:widowControl/>
      <w:spacing w:after="150"/>
      <w:jc w:val="center"/>
    </w:pPr>
    <w:rPr>
      <w:rFonts w:ascii="宋体" w:hAnsi="宋体" w:cs="宋体"/>
      <w:kern w:val="0"/>
      <w:sz w:val="24"/>
    </w:rPr>
  </w:style>
  <w:style w:type="paragraph" w:customStyle="1" w:styleId="194">
    <w:name w:val="样式 标题 2h2 +"/>
    <w:basedOn w:val="4"/>
    <w:qFormat/>
    <w:uiPriority w:val="99"/>
    <w:pPr>
      <w:widowControl/>
      <w:numPr>
        <w:ilvl w:val="2"/>
        <w:numId w:val="10"/>
      </w:numPr>
      <w:tabs>
        <w:tab w:val="left" w:pos="1260"/>
      </w:tabs>
      <w:spacing w:beforeLines="50" w:afterLines="50" w:line="360" w:lineRule="auto"/>
      <w:ind w:left="720" w:firstLine="720"/>
      <w:jc w:val="left"/>
    </w:pPr>
    <w:rPr>
      <w:rFonts w:ascii="黑体" w:hAnsi="Times New Roman" w:cs="宋体"/>
      <w:color w:val="000000"/>
      <w:sz w:val="36"/>
      <w:szCs w:val="36"/>
    </w:rPr>
  </w:style>
  <w:style w:type="paragraph" w:customStyle="1" w:styleId="195">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196">
    <w:name w:val="标题3级"/>
    <w:basedOn w:val="5"/>
    <w:qFormat/>
    <w:uiPriority w:val="99"/>
    <w:pPr>
      <w:tabs>
        <w:tab w:val="left" w:pos="851"/>
      </w:tabs>
      <w:spacing w:before="0" w:after="0" w:line="360" w:lineRule="auto"/>
      <w:ind w:left="1365"/>
    </w:pPr>
    <w:rPr>
      <w:rFonts w:ascii="宋体" w:hAnsi="宋体" w:eastAsia="宋体"/>
      <w:szCs w:val="48"/>
    </w:rPr>
  </w:style>
  <w:style w:type="paragraph" w:customStyle="1" w:styleId="197">
    <w:name w:val="Heading 61"/>
    <w:basedOn w:val="1"/>
    <w:qFormat/>
    <w:uiPriority w:val="99"/>
    <w:pPr>
      <w:spacing w:before="46"/>
      <w:ind w:left="120"/>
      <w:outlineLvl w:val="6"/>
    </w:pPr>
    <w:rPr>
      <w:rFonts w:ascii="宋体" w:hAnsi="宋体" w:cs="宋体"/>
      <w:b/>
      <w:bCs/>
      <w:szCs w:val="21"/>
    </w:rPr>
  </w:style>
  <w:style w:type="paragraph" w:customStyle="1" w:styleId="198">
    <w:name w:val="正文文本 31"/>
    <w:basedOn w:val="1"/>
    <w:uiPriority w:val="99"/>
    <w:pPr>
      <w:tabs>
        <w:tab w:val="left" w:pos="1620"/>
      </w:tabs>
      <w:adjustRightInd w:val="0"/>
      <w:snapToGrid w:val="0"/>
      <w:spacing w:before="240" w:after="120" w:line="301" w:lineRule="atLeast"/>
      <w:ind w:firstLine="420"/>
      <w:jc w:val="left"/>
      <w:textAlignment w:val="baseline"/>
    </w:pPr>
    <w:rPr>
      <w:rFonts w:hAnsi="Arial" w:eastAsia="黑体"/>
      <w:kern w:val="0"/>
      <w:szCs w:val="20"/>
    </w:rPr>
  </w:style>
  <w:style w:type="paragraph" w:customStyle="1" w:styleId="199">
    <w:name w:val="正文内容"/>
    <w:basedOn w:val="54"/>
    <w:qFormat/>
    <w:uiPriority w:val="99"/>
    <w:pPr>
      <w:ind w:firstLine="480"/>
    </w:pPr>
    <w:rPr>
      <w:rFonts w:ascii="Arial" w:hAnsi="Arial"/>
      <w:sz w:val="24"/>
      <w:szCs w:val="20"/>
    </w:rPr>
  </w:style>
  <w:style w:type="paragraph" w:customStyle="1" w:styleId="200">
    <w:name w:val="四号"/>
    <w:basedOn w:val="1"/>
    <w:next w:val="14"/>
    <w:qFormat/>
    <w:uiPriority w:val="99"/>
    <w:pPr>
      <w:spacing w:line="360" w:lineRule="auto"/>
      <w:ind w:left="1134"/>
    </w:pPr>
    <w:rPr>
      <w:sz w:val="24"/>
    </w:rPr>
  </w:style>
  <w:style w:type="paragraph" w:customStyle="1" w:styleId="201">
    <w:name w:val="product_spec1"/>
    <w:basedOn w:val="1"/>
    <w:uiPriority w:val="99"/>
    <w:pPr>
      <w:widowControl/>
      <w:spacing w:before="100" w:beforeAutospacing="1" w:after="100" w:afterAutospacing="1"/>
      <w:jc w:val="left"/>
    </w:pPr>
    <w:rPr>
      <w:rFonts w:ascii="宋体" w:hAnsi="宋体" w:cs="宋体"/>
      <w:kern w:val="0"/>
      <w:sz w:val="24"/>
    </w:rPr>
  </w:style>
  <w:style w:type="paragraph" w:customStyle="1" w:styleId="202">
    <w:name w:val="样式5"/>
    <w:basedOn w:val="5"/>
    <w:uiPriority w:val="99"/>
    <w:pPr>
      <w:tabs>
        <w:tab w:val="left" w:pos="1827"/>
      </w:tabs>
      <w:spacing w:before="120" w:after="120" w:line="240" w:lineRule="auto"/>
      <w:ind w:left="1827" w:hanging="420"/>
    </w:pPr>
    <w:rPr>
      <w:rFonts w:ascii="黑体" w:hAnsi="宋体" w:eastAsia="黑体"/>
      <w:color w:val="000000"/>
      <w:kern w:val="0"/>
    </w:rPr>
  </w:style>
  <w:style w:type="paragraph" w:customStyle="1" w:styleId="203">
    <w:name w:val="标准书脚_偶数页"/>
    <w:qFormat/>
    <w:uiPriority w:val="99"/>
    <w:pPr>
      <w:spacing w:before="120"/>
    </w:pPr>
    <w:rPr>
      <w:rFonts w:ascii="Times New Roman" w:hAnsi="Times New Roman" w:eastAsia="宋体" w:cs="Times New Roman"/>
      <w:sz w:val="18"/>
      <w:lang w:val="en-US" w:eastAsia="zh-CN" w:bidi="ar-SA"/>
    </w:rPr>
  </w:style>
  <w:style w:type="paragraph" w:customStyle="1" w:styleId="204">
    <w:name w:val="表格文本"/>
    <w:basedOn w:val="1"/>
    <w:qFormat/>
    <w:uiPriority w:val="0"/>
    <w:pPr>
      <w:adjustRightInd w:val="0"/>
      <w:snapToGrid w:val="0"/>
      <w:spacing w:beforeLines="50" w:afterLines="50"/>
      <w:jc w:val="left"/>
    </w:pPr>
    <w:rPr>
      <w:rFonts w:ascii="Arial" w:hAnsi="Arial" w:eastAsia="宋体" w:cs="Times New Roman"/>
      <w:szCs w:val="21"/>
    </w:rPr>
  </w:style>
  <w:style w:type="paragraph" w:customStyle="1" w:styleId="205">
    <w:name w:val="1."/>
    <w:basedOn w:val="1"/>
    <w:qFormat/>
    <w:uiPriority w:val="99"/>
    <w:pPr>
      <w:spacing w:line="360" w:lineRule="auto"/>
      <w:ind w:firstLine="480" w:firstLineChars="200"/>
    </w:pPr>
    <w:rPr>
      <w:sz w:val="24"/>
    </w:rPr>
  </w:style>
  <w:style w:type="paragraph" w:customStyle="1" w:styleId="206">
    <w:name w:val="样式 宋体 小四 段前: 6 磅 段后: 6 磅"/>
    <w:basedOn w:val="1"/>
    <w:qFormat/>
    <w:uiPriority w:val="99"/>
    <w:pPr>
      <w:widowControl/>
      <w:snapToGrid w:val="0"/>
      <w:spacing w:before="120" w:after="120" w:line="360" w:lineRule="auto"/>
      <w:ind w:left="1134"/>
    </w:pPr>
    <w:rPr>
      <w:rFonts w:ascii="宋体" w:cs="宋体"/>
      <w:kern w:val="0"/>
      <w:szCs w:val="21"/>
    </w:rPr>
  </w:style>
  <w:style w:type="paragraph" w:customStyle="1" w:styleId="207">
    <w:name w:val="表文"/>
    <w:basedOn w:val="1"/>
    <w:qFormat/>
    <w:uiPriority w:val="99"/>
    <w:pPr>
      <w:adjustRightInd w:val="0"/>
      <w:snapToGrid w:val="0"/>
      <w:spacing w:line="240" w:lineRule="atLeast"/>
      <w:ind w:firstLine="425"/>
      <w:textAlignment w:val="baseline"/>
    </w:pPr>
    <w:rPr>
      <w:kern w:val="0"/>
      <w:sz w:val="18"/>
      <w:szCs w:val="20"/>
    </w:rPr>
  </w:style>
  <w:style w:type="paragraph" w:customStyle="1" w:styleId="208">
    <w:name w:val="图文"/>
    <w:basedOn w:val="1"/>
    <w:qFormat/>
    <w:uiPriority w:val="99"/>
    <w:pPr>
      <w:adjustRightInd w:val="0"/>
      <w:snapToGrid w:val="0"/>
    </w:pPr>
  </w:style>
  <w:style w:type="paragraph" w:customStyle="1" w:styleId="209">
    <w:name w:val="xl77"/>
    <w:basedOn w:val="1"/>
    <w:qFormat/>
    <w:uiPriority w:val="99"/>
    <w:pPr>
      <w:widowControl/>
      <w:pBdr>
        <w:top w:val="single" w:color="auto" w:sz="4" w:space="0"/>
        <w:bottom w:val="single" w:color="auto" w:sz="4" w:space="0"/>
      </w:pBdr>
      <w:spacing w:before="100" w:beforeAutospacing="1" w:after="100" w:afterAutospacing="1"/>
      <w:jc w:val="center"/>
    </w:pPr>
    <w:rPr>
      <w:rFonts w:ascii="??_GB2312" w:hAnsi="宋体" w:eastAsia="Times New Roman" w:cs="宋体"/>
      <w:kern w:val="0"/>
      <w:sz w:val="24"/>
    </w:rPr>
  </w:style>
  <w:style w:type="paragraph" w:customStyle="1" w:styleId="210">
    <w:name w:val="Char Char Char Char Char Char1"/>
    <w:basedOn w:val="1"/>
    <w:qFormat/>
    <w:uiPriority w:val="99"/>
    <w:pPr>
      <w:widowControl/>
      <w:snapToGrid w:val="0"/>
      <w:spacing w:before="120" w:after="160" w:line="360" w:lineRule="auto"/>
      <w:ind w:right="-360"/>
      <w:jc w:val="left"/>
    </w:pPr>
    <w:rPr>
      <w:rFonts w:ascii="Arial" w:hAnsi="Arial"/>
      <w:kern w:val="0"/>
      <w:sz w:val="24"/>
      <w:lang w:eastAsia="en-US"/>
    </w:rPr>
  </w:style>
  <w:style w:type="paragraph" w:customStyle="1" w:styleId="211">
    <w:name w:val="2"/>
    <w:basedOn w:val="4"/>
    <w:qFormat/>
    <w:uiPriority w:val="0"/>
    <w:pPr>
      <w:keepNext w:val="0"/>
      <w:keepLines w:val="0"/>
      <w:widowControl/>
      <w:adjustRightInd/>
      <w:textAlignment w:val="auto"/>
    </w:pPr>
    <w:rPr>
      <w:rFonts w:cs="宋体"/>
      <w:szCs w:val="21"/>
    </w:rPr>
  </w:style>
  <w:style w:type="paragraph" w:customStyle="1" w:styleId="212">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13">
    <w:name w:val="样式 正文（首行缩进两字） + 左侧:  2.04 厘米"/>
    <w:basedOn w:val="14"/>
    <w:qFormat/>
    <w:uiPriority w:val="99"/>
    <w:pPr>
      <w:tabs>
        <w:tab w:val="left" w:pos="6045"/>
      </w:tabs>
      <w:autoSpaceDE w:val="0"/>
      <w:autoSpaceDN w:val="0"/>
      <w:adjustRightInd w:val="0"/>
      <w:snapToGrid w:val="0"/>
      <w:spacing w:line="360" w:lineRule="auto"/>
      <w:ind w:left="737" w:leftChars="351" w:firstLine="480"/>
      <w:jc w:val="left"/>
    </w:pPr>
    <w:rPr>
      <w:sz w:val="24"/>
    </w:rPr>
  </w:style>
  <w:style w:type="paragraph" w:customStyle="1" w:styleId="214">
    <w:name w:val="-分章"/>
    <w:basedOn w:val="1"/>
    <w:qFormat/>
    <w:uiPriority w:val="99"/>
  </w:style>
  <w:style w:type="paragraph" w:styleId="215">
    <w:name w:val="List Paragraph"/>
    <w:basedOn w:val="1"/>
    <w:qFormat/>
    <w:uiPriority w:val="99"/>
    <w:pPr>
      <w:autoSpaceDE w:val="0"/>
      <w:autoSpaceDN w:val="0"/>
      <w:adjustRightInd w:val="0"/>
      <w:spacing w:line="360" w:lineRule="auto"/>
      <w:ind w:firstLine="420" w:firstLineChars="200"/>
      <w:jc w:val="left"/>
    </w:pPr>
    <w:rPr>
      <w:rFonts w:eastAsia="宋体"/>
      <w:snapToGrid w:val="0"/>
      <w:kern w:val="0"/>
      <w:sz w:val="24"/>
      <w:szCs w:val="21"/>
    </w:rPr>
  </w:style>
  <w:style w:type="paragraph" w:customStyle="1" w:styleId="216">
    <w:name w:val="标题5"/>
    <w:basedOn w:val="14"/>
    <w:uiPriority w:val="99"/>
    <w:pPr>
      <w:numPr>
        <w:ilvl w:val="0"/>
        <w:numId w:val="11"/>
      </w:numPr>
      <w:spacing w:line="360" w:lineRule="auto"/>
      <w:ind w:firstLine="0" w:firstLineChars="0"/>
    </w:pPr>
    <w:rPr>
      <w:rFonts w:ascii="楷体_GB2312" w:eastAsia="楷体_GB2312"/>
      <w:b/>
      <w:sz w:val="24"/>
      <w:szCs w:val="20"/>
    </w:rPr>
  </w:style>
  <w:style w:type="paragraph" w:customStyle="1" w:styleId="217">
    <w:name w:val="Heading 31"/>
    <w:basedOn w:val="1"/>
    <w:uiPriority w:val="99"/>
    <w:pPr>
      <w:ind w:left="120" w:hanging="424"/>
      <w:outlineLvl w:val="3"/>
    </w:pPr>
    <w:rPr>
      <w:rFonts w:ascii="宋体" w:hAnsi="宋体" w:cs="宋体"/>
      <w:b/>
      <w:bCs/>
      <w:sz w:val="28"/>
      <w:szCs w:val="28"/>
    </w:rPr>
  </w:style>
  <w:style w:type="paragraph" w:customStyle="1" w:styleId="218">
    <w:name w:val="imagefont"/>
    <w:basedOn w:val="1"/>
    <w:uiPriority w:val="99"/>
    <w:pPr>
      <w:widowControl/>
      <w:spacing w:before="100" w:beforeAutospacing="1" w:after="100" w:afterAutospacing="1" w:line="480" w:lineRule="atLeast"/>
      <w:jc w:val="left"/>
    </w:pPr>
    <w:rPr>
      <w:rFonts w:ascii="宋体" w:hAnsi="宋体"/>
      <w:kern w:val="0"/>
      <w:sz w:val="28"/>
      <w:szCs w:val="28"/>
    </w:rPr>
  </w:style>
  <w:style w:type="paragraph" w:customStyle="1" w:styleId="219">
    <w:name w:val="xl30"/>
    <w:basedOn w:val="1"/>
    <w:qFormat/>
    <w:uiPriority w:val="99"/>
    <w:pPr>
      <w:widowControl/>
      <w:spacing w:before="100" w:beforeAutospacing="1" w:after="100" w:afterAutospacing="1" w:line="360" w:lineRule="auto"/>
      <w:ind w:left="1134"/>
      <w:jc w:val="center"/>
      <w:textAlignment w:val="center"/>
    </w:pPr>
    <w:rPr>
      <w:rFonts w:ascii="宋体" w:hAnsi="宋体"/>
      <w:kern w:val="0"/>
      <w:sz w:val="24"/>
    </w:rPr>
  </w:style>
  <w:style w:type="paragraph" w:customStyle="1" w:styleId="220">
    <w:name w:val="项目3"/>
    <w:basedOn w:val="147"/>
    <w:next w:val="1"/>
    <w:qFormat/>
    <w:uiPriority w:val="99"/>
  </w:style>
  <w:style w:type="paragraph" w:customStyle="1" w:styleId="221">
    <w:name w:val="表格正文"/>
    <w:basedOn w:val="1"/>
    <w:uiPriority w:val="99"/>
    <w:pPr>
      <w:tabs>
        <w:tab w:val="left" w:pos="1620"/>
      </w:tabs>
      <w:adjustRightInd w:val="0"/>
      <w:snapToGrid w:val="0"/>
      <w:spacing w:before="120" w:after="120" w:line="360" w:lineRule="auto"/>
      <w:jc w:val="left"/>
    </w:pPr>
    <w:rPr>
      <w:rFonts w:ascii="宋体" w:hAnsi="Arial"/>
      <w:kern w:val="0"/>
      <w:szCs w:val="20"/>
    </w:rPr>
  </w:style>
  <w:style w:type="paragraph" w:customStyle="1" w:styleId="222">
    <w:name w:val="列出段落1"/>
    <w:basedOn w:val="1"/>
    <w:uiPriority w:val="99"/>
    <w:pPr>
      <w:ind w:firstLine="420" w:firstLineChars="200"/>
    </w:pPr>
  </w:style>
  <w:style w:type="paragraph" w:customStyle="1" w:styleId="223">
    <w:name w:val="AA"/>
    <w:basedOn w:val="1"/>
    <w:uiPriority w:val="99"/>
    <w:pPr>
      <w:widowControl/>
      <w:spacing w:line="500" w:lineRule="exact"/>
      <w:ind w:firstLine="200" w:firstLineChars="200"/>
      <w:textAlignment w:val="baseline"/>
    </w:pPr>
    <w:rPr>
      <w:rFonts w:ascii="楷体_GB2312" w:eastAsia="楷体_GB2312"/>
      <w:color w:val="000000"/>
      <w:spacing w:val="20"/>
      <w:kern w:val="0"/>
      <w:sz w:val="32"/>
      <w:szCs w:val="30"/>
      <w:u w:val="none" w:color="000000"/>
    </w:rPr>
  </w:style>
  <w:style w:type="paragraph" w:customStyle="1" w:styleId="224">
    <w:name w:val="标题1级"/>
    <w:basedOn w:val="3"/>
    <w:uiPriority w:val="99"/>
    <w:pPr>
      <w:pageBreakBefore/>
      <w:spacing w:before="0" w:after="0" w:line="360" w:lineRule="auto"/>
      <w:ind w:left="397" w:hanging="397"/>
      <w:jc w:val="left"/>
    </w:pPr>
    <w:rPr>
      <w:rFonts w:ascii="宋体" w:hAnsi="宋体"/>
      <w:sz w:val="36"/>
      <w:szCs w:val="48"/>
    </w:rPr>
  </w:style>
  <w:style w:type="paragraph" w:customStyle="1" w:styleId="225">
    <w:name w:val="A1.宋体小四→首行缩进"/>
    <w:basedOn w:val="1"/>
    <w:qFormat/>
    <w:uiPriority w:val="0"/>
    <w:pPr>
      <w:spacing w:before="60" w:after="60" w:line="360" w:lineRule="auto"/>
      <w:ind w:firstLine="480" w:firstLineChars="200"/>
    </w:pPr>
    <w:rPr>
      <w:rFonts w:ascii="Times New Roman" w:hAnsi="Times New Roman" w:eastAsia="宋体" w:cs="Times New Roman"/>
      <w:kern w:val="24"/>
      <w:szCs w:val="20"/>
    </w:rPr>
  </w:style>
  <w:style w:type="paragraph" w:customStyle="1" w:styleId="226">
    <w:name w:val="正文1"/>
    <w:basedOn w:val="1"/>
    <w:next w:val="1"/>
    <w:uiPriority w:val="99"/>
    <w:pPr>
      <w:spacing w:line="360" w:lineRule="auto"/>
      <w:ind w:firstLine="425"/>
    </w:pPr>
    <w:rPr>
      <w:sz w:val="24"/>
      <w:szCs w:val="20"/>
    </w:rPr>
  </w:style>
  <w:style w:type="paragraph" w:customStyle="1" w:styleId="227">
    <w:name w:val="样式8"/>
    <w:basedOn w:val="5"/>
    <w:qFormat/>
    <w:uiPriority w:val="99"/>
    <w:pPr>
      <w:tabs>
        <w:tab w:val="left" w:pos="1827"/>
      </w:tabs>
      <w:spacing w:before="120" w:after="120" w:line="240" w:lineRule="auto"/>
      <w:ind w:left="1827" w:hanging="420"/>
    </w:pPr>
    <w:rPr>
      <w:rFonts w:ascii="黑体" w:hAnsi="宋体" w:eastAsia="黑体"/>
      <w:color w:val="000000"/>
      <w:kern w:val="0"/>
    </w:rPr>
  </w:style>
  <w:style w:type="paragraph" w:customStyle="1" w:styleId="228">
    <w:name w:val="Table Paragraph"/>
    <w:basedOn w:val="1"/>
    <w:qFormat/>
    <w:uiPriority w:val="99"/>
    <w:rPr>
      <w:rFonts w:ascii="宋体" w:hAnsi="宋体" w:cs="宋体"/>
    </w:rPr>
  </w:style>
  <w:style w:type="paragraph" w:customStyle="1" w:styleId="229">
    <w:name w:val="默认段落字体 Para Char"/>
    <w:basedOn w:val="1"/>
    <w:qFormat/>
    <w:uiPriority w:val="99"/>
    <w:rPr>
      <w:szCs w:val="20"/>
    </w:rPr>
  </w:style>
  <w:style w:type="paragraph" w:customStyle="1" w:styleId="230">
    <w:name w:val="font14"/>
    <w:basedOn w:val="1"/>
    <w:uiPriority w:val="99"/>
    <w:pPr>
      <w:widowControl/>
      <w:spacing w:before="100" w:beforeAutospacing="1" w:after="100" w:afterAutospacing="1" w:line="288" w:lineRule="auto"/>
      <w:jc w:val="left"/>
    </w:pPr>
    <w:rPr>
      <w:rFonts w:ascii="??" w:hAnsi="??" w:cs="宋体"/>
      <w:color w:val="000000"/>
      <w:kern w:val="0"/>
      <w:sz w:val="22"/>
      <w:szCs w:val="22"/>
    </w:rPr>
  </w:style>
  <w:style w:type="paragraph" w:customStyle="1" w:styleId="231">
    <w:name w:val="彩色列表 - 着色 11"/>
    <w:basedOn w:val="1"/>
    <w:qFormat/>
    <w:uiPriority w:val="34"/>
    <w:pPr>
      <w:widowControl/>
      <w:spacing w:before="240"/>
      <w:ind w:left="720"/>
      <w:jc w:val="left"/>
    </w:pPr>
    <w:rPr>
      <w:rFonts w:ascii="Arial" w:hAnsi="Arial"/>
      <w:color w:val="595959"/>
      <w:kern w:val="0"/>
      <w:sz w:val="24"/>
      <w:lang w:eastAsia="en-US"/>
    </w:rPr>
  </w:style>
  <w:style w:type="paragraph" w:customStyle="1" w:styleId="232">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33">
    <w:name w:val="Char Char Char Char Char Char Char"/>
    <w:basedOn w:val="17"/>
    <w:qFormat/>
    <w:uiPriority w:val="99"/>
    <w:rPr>
      <w:rFonts w:ascii="Tahoma" w:hAnsi="Tahoma"/>
      <w:sz w:val="24"/>
    </w:rPr>
  </w:style>
  <w:style w:type="paragraph" w:customStyle="1" w:styleId="234">
    <w:name w:val="xl67"/>
    <w:basedOn w:val="1"/>
    <w:qFormat/>
    <w:uiPriority w:val="99"/>
    <w:pPr>
      <w:widowControl/>
      <w:spacing w:before="100" w:beforeAutospacing="1" w:after="100" w:afterAutospacing="1"/>
      <w:jc w:val="center"/>
    </w:pPr>
    <w:rPr>
      <w:rFonts w:ascii="宋体" w:hAnsi="宋体" w:cs="宋体"/>
      <w:kern w:val="0"/>
      <w:sz w:val="24"/>
    </w:rPr>
  </w:style>
  <w:style w:type="paragraph" w:customStyle="1" w:styleId="235">
    <w:name w:val="一级"/>
    <w:basedOn w:val="1"/>
    <w:qFormat/>
    <w:uiPriority w:val="99"/>
    <w:pPr>
      <w:numPr>
        <w:ilvl w:val="0"/>
        <w:numId w:val="12"/>
      </w:numPr>
      <w:autoSpaceDE w:val="0"/>
      <w:autoSpaceDN w:val="0"/>
      <w:adjustRightInd w:val="0"/>
      <w:jc w:val="left"/>
    </w:pPr>
    <w:rPr>
      <w:rFonts w:ascii="MS Sans Serif" w:hAnsi="MS Sans Serif" w:cs="Courier New"/>
      <w:b/>
      <w:bCs/>
      <w:color w:val="000000"/>
      <w:kern w:val="0"/>
      <w:szCs w:val="21"/>
    </w:rPr>
  </w:style>
  <w:style w:type="paragraph" w:customStyle="1" w:styleId="236">
    <w:name w:val="章节12条款"/>
    <w:basedOn w:val="1"/>
    <w:qFormat/>
    <w:uiPriority w:val="0"/>
    <w:pPr>
      <w:tabs>
        <w:tab w:val="left" w:pos="840"/>
      </w:tabs>
      <w:adjustRightInd w:val="0"/>
      <w:spacing w:line="360" w:lineRule="auto"/>
      <w:textAlignment w:val="baseline"/>
    </w:pPr>
    <w:rPr>
      <w:sz w:val="24"/>
    </w:rPr>
  </w:style>
  <w:style w:type="paragraph" w:customStyle="1" w:styleId="237">
    <w:name w:val="标准书眉_奇数页"/>
    <w:next w:val="1"/>
    <w:qFormat/>
    <w:uiPriority w:val="99"/>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38">
    <w:name w:val="正文缩进2"/>
    <w:basedOn w:val="14"/>
    <w:qFormat/>
    <w:uiPriority w:val="99"/>
  </w:style>
  <w:style w:type="paragraph" w:customStyle="1" w:styleId="239">
    <w:name w:val="列出段落11"/>
    <w:basedOn w:val="1"/>
    <w:uiPriority w:val="99"/>
    <w:pPr>
      <w:ind w:firstLine="200" w:firstLineChars="200"/>
    </w:pPr>
    <w:rPr>
      <w:color w:val="0000FF"/>
      <w:sz w:val="22"/>
      <w:szCs w:val="18"/>
    </w:rPr>
  </w:style>
  <w:style w:type="paragraph" w:customStyle="1" w:styleId="240">
    <w:name w:val="样式 表格内内容 + 首行缩进:  0.85 厘米 段后: 7.8 磅"/>
    <w:basedOn w:val="204"/>
    <w:qFormat/>
    <w:uiPriority w:val="0"/>
    <w:pPr>
      <w:widowControl/>
      <w:adjustRightInd/>
      <w:snapToGrid/>
      <w:spacing w:beforeLines="0" w:afterLines="0" w:line="360" w:lineRule="auto"/>
      <w:jc w:val="both"/>
    </w:pPr>
    <w:rPr>
      <w:rFonts w:ascii="宋体" w:hAnsi="宋体"/>
      <w:kern w:val="0"/>
      <w:szCs w:val="20"/>
    </w:rPr>
  </w:style>
  <w:style w:type="paragraph" w:customStyle="1" w:styleId="241">
    <w:name w:val="xl66"/>
    <w:basedOn w:val="1"/>
    <w:qFormat/>
    <w:uiPriority w:val="99"/>
    <w:pPr>
      <w:widowControl/>
      <w:spacing w:before="100" w:beforeAutospacing="1" w:after="100" w:afterAutospacing="1"/>
      <w:jc w:val="left"/>
    </w:pPr>
    <w:rPr>
      <w:rFonts w:ascii="宋体" w:hAnsi="宋体" w:cs="宋体"/>
      <w:kern w:val="0"/>
      <w:sz w:val="24"/>
    </w:rPr>
  </w:style>
  <w:style w:type="paragraph" w:customStyle="1" w:styleId="242">
    <w:name w:val="MJ正文"/>
    <w:basedOn w:val="1"/>
    <w:uiPriority w:val="99"/>
    <w:pPr>
      <w:ind w:firstLine="880" w:firstLineChars="200"/>
    </w:pPr>
    <w:rPr>
      <w:rFonts w:ascii="Arial" w:hAnsi="Arial" w:eastAsia="微软简老宋" w:cs="Arial"/>
      <w:sz w:val="44"/>
      <w:szCs w:val="44"/>
    </w:rPr>
  </w:style>
  <w:style w:type="paragraph" w:customStyle="1" w:styleId="243">
    <w:name w:val="项目正文"/>
    <w:uiPriority w:val="0"/>
    <w:pPr>
      <w:numPr>
        <w:ilvl w:val="0"/>
        <w:numId w:val="13"/>
      </w:numPr>
      <w:tabs>
        <w:tab w:val="left" w:pos="243"/>
      </w:tabs>
      <w:spacing w:line="300" w:lineRule="atLeast"/>
    </w:pPr>
    <w:rPr>
      <w:rFonts w:ascii="Arial" w:hAnsi="Arial" w:eastAsia="宋体" w:cs="Times New Roman"/>
      <w:kern w:val="2"/>
      <w:sz w:val="18"/>
      <w:szCs w:val="24"/>
      <w:lang w:val="en-US" w:eastAsia="zh-CN" w:bidi="ar-SA"/>
    </w:rPr>
  </w:style>
  <w:style w:type="paragraph" w:customStyle="1" w:styleId="244">
    <w:name w:val="xl7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_GB2312" w:hAnsi="宋体" w:eastAsia="Times New Roman" w:cs="宋体"/>
      <w:kern w:val="0"/>
      <w:sz w:val="24"/>
    </w:rPr>
  </w:style>
  <w:style w:type="paragraph" w:customStyle="1" w:styleId="245">
    <w:name w:val="Char Char Char Char Char Char1 Char"/>
    <w:basedOn w:val="1"/>
    <w:uiPriority w:val="99"/>
    <w:pPr>
      <w:widowControl/>
      <w:spacing w:after="160" w:line="240" w:lineRule="exact"/>
      <w:jc w:val="left"/>
    </w:pPr>
    <w:rPr>
      <w:rFonts w:ascii="Arial" w:hAnsi="Arial" w:eastAsia="楷体_GB2312" w:cs="Verdana"/>
      <w:b/>
      <w:kern w:val="0"/>
      <w:sz w:val="24"/>
      <w:lang w:eastAsia="en-US"/>
    </w:rPr>
  </w:style>
  <w:style w:type="paragraph" w:customStyle="1" w:styleId="246">
    <w:name w:val="Char1"/>
    <w:basedOn w:val="1"/>
    <w:uiPriority w:val="99"/>
    <w:pPr>
      <w:spacing w:line="440" w:lineRule="atLeast"/>
    </w:pPr>
    <w:rPr>
      <w:rFonts w:ascii="宋体" w:hAnsi="宋体"/>
      <w:b/>
      <w:color w:val="0000FF"/>
      <w:sz w:val="24"/>
    </w:rPr>
  </w:style>
  <w:style w:type="paragraph" w:customStyle="1" w:styleId="247">
    <w:name w:val="Default"/>
    <w:uiPriority w:val="99"/>
    <w:pPr>
      <w:widowControl w:val="0"/>
      <w:autoSpaceDE w:val="0"/>
      <w:autoSpaceDN w:val="0"/>
      <w:adjustRightInd w:val="0"/>
    </w:pPr>
    <w:rPr>
      <w:rFonts w:ascii="Myriad Pro Light" w:hAnsi="Times New Roman" w:eastAsia="Times New Roman" w:cs="Myriad Pro Light"/>
      <w:color w:val="000000"/>
      <w:sz w:val="24"/>
      <w:szCs w:val="24"/>
      <w:lang w:val="en-US" w:eastAsia="zh-CN" w:bidi="ar-SA"/>
    </w:rPr>
  </w:style>
  <w:style w:type="paragraph" w:customStyle="1" w:styleId="248">
    <w:name w:val="样式 (西文) 幼圆 加粗 左 段前: 0 磅 段后: 0 磅 行距: 1.5 倍行距"/>
    <w:basedOn w:val="1"/>
    <w:uiPriority w:val="99"/>
    <w:pPr>
      <w:numPr>
        <w:ilvl w:val="0"/>
        <w:numId w:val="14"/>
      </w:numPr>
      <w:spacing w:line="360" w:lineRule="auto"/>
      <w:jc w:val="left"/>
    </w:pPr>
    <w:rPr>
      <w:rFonts w:ascii="幼圆" w:cs="宋体"/>
      <w:b/>
      <w:bCs/>
      <w:szCs w:val="20"/>
    </w:rPr>
  </w:style>
  <w:style w:type="paragraph" w:customStyle="1" w:styleId="249">
    <w:name w:val="模板普通正文"/>
    <w:basedOn w:val="22"/>
    <w:qFormat/>
    <w:uiPriority w:val="99"/>
    <w:pPr>
      <w:spacing w:beforeLines="50" w:after="10" w:line="360" w:lineRule="auto"/>
      <w:ind w:left="0" w:leftChars="0" w:firstLine="490" w:firstLineChars="175"/>
      <w:jc w:val="left"/>
    </w:pPr>
    <w:rPr>
      <w:sz w:val="28"/>
    </w:rPr>
  </w:style>
  <w:style w:type="paragraph" w:customStyle="1" w:styleId="250">
    <w:name w:val="Default Paragraph Char Char Char Char"/>
    <w:basedOn w:val="1"/>
    <w:next w:val="1"/>
    <w:uiPriority w:val="99"/>
    <w:pPr>
      <w:widowControl/>
      <w:spacing w:line="360" w:lineRule="auto"/>
      <w:jc w:val="left"/>
    </w:pPr>
    <w:rPr>
      <w:kern w:val="0"/>
      <w:szCs w:val="20"/>
      <w:lang w:eastAsia="en-US"/>
    </w:rPr>
  </w:style>
  <w:style w:type="paragraph" w:customStyle="1" w:styleId="251">
    <w:name w:val="xl6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_GB2312" w:hAnsi="宋体" w:eastAsia="Times New Roman" w:cs="宋体"/>
      <w:kern w:val="0"/>
      <w:sz w:val="24"/>
    </w:rPr>
  </w:style>
  <w:style w:type="paragraph" w:customStyle="1" w:styleId="252">
    <w:name w:val="Bullets 2"/>
    <w:basedOn w:val="1"/>
    <w:uiPriority w:val="99"/>
    <w:pPr>
      <w:widowControl/>
      <w:tabs>
        <w:tab w:val="left" w:pos="794"/>
      </w:tabs>
      <w:spacing w:line="200" w:lineRule="exact"/>
      <w:ind w:left="540" w:hanging="360"/>
      <w:jc w:val="left"/>
    </w:pPr>
    <w:rPr>
      <w:rFonts w:ascii="Arial Narrow" w:hAnsi="Arial Narrow"/>
      <w:spacing w:val="10"/>
      <w:kern w:val="0"/>
      <w:sz w:val="18"/>
      <w:szCs w:val="20"/>
      <w:lang w:eastAsia="en-US"/>
    </w:rPr>
  </w:style>
  <w:style w:type="paragraph" w:customStyle="1" w:styleId="253">
    <w:name w:val="样式 标题 2Heading 2 HiddenHeading 2 CCBS正文二级标题h22nd levelhead...1"/>
    <w:basedOn w:val="4"/>
    <w:qFormat/>
    <w:uiPriority w:val="99"/>
    <w:pPr>
      <w:numPr>
        <w:ilvl w:val="1"/>
        <w:numId w:val="4"/>
      </w:numPr>
      <w:spacing w:before="240" w:line="360" w:lineRule="auto"/>
    </w:pPr>
    <w:rPr>
      <w:rFonts w:cs="宋体"/>
      <w:sz w:val="36"/>
      <w:szCs w:val="20"/>
    </w:rPr>
  </w:style>
  <w:style w:type="paragraph" w:customStyle="1" w:styleId="254">
    <w:name w:val="font7"/>
    <w:basedOn w:val="1"/>
    <w:qFormat/>
    <w:uiPriority w:val="99"/>
    <w:pPr>
      <w:widowControl/>
      <w:spacing w:before="100" w:beforeAutospacing="1" w:after="100" w:afterAutospacing="1"/>
      <w:jc w:val="left"/>
    </w:pPr>
    <w:rPr>
      <w:rFonts w:ascii="??_GB2312" w:hAnsi="宋体" w:eastAsia="Times New Roman" w:cs="宋体"/>
      <w:color w:val="000000"/>
      <w:kern w:val="0"/>
      <w:sz w:val="24"/>
    </w:rPr>
  </w:style>
  <w:style w:type="paragraph" w:customStyle="1" w:styleId="255">
    <w:name w:val="pl"/>
    <w:basedOn w:val="1"/>
    <w:qFormat/>
    <w:uiPriority w:val="99"/>
    <w:pPr>
      <w:widowControl/>
      <w:spacing w:before="100" w:beforeAutospacing="1" w:after="100" w:afterAutospacing="1"/>
      <w:jc w:val="left"/>
    </w:pPr>
    <w:rPr>
      <w:rFonts w:ascii="宋体" w:hAnsi="宋体"/>
      <w:color w:val="0000FF"/>
      <w:kern w:val="0"/>
      <w:sz w:val="20"/>
      <w:szCs w:val="20"/>
      <w:u w:val="single"/>
    </w:rPr>
  </w:style>
  <w:style w:type="paragraph" w:customStyle="1" w:styleId="256">
    <w:name w:val="notice3"/>
    <w:basedOn w:val="1"/>
    <w:qFormat/>
    <w:uiPriority w:val="99"/>
    <w:pPr>
      <w:widowControl/>
      <w:spacing w:after="150"/>
      <w:jc w:val="left"/>
    </w:pPr>
    <w:rPr>
      <w:rFonts w:ascii="宋体" w:hAnsi="宋体" w:cs="宋体"/>
      <w:color w:val="339900"/>
      <w:kern w:val="0"/>
      <w:sz w:val="24"/>
    </w:rPr>
  </w:style>
  <w:style w:type="paragraph" w:customStyle="1" w:styleId="25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258">
    <w:name w:val="xl72"/>
    <w:basedOn w:val="1"/>
    <w:qFormat/>
    <w:uiPriority w:val="99"/>
    <w:pPr>
      <w:widowControl/>
      <w:pBdr>
        <w:top w:val="single" w:color="auto" w:sz="4" w:space="0"/>
        <w:left w:val="single" w:color="auto" w:sz="4" w:space="0"/>
        <w:right w:val="single" w:color="auto" w:sz="4" w:space="0"/>
      </w:pBdr>
      <w:spacing w:before="100" w:beforeAutospacing="1" w:after="100" w:afterAutospacing="1"/>
      <w:jc w:val="left"/>
    </w:pPr>
    <w:rPr>
      <w:rFonts w:ascii="??_GB2312" w:hAnsi="宋体" w:eastAsia="Times New Roman" w:cs="宋体"/>
      <w:kern w:val="0"/>
      <w:sz w:val="24"/>
    </w:rPr>
  </w:style>
  <w:style w:type="paragraph" w:customStyle="1" w:styleId="259">
    <w:name w:val="MITreb10"/>
    <w:basedOn w:val="1"/>
    <w:uiPriority w:val="99"/>
    <w:pPr>
      <w:widowControl/>
      <w:spacing w:before="40" w:line="60" w:lineRule="atLeast"/>
      <w:jc w:val="left"/>
    </w:pPr>
    <w:rPr>
      <w:rFonts w:ascii="宋体" w:hAnsi="宋体"/>
      <w:color w:val="000000"/>
      <w:kern w:val="0"/>
      <w:sz w:val="20"/>
      <w:szCs w:val="20"/>
      <w:lang w:eastAsia="en-US"/>
    </w:rPr>
  </w:style>
  <w:style w:type="paragraph" w:customStyle="1" w:styleId="260">
    <w:name w:val="项目"/>
    <w:basedOn w:val="1"/>
    <w:qFormat/>
    <w:uiPriority w:val="99"/>
    <w:pPr>
      <w:adjustRightInd w:val="0"/>
      <w:snapToGrid w:val="0"/>
      <w:spacing w:before="120" w:after="120" w:line="360" w:lineRule="auto"/>
      <w:ind w:left="418" w:firstLine="482" w:firstLineChars="200"/>
      <w:jc w:val="left"/>
      <w:textAlignment w:val="baseline"/>
    </w:pPr>
    <w:rPr>
      <w:rFonts w:ascii="宋体" w:hAnsi="Arial"/>
      <w:b/>
      <w:kern w:val="0"/>
      <w:sz w:val="24"/>
    </w:rPr>
  </w:style>
  <w:style w:type="paragraph" w:customStyle="1" w:styleId="261">
    <w:name w:val="font6"/>
    <w:basedOn w:val="1"/>
    <w:uiPriority w:val="99"/>
    <w:pPr>
      <w:widowControl/>
      <w:spacing w:before="100" w:beforeAutospacing="1" w:after="100" w:afterAutospacing="1"/>
      <w:jc w:val="left"/>
    </w:pPr>
    <w:rPr>
      <w:rFonts w:ascii="宋体" w:hAnsi="宋体" w:cs="宋体"/>
      <w:color w:val="000000"/>
      <w:kern w:val="0"/>
      <w:sz w:val="24"/>
    </w:rPr>
  </w:style>
  <w:style w:type="paragraph" w:customStyle="1" w:styleId="262">
    <w:name w:val="段"/>
    <w:basedOn w:val="1"/>
    <w:qFormat/>
    <w:uiPriority w:val="99"/>
    <w:pPr>
      <w:ind w:firstLine="425"/>
    </w:pPr>
    <w:rPr>
      <w:rFonts w:ascii="宋体"/>
      <w:szCs w:val="20"/>
    </w:rPr>
  </w:style>
  <w:style w:type="paragraph" w:customStyle="1" w:styleId="263">
    <w:name w:val="xl6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_GB2312" w:hAnsi="宋体" w:eastAsia="Times New Roman" w:cs="宋体"/>
      <w:kern w:val="0"/>
      <w:sz w:val="24"/>
    </w:rPr>
  </w:style>
  <w:style w:type="paragraph" w:customStyle="1" w:styleId="264">
    <w:name w:val="项目符号"/>
    <w:basedOn w:val="29"/>
    <w:qFormat/>
    <w:uiPriority w:val="99"/>
    <w:pPr>
      <w:autoSpaceDE w:val="0"/>
      <w:autoSpaceDN w:val="0"/>
      <w:adjustRightInd w:val="0"/>
      <w:snapToGrid w:val="0"/>
      <w:spacing w:after="60"/>
      <w:textAlignment w:val="baseline"/>
    </w:pPr>
    <w:rPr>
      <w:rFonts w:ascii="楷体_GB2312" w:eastAsia="楷体_GB2312"/>
      <w:sz w:val="24"/>
      <w:szCs w:val="20"/>
    </w:rPr>
  </w:style>
  <w:style w:type="paragraph" w:customStyle="1" w:styleId="265">
    <w:name w:val="_Style 1"/>
    <w:basedOn w:val="1"/>
    <w:qFormat/>
    <w:uiPriority w:val="34"/>
    <w:pPr>
      <w:ind w:firstLine="420" w:firstLineChars="200"/>
    </w:pPr>
  </w:style>
  <w:style w:type="paragraph" w:customStyle="1" w:styleId="266">
    <w:name w:val="一级条标题"/>
    <w:next w:val="1"/>
    <w:qFormat/>
    <w:uiPriority w:val="99"/>
    <w:pPr>
      <w:outlineLvl w:val="2"/>
    </w:pPr>
    <w:rPr>
      <w:rFonts w:ascii="Times New Roman"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34</Pages>
  <Words>17649</Words>
  <Characters>18008</Characters>
  <Lines>138</Lines>
  <Paragraphs>38</Paragraphs>
  <TotalTime>4</TotalTime>
  <ScaleCrop>false</ScaleCrop>
  <LinksUpToDate>false</LinksUpToDate>
  <CharactersWithSpaces>18490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2016-09-19T18:51:00Z</dcterms:created>
  <dc:creator>微软用户</dc:creator>
  <cp:lastModifiedBy>ZB</cp:lastModifiedBy>
  <cp:lastPrinted>2016-11-19T09:12:00Z</cp:lastPrinted>
  <dcterms:modified xsi:type="dcterms:W3CDTF">2024-07-15T06:56:32Z</dcterms:modified>
  <dc:title>第五章  合同格式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BE6840A63E5743F590731F6F13A0A590_13</vt:lpwstr>
  </property>
</Properties>
</file>