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9B21B">
      <w:pPr>
        <w:spacing w:line="360" w:lineRule="auto"/>
        <w:rPr>
          <w:rFonts w:hint="eastAsia" w:ascii="宋体" w:hAnsi="宋体" w:eastAsia="宋体" w:cs="宋体"/>
          <w:b/>
          <w:bCs/>
          <w:i w:val="0"/>
          <w:iCs w:val="0"/>
          <w:caps w:val="0"/>
          <w:color w:val="000000" w:themeColor="text1"/>
          <w:spacing w:val="0"/>
          <w:sz w:val="24"/>
          <w:szCs w:val="24"/>
          <w:highlight w:val="none"/>
          <w:lang w:val="en-US" w:eastAsia="zh-CN"/>
        </w:rPr>
      </w:pPr>
      <w:r>
        <w:rPr>
          <w:rFonts w:hint="eastAsia" w:ascii="宋体" w:hAnsi="宋体" w:eastAsia="宋体" w:cs="宋体"/>
          <w:b/>
          <w:bCs/>
          <w:i w:val="0"/>
          <w:iCs w:val="0"/>
          <w:caps w:val="0"/>
          <w:color w:val="000000" w:themeColor="text1"/>
          <w:spacing w:val="0"/>
          <w:sz w:val="24"/>
          <w:szCs w:val="24"/>
          <w:highlight w:val="none"/>
          <w:lang w:val="en-US" w:eastAsia="zh-CN"/>
        </w:rPr>
        <w:t>一、项目概况</w:t>
      </w:r>
    </w:p>
    <w:p w14:paraId="35C9FC11">
      <w:pPr>
        <w:keepNext w:val="0"/>
        <w:keepLines w:val="0"/>
        <w:pageBreakBefore w:val="0"/>
        <w:kinsoku/>
        <w:wordWrap/>
        <w:overflowPunct/>
        <w:topLinePunct w:val="0"/>
        <w:bidi w:val="0"/>
        <w:adjustRightInd/>
        <w:snapToGrid/>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了落实最高院和省院关于人民法院档案数字化工作的具体要求，将长安区人民法院即时产生的档案进行数字化加工处理，对过往实时产生的新卷宗进行扫描、上传、装订、归档，以实现档案管理的网络化、数字化，增强档案业务部门的服务管理水平，提高效率，促进档案信息资源的深度应用。本项目所属行业为</w:t>
      </w:r>
      <w:r>
        <w:rPr>
          <w:rFonts w:hint="eastAsia" w:ascii="宋体" w:hAnsi="宋体" w:eastAsia="宋体" w:cs="宋体"/>
          <w:b/>
          <w:bCs/>
          <w:sz w:val="21"/>
          <w:szCs w:val="21"/>
          <w:highlight w:val="none"/>
          <w:lang w:val="en-US" w:eastAsia="zh-CN"/>
        </w:rPr>
        <w:t>软件和信息技术服务业</w:t>
      </w:r>
      <w:r>
        <w:rPr>
          <w:rFonts w:hint="eastAsia" w:ascii="宋体" w:hAnsi="宋体" w:eastAsia="宋体" w:cs="宋体"/>
          <w:sz w:val="21"/>
          <w:szCs w:val="21"/>
          <w:highlight w:val="none"/>
          <w:lang w:val="en-US" w:eastAsia="zh-CN"/>
        </w:rPr>
        <w:t>。</w:t>
      </w:r>
    </w:p>
    <w:p w14:paraId="47FA2504">
      <w:pPr>
        <w:spacing w:line="360" w:lineRule="auto"/>
        <w:ind w:firstLine="422" w:firstLineChars="200"/>
        <w:rPr>
          <w:rFonts w:hint="eastAsia"/>
          <w:b/>
          <w:bCs/>
        </w:rPr>
      </w:pPr>
      <w:r>
        <w:rPr>
          <w:rFonts w:hint="eastAsia"/>
          <w:b/>
          <w:bCs/>
        </w:rPr>
        <w:t>二、服务内容与要求</w:t>
      </w:r>
    </w:p>
    <w:p w14:paraId="39A97875">
      <w:pPr>
        <w:spacing w:line="360" w:lineRule="auto"/>
        <w:ind w:firstLine="422" w:firstLineChars="200"/>
        <w:rPr>
          <w:rFonts w:hint="eastAsia"/>
          <w:b/>
          <w:bCs/>
          <w:highlight w:val="none"/>
        </w:rPr>
      </w:pPr>
      <w:r>
        <w:rPr>
          <w:rFonts w:hint="eastAsia"/>
          <w:b/>
          <w:bCs/>
          <w:highlight w:val="none"/>
          <w:lang w:val="en-US" w:eastAsia="zh-CN"/>
        </w:rPr>
        <w:t>1、</w:t>
      </w:r>
      <w:r>
        <w:rPr>
          <w:rFonts w:hint="eastAsia"/>
          <w:b/>
          <w:bCs/>
          <w:highlight w:val="none"/>
        </w:rPr>
        <w:t>技术标准</w:t>
      </w:r>
    </w:p>
    <w:p w14:paraId="28CF384B">
      <w:pPr>
        <w:spacing w:line="360" w:lineRule="auto"/>
        <w:ind w:firstLine="420" w:firstLineChars="200"/>
        <w:rPr>
          <w:rFonts w:hint="eastAsia"/>
          <w:b w:val="0"/>
          <w:bCs w:val="0"/>
          <w:highlight w:val="none"/>
        </w:rPr>
      </w:pPr>
      <w:r>
        <w:rPr>
          <w:rFonts w:hint="eastAsia"/>
          <w:b w:val="0"/>
          <w:bCs w:val="0"/>
          <w:highlight w:val="none"/>
        </w:rPr>
        <w:t>1.1 带有☆号的条款为实质性条款不得有偏离 。</w:t>
      </w:r>
    </w:p>
    <w:p w14:paraId="394E1FDA">
      <w:pPr>
        <w:spacing w:line="360" w:lineRule="auto"/>
        <w:ind w:firstLine="420" w:firstLineChars="200"/>
        <w:rPr>
          <w:rFonts w:hint="eastAsia"/>
          <w:b w:val="0"/>
          <w:bCs w:val="0"/>
          <w:highlight w:val="none"/>
        </w:rPr>
      </w:pPr>
      <w:r>
        <w:rPr>
          <w:rFonts w:hint="eastAsia"/>
          <w:b w:val="0"/>
          <w:bCs w:val="0"/>
          <w:highlight w:val="none"/>
        </w:rPr>
        <w:t>1.2 服务方案要求</w:t>
      </w:r>
    </w:p>
    <w:p w14:paraId="6895A86C">
      <w:pPr>
        <w:spacing w:line="360" w:lineRule="auto"/>
        <w:ind w:firstLine="420" w:firstLineChars="200"/>
        <w:rPr>
          <w:rFonts w:hint="eastAsia"/>
          <w:highlight w:val="none"/>
        </w:rPr>
      </w:pPr>
      <w:r>
        <w:rPr>
          <w:rFonts w:hint="eastAsia"/>
          <w:highlight w:val="none"/>
          <w:lang w:eastAsia="zh-CN"/>
        </w:rPr>
        <w:t>（</w:t>
      </w:r>
      <w:r>
        <w:rPr>
          <w:rFonts w:hint="eastAsia"/>
          <w:highlight w:val="none"/>
        </w:rPr>
        <w:t>1</w:t>
      </w:r>
      <w:r>
        <w:rPr>
          <w:rFonts w:hint="eastAsia"/>
          <w:highlight w:val="none"/>
          <w:lang w:eastAsia="zh-CN"/>
        </w:rPr>
        <w:t>）</w:t>
      </w:r>
      <w:r>
        <w:rPr>
          <w:rFonts w:hint="eastAsia"/>
          <w:highlight w:val="none"/>
        </w:rPr>
        <w:t>DA/T31-2017 中华人民共和国档案行业标准《纸质档案数字化技术规范》；</w:t>
      </w:r>
    </w:p>
    <w:p w14:paraId="7E164299">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DA/T18-2022《档案著录规则》；</w:t>
      </w:r>
    </w:p>
    <w:p w14:paraId="164C1CA0">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GB/T18894-2016《电子文档归档与管理规范》；</w:t>
      </w:r>
    </w:p>
    <w:p w14:paraId="388132A5">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《中华人民共和国档案法》；</w:t>
      </w:r>
    </w:p>
    <w:p w14:paraId="170B76D8">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GB/T7156-2016《文献保密等级代码》；</w:t>
      </w:r>
    </w:p>
    <w:p w14:paraId="69F8EA07">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最高人民法院《人民法院纸质档案数字化处理规范》2007；</w:t>
      </w:r>
    </w:p>
    <w:p w14:paraId="66E3C6E2">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rPr>
        <w:t>陕西省高级人民法院《关于全省法院卷宗数字化技术要求的通知》陕高法〔2017〕205 号文件；</w:t>
      </w:r>
    </w:p>
    <w:p w14:paraId="0CDBD4C7">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rPr>
        <w:t>《最高人民法院关于全面推进人民法院电子卷宗随案同步生成和深度应用的指导意见》；</w:t>
      </w:r>
    </w:p>
    <w:p w14:paraId="5800E4D2">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9</w:t>
      </w:r>
      <w:r>
        <w:rPr>
          <w:rFonts w:hint="eastAsia"/>
          <w:highlight w:val="none"/>
          <w:lang w:eastAsia="zh-CN"/>
        </w:rPr>
        <w:t>）</w:t>
      </w:r>
      <w:r>
        <w:rPr>
          <w:rFonts w:hint="eastAsia"/>
          <w:highlight w:val="none"/>
        </w:rPr>
        <w:t>《最高人民法院关于进一步加快推进电子卷宗随案同步生成和深度应用工作的通知》</w:t>
      </w:r>
      <w:r>
        <w:rPr>
          <w:rFonts w:hint="eastAsia"/>
          <w:highlight w:val="none"/>
          <w:lang w:val="en-US" w:eastAsia="zh-CN"/>
        </w:rPr>
        <w:t xml:space="preserve"> </w:t>
      </w:r>
      <w:r>
        <w:rPr>
          <w:rFonts w:hint="eastAsia"/>
          <w:highlight w:val="none"/>
        </w:rPr>
        <w:t>；</w:t>
      </w:r>
    </w:p>
    <w:p w14:paraId="47257931">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《电子卷宗随案同步生成与管理应用技术要求》；</w:t>
      </w:r>
    </w:p>
    <w:p w14:paraId="5F50A5CB">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11</w:t>
      </w:r>
      <w:r>
        <w:rPr>
          <w:rFonts w:hint="eastAsia"/>
          <w:highlight w:val="none"/>
          <w:lang w:eastAsia="zh-CN"/>
        </w:rPr>
        <w:t>）</w:t>
      </w:r>
      <w:r>
        <w:rPr>
          <w:rFonts w:hint="eastAsia"/>
          <w:highlight w:val="none"/>
        </w:rPr>
        <w:t>《电子卷宗阅卷目录规范》；</w:t>
      </w:r>
    </w:p>
    <w:p w14:paraId="158985AB">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12</w:t>
      </w:r>
      <w:r>
        <w:rPr>
          <w:rFonts w:hint="eastAsia"/>
          <w:highlight w:val="none"/>
          <w:lang w:eastAsia="zh-CN"/>
        </w:rPr>
        <w:t>）</w:t>
      </w:r>
      <w:r>
        <w:rPr>
          <w:rFonts w:hint="eastAsia"/>
          <w:highlight w:val="none"/>
        </w:rPr>
        <w:t>《电子档案管理应用技术要求》；</w:t>
      </w:r>
    </w:p>
    <w:p w14:paraId="25CE4C15">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13</w:t>
      </w:r>
      <w:r>
        <w:rPr>
          <w:rFonts w:hint="eastAsia"/>
          <w:highlight w:val="none"/>
          <w:lang w:eastAsia="zh-CN"/>
        </w:rPr>
        <w:t>）</w:t>
      </w:r>
      <w:r>
        <w:rPr>
          <w:rFonts w:hint="eastAsia"/>
          <w:highlight w:val="none"/>
        </w:rPr>
        <w:t>《基于电子卷宗的审判支持应用技术要求》；</w:t>
      </w:r>
    </w:p>
    <w:p w14:paraId="7B4B217D">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14</w:t>
      </w:r>
      <w:r>
        <w:rPr>
          <w:rFonts w:hint="eastAsia"/>
          <w:highlight w:val="none"/>
          <w:lang w:eastAsia="zh-CN"/>
        </w:rPr>
        <w:t>）</w:t>
      </w:r>
      <w:r>
        <w:rPr>
          <w:rFonts w:hint="eastAsia"/>
          <w:highlight w:val="none"/>
        </w:rPr>
        <w:t>《法院电子卷宗数据汇聚技术规范》；</w:t>
      </w:r>
    </w:p>
    <w:p w14:paraId="6D5B1B72">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15</w:t>
      </w:r>
      <w:r>
        <w:rPr>
          <w:rFonts w:hint="eastAsia"/>
          <w:highlight w:val="none"/>
          <w:lang w:eastAsia="zh-CN"/>
        </w:rPr>
        <w:t>）</w:t>
      </w:r>
      <w:r>
        <w:rPr>
          <w:rFonts w:hint="eastAsia"/>
          <w:highlight w:val="none"/>
        </w:rPr>
        <w:t>长安区人民法院的档案信息化管理系统及其他相关行业标准的要求。</w:t>
      </w:r>
    </w:p>
    <w:p w14:paraId="27D4CBB5">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16</w:t>
      </w:r>
      <w:r>
        <w:rPr>
          <w:rFonts w:hint="eastAsia"/>
          <w:highlight w:val="none"/>
          <w:lang w:eastAsia="zh-CN"/>
        </w:rPr>
        <w:t>）</w:t>
      </w:r>
      <w:r>
        <w:rPr>
          <w:rFonts w:hint="eastAsia"/>
          <w:highlight w:val="none"/>
        </w:rPr>
        <w:t>解决法官对大量纸质卷宗在结案前的有序、统一管理和安全储存等问题。通过数字化技术与法院诉讼档案随案同步业务进行完美融合，实现审判全流程准无纸化办案。</w:t>
      </w:r>
    </w:p>
    <w:p w14:paraId="6689FFCA">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17</w:t>
      </w:r>
      <w:r>
        <w:rPr>
          <w:rFonts w:hint="eastAsia"/>
          <w:highlight w:val="none"/>
          <w:lang w:eastAsia="zh-CN"/>
        </w:rPr>
        <w:t>）</w:t>
      </w:r>
      <w:r>
        <w:rPr>
          <w:rFonts w:hint="eastAsia"/>
          <w:highlight w:val="none"/>
        </w:rPr>
        <w:t>在立案、庭前、庭后、结案等阶段将产生案卷材料，对收取的纸质材料进行扫描、分类校验、加工、生成电子卷宗、挂接至交大慧谷系统、对收取的诉讼材料进行整理和保管、将诉讼材料整理为诉讼卷宗并进行归档等全部工作。</w:t>
      </w:r>
    </w:p>
    <w:p w14:paraId="370ABD47">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18</w:t>
      </w:r>
      <w:r>
        <w:rPr>
          <w:rFonts w:hint="eastAsia"/>
          <w:highlight w:val="none"/>
          <w:lang w:eastAsia="zh-CN"/>
        </w:rPr>
        <w:t>）</w:t>
      </w:r>
      <w:r>
        <w:rPr>
          <w:rFonts w:hint="eastAsia"/>
          <w:highlight w:val="none"/>
        </w:rPr>
        <w:t xml:space="preserve">数据存储格式。全部采用彩色单页 jpg 的存储格式，纸质档案扫描分辨率要 300dpi 以上， 所有照片档案为彩色 600dpi。对于案卷中出现字迹较小、模糊、较密集等情况，应适当提高分辨率， 形成成品为24bit真彩的 JPEG 压缩格式的电子图片文件。扫描图像存储以案号命名根文件夹，正副卷结合的形式进行存储备份。 </w:t>
      </w:r>
    </w:p>
    <w:p w14:paraId="1C3F2304">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19</w:t>
      </w:r>
      <w:r>
        <w:rPr>
          <w:rFonts w:hint="eastAsia"/>
          <w:highlight w:val="none"/>
          <w:lang w:eastAsia="zh-CN"/>
        </w:rPr>
        <w:t>）</w:t>
      </w:r>
      <w:r>
        <w:rPr>
          <w:rFonts w:hint="eastAsia"/>
          <w:highlight w:val="none"/>
        </w:rPr>
        <w:t>扫描图像质量的要求。图像质量情况完好率100%。图像清晰、完整，反映档案全貌；页面底色、字迹、印章颜色与档案本身颜色相仿，色泽均匀；图像效果必须符合正常的阅读习惯。</w:t>
      </w:r>
    </w:p>
    <w:p w14:paraId="5B47424F">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20</w:t>
      </w:r>
      <w:r>
        <w:rPr>
          <w:rFonts w:hint="eastAsia"/>
          <w:highlight w:val="none"/>
          <w:lang w:eastAsia="zh-CN"/>
        </w:rPr>
        <w:t>）</w:t>
      </w:r>
      <w:r>
        <w:rPr>
          <w:rFonts w:hint="eastAsia"/>
          <w:highlight w:val="none"/>
        </w:rPr>
        <w:t>图像目录对应的信息正确率100%。图像齐全，包括卷面、目录、正文、备考表等信息。</w:t>
      </w:r>
    </w:p>
    <w:p w14:paraId="7330548B">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21</w:t>
      </w:r>
      <w:r>
        <w:rPr>
          <w:rFonts w:hint="eastAsia"/>
          <w:highlight w:val="none"/>
          <w:lang w:eastAsia="zh-CN"/>
        </w:rPr>
        <w:t>）</w:t>
      </w:r>
      <w:r>
        <w:rPr>
          <w:rFonts w:hint="eastAsia"/>
          <w:highlight w:val="none"/>
        </w:rPr>
        <w:t>数据上传质量检查。采用人工校对或自动校对的方式，对系统目录数据库的建库质量进行检查，核对上传项目是否完整，内容是否规范、准确，是否有漏传、错传等问题，对错传、漏传的数据进行修正、补录。</w:t>
      </w:r>
    </w:p>
    <w:p w14:paraId="6163AF2D">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22</w:t>
      </w:r>
      <w:r>
        <w:rPr>
          <w:rFonts w:hint="eastAsia"/>
          <w:highlight w:val="none"/>
          <w:lang w:eastAsia="zh-CN"/>
        </w:rPr>
        <w:t>）</w:t>
      </w:r>
      <w:r>
        <w:rPr>
          <w:rFonts w:hint="eastAsia"/>
          <w:highlight w:val="none"/>
        </w:rPr>
        <w:t>投标</w:t>
      </w:r>
      <w:r>
        <w:rPr>
          <w:rFonts w:hint="eastAsia"/>
          <w:highlight w:val="none"/>
          <w:lang w:eastAsia="zh-CN"/>
        </w:rPr>
        <w:t>人</w:t>
      </w:r>
      <w:r>
        <w:rPr>
          <w:rFonts w:hint="eastAsia"/>
          <w:highlight w:val="none"/>
        </w:rPr>
        <w:t>应结合长安区法院的档案管理制度制定一套符合完成本项目工作实际的档案整理、 电子化等的管理规定及操作流程，以确保档案装订规范、电子化质量达到品质要求、档案卷宗系统验卷、归档，确保档案材料的安全和项目任务的完成。</w:t>
      </w:r>
    </w:p>
    <w:p w14:paraId="10FD8BAD">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23</w:t>
      </w:r>
      <w:r>
        <w:rPr>
          <w:rFonts w:hint="eastAsia"/>
          <w:highlight w:val="none"/>
          <w:lang w:eastAsia="zh-CN"/>
        </w:rPr>
        <w:t>）</w:t>
      </w:r>
      <w:r>
        <w:rPr>
          <w:rFonts w:hint="eastAsia"/>
          <w:highlight w:val="none"/>
        </w:rPr>
        <w:t>投标</w:t>
      </w:r>
      <w:r>
        <w:rPr>
          <w:rFonts w:hint="eastAsia"/>
          <w:highlight w:val="none"/>
          <w:lang w:eastAsia="zh-CN"/>
        </w:rPr>
        <w:t>人</w:t>
      </w:r>
      <w:r>
        <w:rPr>
          <w:rFonts w:hint="eastAsia"/>
          <w:highlight w:val="none"/>
        </w:rPr>
        <w:t>需派驻稳定团队，到长安区法院指定工作场所扫描案卷，服务期间须保持人员数量的稳定。</w:t>
      </w:r>
    </w:p>
    <w:p w14:paraId="36C5F6A3">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24</w:t>
      </w:r>
      <w:r>
        <w:rPr>
          <w:rFonts w:hint="eastAsia"/>
          <w:highlight w:val="none"/>
          <w:lang w:eastAsia="zh-CN"/>
        </w:rPr>
        <w:t>）</w:t>
      </w:r>
      <w:r>
        <w:rPr>
          <w:rFonts w:hint="eastAsia"/>
          <w:highlight w:val="none"/>
        </w:rPr>
        <w:t>档案随案生成环节细分包括：档案接收、档案扫描、图像上传至交大慧谷办案系统、校对归目、归档验卷、档案装订、档案移交等。</w:t>
      </w:r>
    </w:p>
    <w:p w14:paraId="376F59FD">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25</w:t>
      </w:r>
      <w:r>
        <w:rPr>
          <w:rFonts w:hint="eastAsia"/>
          <w:highlight w:val="none"/>
          <w:lang w:eastAsia="zh-CN"/>
        </w:rPr>
        <w:t>）</w:t>
      </w:r>
      <w:r>
        <w:rPr>
          <w:rFonts w:hint="eastAsia"/>
          <w:highlight w:val="none"/>
        </w:rPr>
        <w:t>投标</w:t>
      </w:r>
      <w:r>
        <w:rPr>
          <w:rFonts w:hint="eastAsia"/>
          <w:highlight w:val="none"/>
          <w:lang w:eastAsia="zh-CN"/>
        </w:rPr>
        <w:t>人</w:t>
      </w:r>
      <w:r>
        <w:rPr>
          <w:rFonts w:hint="eastAsia"/>
          <w:highlight w:val="none"/>
        </w:rPr>
        <w:t>应保证扫描的案卷在装卸、运输和仓储过程中有足够的包装保护，防止纸质案卷 受潮、破损、着火及其他不可预见的损坏。</w:t>
      </w:r>
    </w:p>
    <w:p w14:paraId="0C6B7F02">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26</w:t>
      </w:r>
      <w:r>
        <w:rPr>
          <w:rFonts w:hint="eastAsia"/>
          <w:highlight w:val="none"/>
          <w:lang w:eastAsia="zh-CN"/>
        </w:rPr>
        <w:t>）</w:t>
      </w:r>
      <w:r>
        <w:rPr>
          <w:rFonts w:hint="eastAsia"/>
          <w:highlight w:val="none"/>
        </w:rPr>
        <w:t>纸质案卷到达采购人指定的整理地点后，投标</w:t>
      </w:r>
      <w:r>
        <w:rPr>
          <w:rFonts w:hint="eastAsia"/>
          <w:highlight w:val="none"/>
          <w:lang w:eastAsia="zh-CN"/>
        </w:rPr>
        <w:t>投标人</w:t>
      </w:r>
      <w:r>
        <w:rPr>
          <w:rFonts w:hint="eastAsia"/>
          <w:highlight w:val="none"/>
        </w:rPr>
        <w:t>应按有关技术规程和采购人要求进行存放、保管和整理。</w:t>
      </w:r>
    </w:p>
    <w:p w14:paraId="49A217E4">
      <w:pPr>
        <w:pStyle w:val="4"/>
        <w:spacing w:line="360" w:lineRule="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27</w:t>
      </w:r>
      <w:r>
        <w:rPr>
          <w:rFonts w:hint="eastAsia" w:ascii="宋体" w:hAnsi="宋体"/>
          <w:szCs w:val="21"/>
          <w:highlight w:val="none"/>
          <w:lang w:eastAsia="zh-CN"/>
        </w:rPr>
        <w:t>）</w:t>
      </w:r>
      <w:r>
        <w:rPr>
          <w:rFonts w:hint="eastAsia" w:ascii="宋体" w:hAnsi="宋体"/>
          <w:szCs w:val="21"/>
          <w:highlight w:val="none"/>
        </w:rPr>
        <w:t>人员要求</w:t>
      </w:r>
    </w:p>
    <w:p w14:paraId="0D046F55">
      <w:pPr>
        <w:spacing w:line="360" w:lineRule="auto"/>
        <w:ind w:firstLine="420" w:firstLineChars="200"/>
        <w:rPr>
          <w:rFonts w:hint="eastAsia"/>
          <w:highlight w:val="green"/>
        </w:rPr>
      </w:pPr>
      <w:r>
        <w:rPr>
          <w:rFonts w:hint="eastAsia" w:ascii="宋体" w:hAnsi="宋体"/>
          <w:szCs w:val="21"/>
          <w:highlight w:val="none"/>
        </w:rPr>
        <w:t>档案数字化项目组人员充足，不少于1</w:t>
      </w:r>
      <w:r>
        <w:rPr>
          <w:rFonts w:hint="eastAsia" w:ascii="宋体" w:hAnsi="宋体"/>
          <w:szCs w:val="21"/>
          <w:highlight w:val="none"/>
          <w:lang w:val="en-US" w:eastAsia="zh-CN"/>
        </w:rPr>
        <w:t>4</w:t>
      </w:r>
      <w:r>
        <w:rPr>
          <w:rFonts w:hint="eastAsia" w:ascii="宋体" w:hAnsi="宋体"/>
          <w:szCs w:val="21"/>
          <w:highlight w:val="none"/>
        </w:rPr>
        <w:t>人，配置完善合理。</w:t>
      </w:r>
    </w:p>
    <w:p w14:paraId="4BC3D450">
      <w:pPr>
        <w:spacing w:line="360" w:lineRule="auto"/>
        <w:ind w:firstLine="420" w:firstLineChars="200"/>
        <w:rPr>
          <w:rFonts w:hint="eastAsia"/>
        </w:rPr>
      </w:pPr>
      <w:r>
        <w:rPr>
          <w:rFonts w:hint="eastAsia"/>
        </w:rPr>
        <w:t>1.3 质量要求</w:t>
      </w:r>
    </w:p>
    <w:p w14:paraId="18B0A1CB">
      <w:pPr>
        <w:spacing w:line="360" w:lineRule="auto"/>
        <w:ind w:firstLine="420" w:firstLineChars="200"/>
        <w:rPr>
          <w:rFonts w:hint="eastAsia"/>
        </w:rPr>
      </w:pPr>
      <w:r>
        <w:rPr>
          <w:rFonts w:hint="eastAsia"/>
        </w:rPr>
        <w:t>1.3.1 服务、产品（如有）执行的标准、规范：</w:t>
      </w:r>
    </w:p>
    <w:p w14:paraId="34B3759B">
      <w:pPr>
        <w:spacing w:line="360" w:lineRule="auto"/>
        <w:ind w:firstLine="420" w:firstLineChars="200"/>
        <w:rPr>
          <w:rFonts w:hint="eastAsia"/>
        </w:rPr>
      </w:pPr>
      <w:r>
        <w:rPr>
          <w:rFonts w:hint="eastAsia"/>
        </w:rPr>
        <w:t>（1）国家标准、规范     /    ；</w:t>
      </w:r>
    </w:p>
    <w:p w14:paraId="069C875C">
      <w:pPr>
        <w:spacing w:line="360" w:lineRule="auto"/>
        <w:ind w:firstLine="420" w:firstLineChars="200"/>
        <w:rPr>
          <w:rFonts w:hint="eastAsia"/>
        </w:rPr>
      </w:pPr>
      <w:r>
        <w:rPr>
          <w:rFonts w:hint="eastAsia"/>
        </w:rPr>
        <w:t>（2）行业标准、规范     /    ；</w:t>
      </w:r>
    </w:p>
    <w:p w14:paraId="2AA747D2">
      <w:pPr>
        <w:spacing w:line="360" w:lineRule="auto"/>
        <w:ind w:firstLine="420" w:firstLineChars="200"/>
        <w:rPr>
          <w:rFonts w:hint="eastAsia"/>
        </w:rPr>
      </w:pPr>
      <w:r>
        <w:rPr>
          <w:rFonts w:hint="eastAsia"/>
        </w:rPr>
        <w:t>（3）地方标准、规范     /    ；</w:t>
      </w:r>
    </w:p>
    <w:p w14:paraId="2636DEC4">
      <w:pPr>
        <w:spacing w:line="360" w:lineRule="auto"/>
        <w:ind w:firstLine="420" w:firstLineChars="200"/>
        <w:rPr>
          <w:rFonts w:hint="eastAsia"/>
        </w:rPr>
      </w:pPr>
      <w:r>
        <w:rPr>
          <w:rFonts w:hint="eastAsia"/>
        </w:rPr>
        <w:t>（4）团体标准、规范     /    ；</w:t>
      </w:r>
    </w:p>
    <w:p w14:paraId="3BE1001F">
      <w:pPr>
        <w:spacing w:line="360" w:lineRule="auto"/>
        <w:ind w:firstLine="420" w:firstLineChars="200"/>
        <w:rPr>
          <w:rFonts w:hint="eastAsia"/>
        </w:rPr>
      </w:pPr>
      <w:r>
        <w:rPr>
          <w:rFonts w:hint="eastAsia"/>
        </w:rPr>
        <w:t>（5）企业标准、规范     /    。</w:t>
      </w:r>
    </w:p>
    <w:p w14:paraId="519FF04D">
      <w:pPr>
        <w:spacing w:line="360" w:lineRule="auto"/>
        <w:ind w:firstLine="420" w:firstLineChars="200"/>
        <w:rPr>
          <w:rFonts w:hint="eastAsia"/>
        </w:rPr>
      </w:pPr>
      <w:r>
        <w:rPr>
          <w:rFonts w:hint="eastAsia"/>
        </w:rPr>
        <w:t>1.3.2 本章1.3.1条款未明确服务（产品）执行标准、规范的，按下列方法进行选择：</w:t>
      </w:r>
    </w:p>
    <w:p w14:paraId="516632E1">
      <w:pPr>
        <w:spacing w:line="360" w:lineRule="auto"/>
        <w:ind w:firstLine="420" w:firstLineChars="200"/>
        <w:rPr>
          <w:rFonts w:hint="eastAsia"/>
        </w:rPr>
      </w:pPr>
      <w:r>
        <w:rPr>
          <w:rFonts w:hint="eastAsia"/>
        </w:rPr>
        <w:t>□ 顺序执行：国家标准→行业标准→地方标准→团体标准→企业标准（有国家标准按国家标准执行，没有国家标准按行业标准，以此类推）；</w:t>
      </w:r>
    </w:p>
    <w:p w14:paraId="0CC0BF1B">
      <w:pPr>
        <w:spacing w:line="360" w:lineRule="auto"/>
        <w:ind w:firstLine="420" w:firstLineChars="200"/>
        <w:rPr>
          <w:rFonts w:hint="eastAsia"/>
        </w:rPr>
      </w:pPr>
      <w:r>
        <w:rPr>
          <w:rFonts w:hint="eastAsia"/>
          <w:lang w:eastAsia="zh-CN"/>
        </w:rPr>
        <w:t>□</w:t>
      </w:r>
      <w:r>
        <w:rPr>
          <w:rFonts w:hint="eastAsia"/>
        </w:rPr>
        <w:t xml:space="preserve"> 最高标准执行：国家标准，行业标准，地方标准，团体标准，企业标准（那个标准高执行那个标准）</w:t>
      </w:r>
    </w:p>
    <w:p w14:paraId="331531B2">
      <w:pPr>
        <w:spacing w:line="360" w:lineRule="auto"/>
        <w:ind w:firstLine="420" w:firstLineChars="200"/>
        <w:rPr>
          <w:rFonts w:hint="eastAsia"/>
        </w:rPr>
      </w:pPr>
      <w:r>
        <w:rPr>
          <w:rFonts w:hint="eastAsia"/>
        </w:rPr>
        <w:t>☑ 必须执行：国家（行业）强制性标准。</w:t>
      </w:r>
    </w:p>
    <w:p w14:paraId="22F640C6">
      <w:pPr>
        <w:spacing w:line="360" w:lineRule="auto"/>
        <w:ind w:firstLine="420" w:firstLineChars="200"/>
        <w:rPr>
          <w:rFonts w:hint="eastAsia"/>
        </w:rPr>
      </w:pPr>
      <w:r>
        <w:rPr>
          <w:rFonts w:hint="eastAsia"/>
        </w:rPr>
        <w:t>☆1.4 人员要求</w:t>
      </w:r>
    </w:p>
    <w:p w14:paraId="2E159595">
      <w:pPr>
        <w:spacing w:line="360" w:lineRule="auto"/>
        <w:ind w:firstLine="420" w:firstLineChars="200"/>
        <w:rPr>
          <w:rFonts w:hint="eastAsia"/>
        </w:rPr>
      </w:pPr>
      <w:r>
        <w:rPr>
          <w:rFonts w:hint="eastAsia"/>
        </w:rPr>
        <w:t>档案数字化项目组人员充足，不少于1</w:t>
      </w:r>
      <w:r>
        <w:rPr>
          <w:rFonts w:hint="eastAsia"/>
          <w:lang w:val="en-US" w:eastAsia="zh-CN"/>
        </w:rPr>
        <w:t>4</w:t>
      </w:r>
      <w:r>
        <w:rPr>
          <w:rFonts w:hint="eastAsia"/>
        </w:rPr>
        <w:t>人，配置完善合理。</w:t>
      </w:r>
    </w:p>
    <w:p w14:paraId="4FC9A9ED">
      <w:pPr>
        <w:spacing w:line="360" w:lineRule="auto"/>
        <w:ind w:firstLine="422" w:firstLineChars="200"/>
        <w:rPr>
          <w:rFonts w:hint="eastAsia"/>
          <w:b/>
          <w:bCs/>
        </w:rPr>
      </w:pPr>
      <w:r>
        <w:rPr>
          <w:rFonts w:hint="eastAsia"/>
          <w:b/>
          <w:bCs/>
        </w:rPr>
        <w:t>2. 商务要求</w:t>
      </w:r>
    </w:p>
    <w:p w14:paraId="4C0851ED">
      <w:pPr>
        <w:spacing w:line="360" w:lineRule="auto"/>
        <w:ind w:firstLine="420" w:firstLineChars="200"/>
        <w:rPr>
          <w:rFonts w:hint="eastAsia"/>
          <w:highlight w:val="none"/>
        </w:rPr>
      </w:pPr>
      <w:r>
        <w:rPr>
          <w:rFonts w:hint="eastAsia"/>
          <w:highlight w:val="none"/>
        </w:rPr>
        <w:t>2.1服务期限：</w:t>
      </w:r>
    </w:p>
    <w:p w14:paraId="1919525E">
      <w:pPr>
        <w:spacing w:line="360" w:lineRule="auto"/>
        <w:ind w:firstLine="420" w:firstLineChars="200"/>
        <w:rPr>
          <w:rFonts w:hint="eastAsia"/>
          <w:highlight w:val="none"/>
        </w:rPr>
      </w:pPr>
      <w:r>
        <w:rPr>
          <w:rFonts w:hint="eastAsia"/>
          <w:highlight w:val="none"/>
        </w:rPr>
        <w:t>自合同签订之日起至</w:t>
      </w:r>
      <w:r>
        <w:rPr>
          <w:rFonts w:hint="eastAsia"/>
          <w:highlight w:val="none"/>
          <w:lang w:eastAsia="zh-CN"/>
        </w:rPr>
        <w:t>预算</w:t>
      </w:r>
      <w:r>
        <w:rPr>
          <w:rFonts w:hint="eastAsia"/>
          <w:highlight w:val="none"/>
        </w:rPr>
        <w:t>金额支付完毕</w:t>
      </w:r>
    </w:p>
    <w:p w14:paraId="106D8813">
      <w:pPr>
        <w:spacing w:line="360" w:lineRule="auto"/>
        <w:ind w:firstLine="420" w:firstLineChars="200"/>
        <w:rPr>
          <w:rFonts w:hint="eastAsia"/>
          <w:highlight w:val="none"/>
        </w:rPr>
      </w:pPr>
      <w:r>
        <w:rPr>
          <w:rFonts w:hint="eastAsia"/>
          <w:highlight w:val="none"/>
        </w:rPr>
        <w:t>2.2服务地点：</w:t>
      </w:r>
    </w:p>
    <w:p w14:paraId="04599B44">
      <w:pPr>
        <w:spacing w:line="360" w:lineRule="auto"/>
        <w:ind w:firstLine="420" w:firstLineChars="200"/>
        <w:rPr>
          <w:rFonts w:hint="eastAsia"/>
          <w:highlight w:val="none"/>
        </w:rPr>
      </w:pPr>
      <w:r>
        <w:rPr>
          <w:rFonts w:hint="eastAsia"/>
          <w:highlight w:val="none"/>
        </w:rPr>
        <w:t>西安市长安区人民法院全区域，采购人指定地点</w:t>
      </w:r>
    </w:p>
    <w:p w14:paraId="2ED0235E">
      <w:pPr>
        <w:spacing w:line="360" w:lineRule="auto"/>
        <w:ind w:firstLine="420" w:firstLineChars="200"/>
        <w:rPr>
          <w:rFonts w:hint="eastAsia"/>
          <w:highlight w:val="none"/>
        </w:rPr>
      </w:pPr>
      <w:r>
        <w:rPr>
          <w:rFonts w:hint="eastAsia"/>
          <w:highlight w:val="none"/>
        </w:rPr>
        <w:t>长安区人民法院地址：西安市长安区西长安街141号；</w:t>
      </w:r>
    </w:p>
    <w:p w14:paraId="21A43548">
      <w:pPr>
        <w:spacing w:line="360" w:lineRule="auto"/>
        <w:ind w:firstLine="420" w:firstLineChars="200"/>
        <w:rPr>
          <w:rFonts w:hint="eastAsia"/>
        </w:rPr>
      </w:pPr>
      <w:r>
        <w:rPr>
          <w:rFonts w:hint="eastAsia"/>
        </w:rPr>
        <w:t>沣峪人民法庭地址：西安市长安区滦镇街道313县道（滦镇十字向西200米路北）；</w:t>
      </w:r>
    </w:p>
    <w:p w14:paraId="67AD2514">
      <w:pPr>
        <w:spacing w:line="360" w:lineRule="auto"/>
        <w:ind w:firstLine="420" w:firstLineChars="200"/>
        <w:rPr>
          <w:rFonts w:hint="eastAsia"/>
        </w:rPr>
      </w:pPr>
      <w:r>
        <w:rPr>
          <w:rFonts w:hint="eastAsia"/>
        </w:rPr>
        <w:t>郭杜人民法庭地址：西安市长安区西户路与韦斗路十字西北角；</w:t>
      </w:r>
    </w:p>
    <w:p w14:paraId="2585381F">
      <w:pPr>
        <w:spacing w:line="360" w:lineRule="auto"/>
        <w:ind w:firstLine="420" w:firstLineChars="200"/>
        <w:rPr>
          <w:rFonts w:hint="eastAsia"/>
        </w:rPr>
      </w:pPr>
      <w:r>
        <w:rPr>
          <w:rFonts w:hint="eastAsia"/>
        </w:rPr>
        <w:t>细柳人民法庭地址：西安市长安区西户路与韦斗路十字西北角；</w:t>
      </w:r>
    </w:p>
    <w:p w14:paraId="3C4D1D14">
      <w:pPr>
        <w:spacing w:line="360" w:lineRule="auto"/>
        <w:ind w:firstLine="420" w:firstLineChars="200"/>
        <w:rPr>
          <w:rFonts w:hint="eastAsia"/>
        </w:rPr>
      </w:pPr>
      <w:r>
        <w:rPr>
          <w:rFonts w:hint="eastAsia"/>
        </w:rPr>
        <w:t>王曲人民法庭地址：西安市长安区王曲街道238县道（王曲派出所旁）；</w:t>
      </w:r>
    </w:p>
    <w:p w14:paraId="38E859AA">
      <w:pPr>
        <w:spacing w:line="360" w:lineRule="auto"/>
        <w:ind w:firstLine="420" w:firstLineChars="200"/>
        <w:rPr>
          <w:rFonts w:hint="eastAsia"/>
        </w:rPr>
      </w:pPr>
      <w:r>
        <w:rPr>
          <w:rFonts w:hint="eastAsia"/>
        </w:rPr>
        <w:t>引镇人民法庭地址：西安市长安区引镇街道太兴南路27号；</w:t>
      </w:r>
    </w:p>
    <w:p w14:paraId="15206835">
      <w:pPr>
        <w:spacing w:line="360" w:lineRule="auto"/>
        <w:ind w:firstLine="420" w:firstLineChars="200"/>
        <w:rPr>
          <w:rFonts w:hint="eastAsia"/>
        </w:rPr>
      </w:pPr>
      <w:r>
        <w:rPr>
          <w:rFonts w:hint="eastAsia"/>
        </w:rPr>
        <w:t>鸣犊人民法庭地址：西安市长安区鸣犊东街与鸣犊正街交叉口东340米；</w:t>
      </w:r>
    </w:p>
    <w:p w14:paraId="0F6B9228">
      <w:pPr>
        <w:spacing w:line="360" w:lineRule="auto"/>
        <w:ind w:firstLine="420" w:firstLineChars="200"/>
        <w:rPr>
          <w:rFonts w:hint="eastAsia"/>
        </w:rPr>
      </w:pPr>
      <w:r>
        <w:rPr>
          <w:rFonts w:hint="eastAsia"/>
        </w:rPr>
        <w:t>沣东新城人民法庭地址：西安市长安区沣东新城沣镐七里镇第二小区东南角临街二楼；</w:t>
      </w:r>
    </w:p>
    <w:p w14:paraId="3B1D8213">
      <w:pPr>
        <w:spacing w:line="360" w:lineRule="auto"/>
        <w:ind w:firstLine="420" w:firstLineChars="200"/>
        <w:rPr>
          <w:highlight w:val="none"/>
        </w:rPr>
      </w:pPr>
      <w:r>
        <w:rPr>
          <w:rFonts w:hint="eastAsia" w:ascii="Times New Roman" w:hAnsi="Times New Roman" w:eastAsia="宋体" w:cs="Times New Roman"/>
          <w:b w:val="0"/>
          <w:bCs/>
          <w:kern w:val="2"/>
          <w:sz w:val="21"/>
          <w:szCs w:val="24"/>
          <w:lang w:val="en-US" w:eastAsia="zh-CN" w:bidi="ar-SA"/>
        </w:rPr>
        <w:t>西安国家民用航天产业基地人民法庭：西安市长安区国家民用航天产业基地航天中路518号寰宇大厦8F。</w:t>
      </w:r>
    </w:p>
    <w:p w14:paraId="43136377">
      <w:pPr>
        <w:spacing w:line="360" w:lineRule="auto"/>
        <w:rPr>
          <w:rFonts w:hint="default"/>
          <w:color w:val="000000" w:themeColor="text1"/>
          <w:lang w:val="en-US" w:eastAsia="zh-CN"/>
        </w:rPr>
      </w:pPr>
    </w:p>
    <w:p w14:paraId="1F3AB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rPr>
      </w:pPr>
    </w:p>
    <w:p w14:paraId="5B2FCED5">
      <w:pPr>
        <w:spacing w:line="360" w:lineRule="auto"/>
        <w:ind w:firstLine="480" w:firstLineChars="200"/>
        <w:jc w:val="righ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西安市长安区人民法院</w:t>
      </w:r>
    </w:p>
    <w:p w14:paraId="1CB31071">
      <w:pPr>
        <w:spacing w:line="360" w:lineRule="auto"/>
        <w:ind w:firstLine="480" w:firstLineChars="200"/>
        <w:jc w:val="right"/>
        <w:rPr>
          <w:rFonts w:hint="eastAsia" w:ascii="宋体" w:hAnsi="宋体" w:eastAsia="宋体" w:cs="宋体"/>
          <w:color w:val="000000" w:themeColor="text1"/>
          <w:sz w:val="24"/>
          <w:szCs w:val="24"/>
          <w:highlight w:val="none"/>
          <w:lang w:val="en-US" w:eastAsia="zh-CN"/>
        </w:rPr>
      </w:pPr>
      <w:bookmarkStart w:id="0" w:name="_GoBack"/>
      <w:bookmarkEnd w:id="0"/>
      <w:r>
        <w:rPr>
          <w:rFonts w:hint="eastAsia" w:ascii="宋体" w:hAnsi="宋体" w:eastAsia="宋体" w:cs="宋体"/>
          <w:color w:val="000000" w:themeColor="text1"/>
          <w:sz w:val="24"/>
          <w:szCs w:val="24"/>
          <w:highlight w:val="none"/>
          <w:lang w:val="en-US" w:eastAsia="zh-CN"/>
        </w:rPr>
        <w:t>2024年7月9日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CB14">
    <w:pPr>
      <w:pStyle w:val="6"/>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62334137"/>
                  <w:docPartObj>
                    <w:docPartGallery w:val="autotext"/>
                  </w:docPartObj>
                </w:sdtPr>
                <w:sdtContent>
                  <w:p w14:paraId="655981DB">
                    <w:pPr>
                      <w:pStyle w:val="6"/>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41</w:t>
                    </w:r>
                    <w:r>
                      <w:rPr>
                        <w:rFonts w:hint="eastAsia" w:ascii="仿宋_GB2312" w:eastAsia="仿宋_GB2312"/>
                        <w:sz w:val="28"/>
                        <w:szCs w:val="28"/>
                      </w:rPr>
                      <w:fldChar w:fldCharType="end"/>
                    </w:r>
                  </w:p>
                </w:sdtContent>
              </w:sdt>
              <w:p w14:paraId="3A15263C">
                <w:pPr>
                  <w:pStyle w:val="5"/>
                </w:pPr>
              </w:p>
            </w:txbxContent>
          </v:textbox>
        </v:shape>
      </w:pict>
    </w:r>
  </w:p>
  <w:p w14:paraId="58B431A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wMWYyZDNhM2MyN2IxMWZiZjE3OGZiYjU1NjEyNWYifQ=="/>
  </w:docVars>
  <w:rsids>
    <w:rsidRoot w:val="0022495D"/>
    <w:rsid w:val="0007797B"/>
    <w:rsid w:val="000E7920"/>
    <w:rsid w:val="001B05D0"/>
    <w:rsid w:val="0022495D"/>
    <w:rsid w:val="003E59AA"/>
    <w:rsid w:val="004A50B4"/>
    <w:rsid w:val="006043D0"/>
    <w:rsid w:val="00823292"/>
    <w:rsid w:val="00A0452A"/>
    <w:rsid w:val="00A44C1D"/>
    <w:rsid w:val="00BC5E37"/>
    <w:rsid w:val="00F66F54"/>
    <w:rsid w:val="0137187F"/>
    <w:rsid w:val="04272C1D"/>
    <w:rsid w:val="05805A25"/>
    <w:rsid w:val="05F60DB3"/>
    <w:rsid w:val="067B1C86"/>
    <w:rsid w:val="078A5FD5"/>
    <w:rsid w:val="09807C7A"/>
    <w:rsid w:val="0A7766AB"/>
    <w:rsid w:val="0AA95369"/>
    <w:rsid w:val="0B004E15"/>
    <w:rsid w:val="0C351053"/>
    <w:rsid w:val="0EC13155"/>
    <w:rsid w:val="0F3F5F47"/>
    <w:rsid w:val="100C4A0A"/>
    <w:rsid w:val="11373DFF"/>
    <w:rsid w:val="12AA1A41"/>
    <w:rsid w:val="12CE281D"/>
    <w:rsid w:val="181D05C6"/>
    <w:rsid w:val="185463DD"/>
    <w:rsid w:val="19632C10"/>
    <w:rsid w:val="19992E65"/>
    <w:rsid w:val="1B952061"/>
    <w:rsid w:val="1D296BBB"/>
    <w:rsid w:val="1E9723F3"/>
    <w:rsid w:val="1EE71CC4"/>
    <w:rsid w:val="201B6C1C"/>
    <w:rsid w:val="205729C5"/>
    <w:rsid w:val="21071285"/>
    <w:rsid w:val="211612EB"/>
    <w:rsid w:val="22833F45"/>
    <w:rsid w:val="229814B2"/>
    <w:rsid w:val="229B44AF"/>
    <w:rsid w:val="24E314C3"/>
    <w:rsid w:val="2535518F"/>
    <w:rsid w:val="25673AA5"/>
    <w:rsid w:val="263122AC"/>
    <w:rsid w:val="26460754"/>
    <w:rsid w:val="2870743F"/>
    <w:rsid w:val="2A684B80"/>
    <w:rsid w:val="2C114A3A"/>
    <w:rsid w:val="2D7C6DC5"/>
    <w:rsid w:val="2E7A71E5"/>
    <w:rsid w:val="2EE20276"/>
    <w:rsid w:val="2FEC2B23"/>
    <w:rsid w:val="30DE732C"/>
    <w:rsid w:val="31286155"/>
    <w:rsid w:val="31367715"/>
    <w:rsid w:val="33527294"/>
    <w:rsid w:val="35D46B3A"/>
    <w:rsid w:val="37526A33"/>
    <w:rsid w:val="391B3766"/>
    <w:rsid w:val="3B4422FE"/>
    <w:rsid w:val="3BC45127"/>
    <w:rsid w:val="3C7C3EC3"/>
    <w:rsid w:val="3EC66817"/>
    <w:rsid w:val="42A30CD6"/>
    <w:rsid w:val="436575FF"/>
    <w:rsid w:val="437F4A1B"/>
    <w:rsid w:val="43954AF6"/>
    <w:rsid w:val="4418664F"/>
    <w:rsid w:val="45460CFD"/>
    <w:rsid w:val="45623D26"/>
    <w:rsid w:val="46362AA7"/>
    <w:rsid w:val="463906A6"/>
    <w:rsid w:val="464F625B"/>
    <w:rsid w:val="46D620EE"/>
    <w:rsid w:val="47DD79CD"/>
    <w:rsid w:val="49777AB0"/>
    <w:rsid w:val="4AC27BEF"/>
    <w:rsid w:val="4BA12F1F"/>
    <w:rsid w:val="4D7C3DED"/>
    <w:rsid w:val="4DF74D1B"/>
    <w:rsid w:val="4E645A88"/>
    <w:rsid w:val="4F607AAC"/>
    <w:rsid w:val="4FC742F8"/>
    <w:rsid w:val="503E0068"/>
    <w:rsid w:val="50502379"/>
    <w:rsid w:val="506146CF"/>
    <w:rsid w:val="50A00413"/>
    <w:rsid w:val="50BB75EC"/>
    <w:rsid w:val="50F96D79"/>
    <w:rsid w:val="51E679BF"/>
    <w:rsid w:val="523A45B1"/>
    <w:rsid w:val="547F5A6B"/>
    <w:rsid w:val="54A646A1"/>
    <w:rsid w:val="55254864"/>
    <w:rsid w:val="564B654C"/>
    <w:rsid w:val="56CB5887"/>
    <w:rsid w:val="57572B76"/>
    <w:rsid w:val="5A1B2BF6"/>
    <w:rsid w:val="5A4A37B1"/>
    <w:rsid w:val="5A5E5C5A"/>
    <w:rsid w:val="5B12744F"/>
    <w:rsid w:val="5BEF6DE0"/>
    <w:rsid w:val="5CF10E39"/>
    <w:rsid w:val="5D7A5376"/>
    <w:rsid w:val="5DAF3F8B"/>
    <w:rsid w:val="5E335E20"/>
    <w:rsid w:val="5EE44E48"/>
    <w:rsid w:val="5F2E2993"/>
    <w:rsid w:val="5F7F2DC3"/>
    <w:rsid w:val="5FC316AD"/>
    <w:rsid w:val="609749F5"/>
    <w:rsid w:val="61177278"/>
    <w:rsid w:val="61354C2B"/>
    <w:rsid w:val="626852C6"/>
    <w:rsid w:val="6368163B"/>
    <w:rsid w:val="64D84D4C"/>
    <w:rsid w:val="677E7309"/>
    <w:rsid w:val="6E56578D"/>
    <w:rsid w:val="6F157EC5"/>
    <w:rsid w:val="6FBA4BCD"/>
    <w:rsid w:val="70E126F2"/>
    <w:rsid w:val="711E1FB4"/>
    <w:rsid w:val="71306613"/>
    <w:rsid w:val="71883B24"/>
    <w:rsid w:val="72553460"/>
    <w:rsid w:val="74E41BEE"/>
    <w:rsid w:val="75331A95"/>
    <w:rsid w:val="75616D9B"/>
    <w:rsid w:val="782D4FF8"/>
    <w:rsid w:val="78F51DD9"/>
    <w:rsid w:val="7A464E37"/>
    <w:rsid w:val="7A721EC3"/>
    <w:rsid w:val="7AF01505"/>
    <w:rsid w:val="7AF56617"/>
    <w:rsid w:val="7B2B25A0"/>
    <w:rsid w:val="7B7E4831"/>
    <w:rsid w:val="7BD50446"/>
    <w:rsid w:val="7C29438A"/>
    <w:rsid w:val="7E837D82"/>
    <w:rsid w:val="7EF33874"/>
    <w:rsid w:val="7F90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32"/>
      <w:szCs w:val="20"/>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unhideWhenUsed/>
    <w:qFormat/>
    <w:uiPriority w:val="99"/>
    <w:rPr>
      <w:b/>
      <w:sz w:val="28"/>
    </w:rPr>
  </w:style>
  <w:style w:type="paragraph" w:styleId="6">
    <w:name w:val="footer"/>
    <w:basedOn w:val="1"/>
    <w:link w:val="31"/>
    <w:autoRedefine/>
    <w:qFormat/>
    <w:uiPriority w:val="0"/>
    <w:pPr>
      <w:tabs>
        <w:tab w:val="center" w:pos="4153"/>
        <w:tab w:val="right" w:pos="8306"/>
      </w:tabs>
      <w:snapToGrid w:val="0"/>
      <w:jc w:val="left"/>
    </w:pPr>
    <w:rPr>
      <w:sz w:val="18"/>
      <w:szCs w:val="18"/>
    </w:rPr>
  </w:style>
  <w:style w:type="paragraph" w:styleId="7">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ind w:left="1260" w:leftChars="600"/>
    </w:pPr>
    <w:rPr>
      <w:rFonts w:ascii="Times New Roman" w:hAnsi="Times New Roman" w:eastAsia="宋体" w:cs="Times New Roman"/>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333333"/>
      <w:u w:val="single"/>
    </w:rPr>
  </w:style>
  <w:style w:type="character" w:styleId="15">
    <w:name w:val="Emphasis"/>
    <w:basedOn w:val="12"/>
    <w:autoRedefine/>
    <w:qFormat/>
    <w:uiPriority w:val="0"/>
  </w:style>
  <w:style w:type="character" w:styleId="16">
    <w:name w:val="HTML Definition"/>
    <w:basedOn w:val="12"/>
    <w:autoRedefine/>
    <w:qFormat/>
    <w:uiPriority w:val="0"/>
    <w:rPr>
      <w:i/>
      <w:iCs/>
    </w:rPr>
  </w:style>
  <w:style w:type="character" w:styleId="17">
    <w:name w:val="Hyperlink"/>
    <w:basedOn w:val="12"/>
    <w:autoRedefine/>
    <w:qFormat/>
    <w:uiPriority w:val="0"/>
    <w:rPr>
      <w:color w:val="333333"/>
      <w:u w:val="single"/>
    </w:rPr>
  </w:style>
  <w:style w:type="character" w:styleId="18">
    <w:name w:val="HTML Code"/>
    <w:basedOn w:val="12"/>
    <w:autoRedefine/>
    <w:qFormat/>
    <w:uiPriority w:val="0"/>
    <w:rPr>
      <w:rFonts w:hint="default" w:ascii="Consolas" w:hAnsi="Consolas" w:eastAsia="Consolas" w:cs="Consolas"/>
      <w:color w:val="C7254E"/>
      <w:sz w:val="21"/>
      <w:szCs w:val="21"/>
      <w:shd w:val="clear" w:color="auto" w:fill="F9F2F4"/>
    </w:rPr>
  </w:style>
  <w:style w:type="character" w:styleId="19">
    <w:name w:val="HTML Keyboard"/>
    <w:basedOn w:val="12"/>
    <w:autoRedefine/>
    <w:qFormat/>
    <w:uiPriority w:val="0"/>
    <w:rPr>
      <w:rFonts w:ascii="Consolas" w:hAnsi="Consolas" w:eastAsia="Consolas" w:cs="Consolas"/>
      <w:color w:val="FFFFFF"/>
      <w:sz w:val="21"/>
      <w:szCs w:val="21"/>
      <w:shd w:val="clear" w:color="auto" w:fill="333333"/>
    </w:rPr>
  </w:style>
  <w:style w:type="character" w:styleId="20">
    <w:name w:val="HTML Sample"/>
    <w:basedOn w:val="12"/>
    <w:autoRedefine/>
    <w:qFormat/>
    <w:uiPriority w:val="0"/>
    <w:rPr>
      <w:rFonts w:hint="default" w:ascii="Consolas" w:hAnsi="Consolas" w:eastAsia="Consolas" w:cs="Consolas"/>
      <w:sz w:val="21"/>
      <w:szCs w:val="21"/>
    </w:rPr>
  </w:style>
  <w:style w:type="paragraph" w:customStyle="1" w:styleId="21">
    <w:name w:val="文档正文"/>
    <w:basedOn w:val="1"/>
    <w:autoRedefine/>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22">
    <w:name w:val="hour_pm"/>
    <w:basedOn w:val="12"/>
    <w:autoRedefine/>
    <w:qFormat/>
    <w:uiPriority w:val="0"/>
  </w:style>
  <w:style w:type="character" w:customStyle="1" w:styleId="23">
    <w:name w:val="hover3"/>
    <w:basedOn w:val="12"/>
    <w:autoRedefine/>
    <w:qFormat/>
    <w:uiPriority w:val="0"/>
    <w:rPr>
      <w:shd w:val="clear" w:color="auto" w:fill="EEEEEE"/>
    </w:rPr>
  </w:style>
  <w:style w:type="character" w:customStyle="1" w:styleId="24">
    <w:name w:val="old"/>
    <w:basedOn w:val="12"/>
    <w:autoRedefine/>
    <w:qFormat/>
    <w:uiPriority w:val="0"/>
    <w:rPr>
      <w:color w:val="999999"/>
    </w:rPr>
  </w:style>
  <w:style w:type="character" w:customStyle="1" w:styleId="25">
    <w:name w:val="glyphicon4"/>
    <w:basedOn w:val="12"/>
    <w:autoRedefine/>
    <w:qFormat/>
    <w:uiPriority w:val="0"/>
  </w:style>
  <w:style w:type="character" w:customStyle="1" w:styleId="26">
    <w:name w:val="hour_am"/>
    <w:basedOn w:val="12"/>
    <w:autoRedefine/>
    <w:qFormat/>
    <w:uiPriority w:val="0"/>
  </w:style>
  <w:style w:type="character" w:customStyle="1" w:styleId="27">
    <w:name w:val="indent"/>
    <w:basedOn w:val="12"/>
    <w:autoRedefine/>
    <w:qFormat/>
    <w:uiPriority w:val="0"/>
  </w:style>
  <w:style w:type="character" w:customStyle="1" w:styleId="28">
    <w:name w:val="button"/>
    <w:basedOn w:val="12"/>
    <w:autoRedefine/>
    <w:qFormat/>
    <w:uiPriority w:val="0"/>
  </w:style>
  <w:style w:type="character" w:customStyle="1" w:styleId="29">
    <w:name w:val="tmpztreemove_arrow"/>
    <w:basedOn w:val="12"/>
    <w:autoRedefine/>
    <w:qFormat/>
    <w:uiPriority w:val="0"/>
    <w:rPr>
      <w:shd w:val="clear" w:color="auto" w:fill="FFFFFF"/>
    </w:rPr>
  </w:style>
  <w:style w:type="character" w:customStyle="1" w:styleId="30">
    <w:name w:val="页眉 Char"/>
    <w:basedOn w:val="12"/>
    <w:link w:val="7"/>
    <w:autoRedefine/>
    <w:qFormat/>
    <w:uiPriority w:val="0"/>
    <w:rPr>
      <w:rFonts w:asciiTheme="minorHAnsi" w:hAnsiTheme="minorHAnsi" w:eastAsiaTheme="minorEastAsia" w:cstheme="minorBidi"/>
      <w:kern w:val="2"/>
      <w:sz w:val="18"/>
      <w:szCs w:val="18"/>
    </w:rPr>
  </w:style>
  <w:style w:type="character" w:customStyle="1" w:styleId="31">
    <w:name w:val="页脚 Char"/>
    <w:basedOn w:val="12"/>
    <w:link w:val="6"/>
    <w:autoRedefine/>
    <w:qFormat/>
    <w:uiPriority w:val="0"/>
    <w:rPr>
      <w:rFonts w:asciiTheme="minorHAnsi" w:hAnsiTheme="minorHAnsi" w:eastAsiaTheme="minorEastAsia" w:cstheme="minorBidi"/>
      <w:kern w:val="2"/>
      <w:sz w:val="18"/>
      <w:szCs w:val="18"/>
    </w:rPr>
  </w:style>
  <w:style w:type="paragraph" w:customStyle="1" w:styleId="32">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33">
    <w:name w:val="Body text|1"/>
    <w:basedOn w:val="1"/>
    <w:autoRedefine/>
    <w:qFormat/>
    <w:uiPriority w:val="0"/>
    <w:pPr>
      <w:spacing w:line="324" w:lineRule="auto"/>
    </w:pPr>
    <w:rPr>
      <w:rFonts w:ascii="宋体" w:hAnsi="宋体" w:eastAsia="宋体" w:cs="宋体"/>
      <w:lang w:val="zh-TW" w:eastAsia="zh-TW" w:bidi="zh-TW"/>
    </w:rPr>
  </w:style>
  <w:style w:type="paragraph" w:customStyle="1" w:styleId="34">
    <w:name w:val="正文格式"/>
    <w:autoRedefine/>
    <w:qFormat/>
    <w:uiPriority w:val="99"/>
    <w:pPr>
      <w:spacing w:line="360" w:lineRule="auto"/>
      <w:ind w:firstLine="200" w:firstLineChars="200"/>
    </w:pPr>
    <w:rPr>
      <w:rFonts w:ascii="Calibri" w:hAnsi="Calibri" w:eastAsia="宋体" w:cs="Times New Roman"/>
      <w:sz w:val="28"/>
      <w:szCs w:val="22"/>
      <w:lang w:val="en-US" w:eastAsia="zh-CN" w:bidi="ar-SA"/>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4515</Words>
  <Characters>4763</Characters>
  <Lines>66</Lines>
  <Paragraphs>18</Paragraphs>
  <TotalTime>0</TotalTime>
  <ScaleCrop>false</ScaleCrop>
  <LinksUpToDate>false</LinksUpToDate>
  <CharactersWithSpaces>4860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2021-06-23T17:43:00Z</dcterms:created>
  <dc:creator>Administrator</dc:creator>
  <cp:lastModifiedBy>人间不染</cp:lastModifiedBy>
  <cp:lastPrinted>2023-11-14T07:08:00Z</cp:lastPrinted>
  <dcterms:modified xsi:type="dcterms:W3CDTF">2024-07-15T08:53:51Z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D64D073E68D8436BBECD91CBBCB7C610</vt:lpwstr>
  </property>
</Properties>
</file>