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FBE20"/>
    <w:p w14:paraId="0AD431EC">
      <w:pPr>
        <w:rPr>
          <w:rFonts w:ascii="宋体" w:hAnsi="宋体" w:cs="宋体"/>
          <w:b/>
          <w:sz w:val="32"/>
          <w:szCs w:val="32"/>
        </w:rPr>
      </w:pPr>
    </w:p>
    <w:tbl>
      <w:tblPr>
        <w:tblStyle w:val="26"/>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11B1B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noWrap w:val="0"/>
            <w:vAlign w:val="top"/>
          </w:tcPr>
          <w:p w14:paraId="3085307E">
            <w:pPr>
              <w:rPr>
                <w:rFonts w:ascii="宋体" w:hAnsi="宋体" w:cs="宋体"/>
                <w:b/>
                <w:sz w:val="32"/>
                <w:szCs w:val="32"/>
              </w:rPr>
            </w:pPr>
            <w:r>
              <w:rPr>
                <w:rFonts w:hint="eastAsia" w:ascii="宋体" w:hAnsi="宋体" w:cs="宋体"/>
                <w:b/>
                <w:sz w:val="32"/>
                <w:szCs w:val="32"/>
              </w:rPr>
              <w:t>标准</w:t>
            </w:r>
          </w:p>
        </w:tc>
      </w:tr>
    </w:tbl>
    <w:p w14:paraId="1F6C449A">
      <w:pPr>
        <w:jc w:val="center"/>
        <w:rPr>
          <w:rFonts w:ascii="宋体" w:hAnsi="宋体" w:cs="宋体"/>
          <w:b/>
          <w:sz w:val="36"/>
          <w:szCs w:val="36"/>
        </w:rPr>
      </w:pPr>
    </w:p>
    <w:p w14:paraId="10C5BE8F">
      <w:pPr>
        <w:jc w:val="center"/>
        <w:rPr>
          <w:rFonts w:ascii="宋体" w:hAnsi="宋体" w:cs="宋体"/>
          <w:b/>
          <w:sz w:val="36"/>
          <w:szCs w:val="36"/>
        </w:rPr>
      </w:pPr>
    </w:p>
    <w:p w14:paraId="415E5DEE">
      <w:pPr>
        <w:jc w:val="center"/>
        <w:rPr>
          <w:rFonts w:ascii="宋体" w:hAnsi="宋体" w:cs="宋体"/>
          <w:b/>
          <w:sz w:val="36"/>
          <w:szCs w:val="36"/>
        </w:rPr>
      </w:pPr>
    </w:p>
    <w:p w14:paraId="26B15961">
      <w:pPr>
        <w:jc w:val="center"/>
        <w:rPr>
          <w:rFonts w:ascii="宋体" w:hAnsi="宋体" w:cs="宋体"/>
          <w:b/>
          <w:sz w:val="36"/>
          <w:szCs w:val="36"/>
        </w:rPr>
      </w:pPr>
    </w:p>
    <w:p w14:paraId="7EBA0B4C">
      <w:pPr>
        <w:jc w:val="center"/>
        <w:rPr>
          <w:rFonts w:ascii="宋体" w:hAnsi="宋体" w:cs="宋体"/>
          <w:b/>
          <w:spacing w:val="-20"/>
          <w:sz w:val="58"/>
          <w:szCs w:val="58"/>
        </w:rPr>
      </w:pPr>
      <w:r>
        <w:rPr>
          <w:rFonts w:hint="eastAsia" w:ascii="宋体" w:hAnsi="宋体" w:cs="宋体"/>
          <w:b/>
          <w:spacing w:val="-20"/>
          <w:sz w:val="58"/>
          <w:szCs w:val="58"/>
        </w:rPr>
        <w:t>西安市第三医院</w:t>
      </w:r>
    </w:p>
    <w:p w14:paraId="63EDE35A">
      <w:pPr>
        <w:jc w:val="center"/>
        <w:rPr>
          <w:rFonts w:ascii="宋体" w:hAnsi="宋体" w:cs="宋体"/>
          <w:b/>
          <w:spacing w:val="-20"/>
          <w:sz w:val="58"/>
          <w:szCs w:val="58"/>
        </w:rPr>
      </w:pPr>
      <w:r>
        <w:rPr>
          <w:rFonts w:hint="eastAsia" w:ascii="宋体" w:hAnsi="宋体" w:cs="宋体"/>
          <w:b/>
          <w:spacing w:val="-20"/>
          <w:sz w:val="58"/>
          <w:szCs w:val="58"/>
        </w:rPr>
        <w:t>2024年度基础医疗设备及医用气体系统运维集约化服务项目</w:t>
      </w:r>
    </w:p>
    <w:p w14:paraId="440BEC04">
      <w:pPr>
        <w:spacing w:line="800" w:lineRule="exact"/>
        <w:jc w:val="center"/>
        <w:rPr>
          <w:rFonts w:ascii="宋体" w:hAnsi="宋体" w:cs="宋体"/>
          <w:b/>
          <w:sz w:val="36"/>
          <w:szCs w:val="36"/>
        </w:rPr>
      </w:pPr>
      <w:r>
        <w:rPr>
          <w:rFonts w:hint="eastAsia" w:ascii="宋体" w:hAnsi="宋体" w:cs="宋体"/>
          <w:b/>
          <w:sz w:val="36"/>
          <w:szCs w:val="36"/>
        </w:rPr>
        <w:t>合同编号：XXXX</w:t>
      </w:r>
    </w:p>
    <w:p w14:paraId="72FE0ECD">
      <w:pPr>
        <w:jc w:val="center"/>
        <w:rPr>
          <w:rFonts w:ascii="宋体" w:hAnsi="宋体" w:cs="宋体"/>
          <w:sz w:val="30"/>
          <w:szCs w:val="30"/>
        </w:rPr>
      </w:pPr>
    </w:p>
    <w:p w14:paraId="4D3F46E9">
      <w:pPr>
        <w:jc w:val="center"/>
        <w:rPr>
          <w:rFonts w:ascii="宋体" w:hAnsi="宋体" w:cs="宋体"/>
          <w:sz w:val="30"/>
          <w:szCs w:val="30"/>
        </w:rPr>
      </w:pPr>
      <w:bookmarkStart w:id="1" w:name="_GoBack"/>
      <w:bookmarkEnd w:id="1"/>
    </w:p>
    <w:p w14:paraId="2B5726B1">
      <w:pPr>
        <w:jc w:val="center"/>
        <w:rPr>
          <w:rFonts w:ascii="宋体" w:hAnsi="宋体" w:cs="宋体"/>
          <w:sz w:val="30"/>
          <w:szCs w:val="30"/>
        </w:rPr>
      </w:pPr>
    </w:p>
    <w:p w14:paraId="4BCF8206">
      <w:pPr>
        <w:jc w:val="center"/>
        <w:rPr>
          <w:rFonts w:ascii="宋体" w:hAnsi="宋体" w:cs="宋体"/>
          <w:sz w:val="30"/>
          <w:szCs w:val="30"/>
        </w:rPr>
      </w:pPr>
    </w:p>
    <w:p w14:paraId="043D77EC">
      <w:pPr>
        <w:jc w:val="center"/>
        <w:rPr>
          <w:rFonts w:ascii="宋体" w:hAnsi="宋体" w:cs="宋体"/>
          <w:sz w:val="30"/>
          <w:szCs w:val="30"/>
        </w:rPr>
      </w:pPr>
    </w:p>
    <w:p w14:paraId="6C1CB99D">
      <w:pPr>
        <w:jc w:val="center"/>
        <w:rPr>
          <w:rFonts w:ascii="宋体" w:hAnsi="宋体" w:cs="宋体"/>
          <w:sz w:val="30"/>
          <w:szCs w:val="30"/>
        </w:rPr>
      </w:pPr>
    </w:p>
    <w:p w14:paraId="73081E66">
      <w:pPr>
        <w:ind w:firstLine="2080" w:firstLineChars="650"/>
        <w:rPr>
          <w:rFonts w:ascii="宋体" w:hAnsi="宋体" w:cs="宋体"/>
          <w:sz w:val="32"/>
          <w:szCs w:val="32"/>
        </w:rPr>
      </w:pPr>
      <w:r>
        <w:rPr>
          <w:rFonts w:hint="eastAsia" w:ascii="宋体" w:hAnsi="宋体" w:cs="宋体"/>
          <w:sz w:val="32"/>
          <w:szCs w:val="32"/>
        </w:rPr>
        <w:t>甲  方：西安市第三医院</w:t>
      </w:r>
    </w:p>
    <w:p w14:paraId="1340B485">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w:t>
      </w:r>
    </w:p>
    <w:p w14:paraId="7454C337">
      <w:pPr>
        <w:rPr>
          <w:rFonts w:ascii="宋体" w:hAnsi="宋体" w:cs="宋体"/>
          <w:sz w:val="32"/>
          <w:szCs w:val="32"/>
        </w:rPr>
      </w:pPr>
      <w:r>
        <w:rPr>
          <w:rFonts w:hint="eastAsia" w:ascii="宋体" w:hAnsi="宋体" w:cs="宋体"/>
          <w:sz w:val="32"/>
          <w:szCs w:val="32"/>
        </w:rPr>
        <w:t xml:space="preserve">             见证方: XXXXXXXXXXXXXX</w:t>
      </w:r>
    </w:p>
    <w:p w14:paraId="4357E1F9">
      <w:pPr>
        <w:jc w:val="center"/>
        <w:rPr>
          <w:rFonts w:ascii="宋体" w:hAnsi="宋体" w:cs="宋体"/>
          <w:sz w:val="30"/>
          <w:szCs w:val="30"/>
        </w:rPr>
      </w:pPr>
    </w:p>
    <w:p w14:paraId="3B11F834">
      <w:pPr>
        <w:jc w:val="center"/>
        <w:rPr>
          <w:rFonts w:ascii="宋体" w:hAnsi="宋体" w:cs="宋体"/>
          <w:sz w:val="32"/>
          <w:szCs w:val="32"/>
        </w:rPr>
      </w:pPr>
      <w:r>
        <w:rPr>
          <w:rFonts w:hint="eastAsia" w:ascii="宋体" w:hAnsi="宋体" w:cs="宋体"/>
          <w:sz w:val="32"/>
          <w:szCs w:val="32"/>
        </w:rPr>
        <w:t>XXX年 XXX月</w:t>
      </w:r>
    </w:p>
    <w:p w14:paraId="2F80FC01">
      <w:pPr>
        <w:jc w:val="center"/>
        <w:rPr>
          <w:rFonts w:ascii="宋体" w:hAnsi="宋体" w:cs="宋体"/>
          <w:sz w:val="32"/>
          <w:szCs w:val="32"/>
        </w:rPr>
      </w:pPr>
      <w:r>
        <w:rPr>
          <w:rFonts w:hint="eastAsia" w:ascii="宋体" w:hAnsi="宋体" w:cs="宋体"/>
          <w:sz w:val="32"/>
          <w:szCs w:val="32"/>
        </w:rPr>
        <w:t>中国  西安</w:t>
      </w:r>
    </w:p>
    <w:p w14:paraId="7EFFC87D">
      <w:pPr>
        <w:widowControl/>
        <w:jc w:val="left"/>
        <w:rPr>
          <w:rFonts w:ascii="宋体" w:hAnsi="宋体" w:cs="宋体"/>
          <w:b/>
          <w:sz w:val="32"/>
          <w:szCs w:val="32"/>
        </w:rPr>
        <w:sectPr>
          <w:headerReference r:id="rId3" w:type="default"/>
          <w:pgSz w:w="11906" w:h="16838"/>
          <w:pgMar w:top="1418" w:right="1418" w:bottom="1418" w:left="1418" w:header="851" w:footer="992" w:gutter="0"/>
          <w:cols w:space="720" w:num="1"/>
          <w:docGrid w:linePitch="312" w:charSpace="0"/>
        </w:sectPr>
      </w:pPr>
    </w:p>
    <w:p w14:paraId="5B41F0E0">
      <w:pPr>
        <w:pStyle w:val="25"/>
      </w:pPr>
    </w:p>
    <w:p w14:paraId="23A96F6C">
      <w:pPr>
        <w:spacing w:line="360" w:lineRule="auto"/>
        <w:jc w:val="center"/>
        <w:rPr>
          <w:rFonts w:ascii="宋体" w:hAnsi="宋体" w:cs="宋体"/>
          <w:b/>
          <w:sz w:val="32"/>
          <w:szCs w:val="32"/>
        </w:rPr>
      </w:pPr>
      <w:r>
        <w:rPr>
          <w:rFonts w:hint="eastAsia" w:ascii="宋体" w:hAnsi="宋体" w:cs="宋体"/>
          <w:b/>
          <w:sz w:val="32"/>
          <w:szCs w:val="32"/>
        </w:rPr>
        <w:t>供 货 合 同</w:t>
      </w:r>
    </w:p>
    <w:p w14:paraId="5648A3B4">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1E73CC3E">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15E6DA15">
      <w:pPr>
        <w:spacing w:line="360" w:lineRule="auto"/>
        <w:ind w:firstLine="480" w:firstLineChars="200"/>
        <w:rPr>
          <w:rFonts w:hint="eastAsia" w:ascii="宋体" w:hAnsi="宋体" w:cs="宋体"/>
          <w:sz w:val="24"/>
          <w:szCs w:val="24"/>
        </w:rPr>
      </w:pPr>
      <w:r>
        <w:rPr>
          <w:rFonts w:hint="eastAsia" w:ascii="宋体" w:hAnsi="宋体" w:cs="宋体"/>
          <w:sz w:val="24"/>
          <w:szCs w:val="24"/>
        </w:rPr>
        <w:t>法定代表人：杨军乐</w:t>
      </w:r>
    </w:p>
    <w:p w14:paraId="48DB3970">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14:paraId="65800F86">
      <w:pPr>
        <w:spacing w:line="360" w:lineRule="auto"/>
        <w:ind w:firstLine="480" w:firstLineChars="200"/>
        <w:rPr>
          <w:rFonts w:ascii="宋体" w:hAnsi="宋体" w:cs="宋体"/>
          <w:sz w:val="24"/>
          <w:szCs w:val="24"/>
        </w:rPr>
      </w:pPr>
      <w:r>
        <w:rPr>
          <w:rFonts w:hint="eastAsia" w:ascii="宋体" w:hAnsi="宋体" w:cs="宋体"/>
          <w:sz w:val="24"/>
          <w:szCs w:val="24"/>
        </w:rPr>
        <w:t>乙方：XXXXXX</w:t>
      </w:r>
    </w:p>
    <w:p w14:paraId="117D2DD9">
      <w:pPr>
        <w:spacing w:line="360" w:lineRule="auto"/>
        <w:ind w:firstLine="480" w:firstLineChars="200"/>
        <w:rPr>
          <w:rFonts w:ascii="宋体" w:hAnsi="宋体" w:cs="宋体"/>
          <w:sz w:val="24"/>
          <w:szCs w:val="24"/>
        </w:rPr>
      </w:pPr>
      <w:r>
        <w:rPr>
          <w:rFonts w:hint="eastAsia" w:ascii="宋体" w:hAnsi="宋体" w:cs="宋体"/>
          <w:sz w:val="24"/>
          <w:szCs w:val="24"/>
        </w:rPr>
        <w:t>住所地：XXXXXXXXX</w:t>
      </w:r>
    </w:p>
    <w:p w14:paraId="0646CF3F">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094EDF16">
      <w:pPr>
        <w:spacing w:line="360" w:lineRule="auto"/>
        <w:ind w:firstLine="480" w:firstLineChars="200"/>
        <w:rPr>
          <w:rFonts w:ascii="宋体" w:hAnsi="宋体" w:cs="宋体"/>
          <w:sz w:val="24"/>
          <w:szCs w:val="24"/>
        </w:rPr>
      </w:pPr>
      <w:r>
        <w:rPr>
          <w:rFonts w:hint="eastAsia" w:ascii="宋体" w:hAnsi="宋体" w:cs="宋体"/>
          <w:sz w:val="24"/>
          <w:szCs w:val="24"/>
        </w:rPr>
        <w:t>联系方式：XXXXX</w:t>
      </w:r>
    </w:p>
    <w:p w14:paraId="50F20F3A">
      <w:pPr>
        <w:spacing w:line="360" w:lineRule="auto"/>
        <w:ind w:firstLine="480" w:firstLineChars="200"/>
        <w:rPr>
          <w:rFonts w:ascii="宋体" w:hAnsi="宋体" w:cs="宋体"/>
          <w:sz w:val="24"/>
          <w:szCs w:val="24"/>
        </w:rPr>
      </w:pPr>
      <w:r>
        <w:rPr>
          <w:rFonts w:hint="eastAsia" w:ascii="宋体" w:hAnsi="宋体" w:cs="宋体"/>
          <w:sz w:val="24"/>
          <w:szCs w:val="24"/>
        </w:rPr>
        <w:t>见证方：XXXXX</w:t>
      </w:r>
    </w:p>
    <w:p w14:paraId="02C640B0">
      <w:pPr>
        <w:spacing w:line="360" w:lineRule="auto"/>
        <w:ind w:firstLine="480" w:firstLineChars="200"/>
        <w:rPr>
          <w:rFonts w:ascii="宋体" w:hAnsi="宋体" w:cs="宋体"/>
          <w:sz w:val="24"/>
          <w:szCs w:val="24"/>
        </w:rPr>
      </w:pPr>
      <w:r>
        <w:rPr>
          <w:rFonts w:hint="eastAsia" w:ascii="宋体" w:hAnsi="宋体" w:cs="宋体"/>
          <w:sz w:val="24"/>
          <w:szCs w:val="24"/>
        </w:rPr>
        <w:t>住所地：XXXXX</w:t>
      </w:r>
    </w:p>
    <w:p w14:paraId="1F86EAFD">
      <w:pPr>
        <w:spacing w:line="360" w:lineRule="auto"/>
        <w:ind w:firstLine="480" w:firstLineChars="200"/>
        <w:rPr>
          <w:rFonts w:ascii="宋体" w:hAnsi="宋体" w:cs="宋体"/>
          <w:sz w:val="24"/>
          <w:szCs w:val="24"/>
        </w:rPr>
      </w:pPr>
      <w:r>
        <w:rPr>
          <w:rFonts w:hint="eastAsia" w:ascii="宋体" w:hAnsi="宋体" w:cs="宋体"/>
          <w:sz w:val="24"/>
          <w:szCs w:val="24"/>
        </w:rPr>
        <w:t>法定代表人：XXXXXXXX</w:t>
      </w:r>
    </w:p>
    <w:p w14:paraId="0B1AA806">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w:t>
      </w:r>
    </w:p>
    <w:p w14:paraId="02B76C1E">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维保服务，在西安市财政局政府采购管理处的监督管理下，由XXXXXXX（以下简称见证方）按照政府采购程序组织公开招标，确定XXXXXX（以下简称乙方）为成交供应商。依据《中华人民共和国政府采购法》、《中华人民共和国民法典》以及见证方的招标文件、中标供应商投标文件正本和澄清表（函）、中标通知书，经甲、乙双方协商，见证方确认，达成如下条款。</w:t>
      </w:r>
    </w:p>
    <w:p w14:paraId="536921AB">
      <w:pPr>
        <w:tabs>
          <w:tab w:val="left" w:pos="480"/>
        </w:tabs>
        <w:spacing w:line="360" w:lineRule="auto"/>
        <w:rPr>
          <w:rFonts w:ascii="宋体" w:hAnsi="宋体" w:cs="宋体"/>
          <w:sz w:val="24"/>
          <w:szCs w:val="24"/>
        </w:rPr>
      </w:pPr>
      <w:r>
        <w:rPr>
          <w:rFonts w:hint="eastAsia" w:ascii="宋体" w:hAnsi="宋体" w:cs="宋体"/>
          <w:b/>
          <w:sz w:val="24"/>
          <w:szCs w:val="24"/>
        </w:rPr>
        <w:t>一、合同标的物内容及数量</w:t>
      </w:r>
      <w:r>
        <w:rPr>
          <w:rFonts w:hint="eastAsia" w:ascii="宋体" w:hAnsi="宋体" w:cs="宋体"/>
          <w:sz w:val="24"/>
          <w:szCs w:val="24"/>
        </w:rPr>
        <w:t>（以投标文件正本和澄清表〈函〉为准，医院指定的清单内医疗设备（详见附件一、二））</w:t>
      </w:r>
    </w:p>
    <w:tbl>
      <w:tblPr>
        <w:tblStyle w:val="26"/>
        <w:tblW w:w="10207"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3361"/>
        <w:gridCol w:w="1387"/>
        <w:gridCol w:w="1250"/>
        <w:gridCol w:w="821"/>
        <w:gridCol w:w="567"/>
        <w:gridCol w:w="1134"/>
        <w:gridCol w:w="1134"/>
      </w:tblGrid>
      <w:tr w14:paraId="22DBD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14:paraId="260F02E4">
            <w:pPr>
              <w:tabs>
                <w:tab w:val="left" w:pos="480"/>
              </w:tabs>
              <w:spacing w:line="360" w:lineRule="auto"/>
              <w:jc w:val="center"/>
              <w:rPr>
                <w:rFonts w:ascii="宋体" w:hAnsi="宋体" w:cs="宋体"/>
                <w:sz w:val="24"/>
                <w:szCs w:val="24"/>
              </w:rPr>
            </w:pPr>
            <w:r>
              <w:rPr>
                <w:rFonts w:hint="eastAsia" w:ascii="宋体" w:hAnsi="宋体" w:cs="宋体"/>
                <w:sz w:val="24"/>
                <w:szCs w:val="24"/>
              </w:rPr>
              <w:t>序号</w:t>
            </w:r>
          </w:p>
        </w:tc>
        <w:tc>
          <w:tcPr>
            <w:tcW w:w="3361" w:type="dxa"/>
            <w:tcBorders>
              <w:top w:val="single" w:color="auto" w:sz="4" w:space="0"/>
              <w:left w:val="single" w:color="auto" w:sz="4" w:space="0"/>
              <w:bottom w:val="single" w:color="auto" w:sz="4" w:space="0"/>
              <w:right w:val="single" w:color="auto" w:sz="4" w:space="0"/>
            </w:tcBorders>
            <w:noWrap w:val="0"/>
            <w:vAlign w:val="center"/>
          </w:tcPr>
          <w:p w14:paraId="2167AE54">
            <w:pPr>
              <w:tabs>
                <w:tab w:val="left" w:pos="480"/>
              </w:tabs>
              <w:spacing w:line="360" w:lineRule="auto"/>
              <w:jc w:val="center"/>
              <w:rPr>
                <w:rFonts w:ascii="宋体" w:hAnsi="宋体" w:cs="宋体"/>
                <w:sz w:val="24"/>
                <w:szCs w:val="24"/>
              </w:rPr>
            </w:pPr>
            <w:r>
              <w:rPr>
                <w:rFonts w:hint="eastAsia" w:ascii="宋体" w:hAnsi="宋体" w:cs="宋体"/>
                <w:sz w:val="24"/>
                <w:szCs w:val="24"/>
              </w:rPr>
              <w:t>名称</w:t>
            </w:r>
          </w:p>
        </w:tc>
        <w:tc>
          <w:tcPr>
            <w:tcW w:w="1387" w:type="dxa"/>
            <w:tcBorders>
              <w:top w:val="single" w:color="auto" w:sz="4" w:space="0"/>
              <w:left w:val="single" w:color="auto" w:sz="4" w:space="0"/>
              <w:bottom w:val="single" w:color="auto" w:sz="4" w:space="0"/>
              <w:right w:val="single" w:color="auto" w:sz="4" w:space="0"/>
            </w:tcBorders>
            <w:noWrap w:val="0"/>
            <w:vAlign w:val="center"/>
          </w:tcPr>
          <w:p w14:paraId="35D6B90C">
            <w:pPr>
              <w:tabs>
                <w:tab w:val="left" w:pos="480"/>
              </w:tabs>
              <w:spacing w:line="360" w:lineRule="auto"/>
              <w:jc w:val="center"/>
              <w:rPr>
                <w:rFonts w:ascii="宋体" w:hAnsi="宋体" w:cs="宋体"/>
                <w:sz w:val="24"/>
                <w:szCs w:val="24"/>
              </w:rPr>
            </w:pPr>
            <w:r>
              <w:rPr>
                <w:rFonts w:hint="eastAsia" w:ascii="宋体" w:hAnsi="宋体" w:cs="宋体"/>
                <w:sz w:val="24"/>
                <w:szCs w:val="24"/>
              </w:rPr>
              <w:t>服务内容</w:t>
            </w:r>
          </w:p>
        </w:tc>
        <w:tc>
          <w:tcPr>
            <w:tcW w:w="1250" w:type="dxa"/>
            <w:tcBorders>
              <w:top w:val="single" w:color="auto" w:sz="4" w:space="0"/>
              <w:left w:val="single" w:color="auto" w:sz="4" w:space="0"/>
              <w:bottom w:val="single" w:color="auto" w:sz="4" w:space="0"/>
              <w:right w:val="single" w:color="auto" w:sz="4" w:space="0"/>
            </w:tcBorders>
            <w:noWrap w:val="0"/>
            <w:vAlign w:val="center"/>
          </w:tcPr>
          <w:p w14:paraId="32316438">
            <w:pPr>
              <w:tabs>
                <w:tab w:val="left" w:pos="480"/>
              </w:tabs>
              <w:spacing w:line="360" w:lineRule="auto"/>
              <w:jc w:val="center"/>
              <w:rPr>
                <w:rFonts w:ascii="宋体" w:hAnsi="宋体" w:cs="宋体"/>
                <w:sz w:val="24"/>
                <w:szCs w:val="24"/>
              </w:rPr>
            </w:pPr>
            <w:r>
              <w:rPr>
                <w:rFonts w:hint="eastAsia" w:ascii="宋体" w:hAnsi="宋体" w:cs="宋体"/>
                <w:sz w:val="24"/>
                <w:szCs w:val="24"/>
              </w:rPr>
              <w:t>厂家</w:t>
            </w:r>
          </w:p>
        </w:tc>
        <w:tc>
          <w:tcPr>
            <w:tcW w:w="821" w:type="dxa"/>
            <w:tcBorders>
              <w:top w:val="single" w:color="auto" w:sz="4" w:space="0"/>
              <w:left w:val="single" w:color="auto" w:sz="4" w:space="0"/>
              <w:bottom w:val="single" w:color="auto" w:sz="4" w:space="0"/>
              <w:right w:val="single" w:color="auto" w:sz="4" w:space="0"/>
            </w:tcBorders>
            <w:noWrap w:val="0"/>
            <w:vAlign w:val="center"/>
          </w:tcPr>
          <w:p w14:paraId="7FF445D3">
            <w:pPr>
              <w:tabs>
                <w:tab w:val="left" w:pos="480"/>
              </w:tabs>
              <w:spacing w:line="360" w:lineRule="auto"/>
              <w:jc w:val="center"/>
              <w:rPr>
                <w:rFonts w:ascii="宋体" w:hAnsi="宋体" w:cs="宋体"/>
                <w:sz w:val="24"/>
                <w:szCs w:val="24"/>
              </w:rPr>
            </w:pPr>
            <w:r>
              <w:rPr>
                <w:rFonts w:hint="eastAsia" w:ascii="宋体" w:hAnsi="宋体" w:cs="宋体"/>
                <w:sz w:val="24"/>
                <w:szCs w:val="24"/>
              </w:rPr>
              <w:t>产地</w:t>
            </w:r>
          </w:p>
        </w:tc>
        <w:tc>
          <w:tcPr>
            <w:tcW w:w="567" w:type="dxa"/>
            <w:tcBorders>
              <w:top w:val="single" w:color="auto" w:sz="4" w:space="0"/>
              <w:left w:val="single" w:color="auto" w:sz="4" w:space="0"/>
              <w:bottom w:val="single" w:color="auto" w:sz="4" w:space="0"/>
              <w:right w:val="single" w:color="auto" w:sz="4" w:space="0"/>
            </w:tcBorders>
            <w:noWrap w:val="0"/>
            <w:vAlign w:val="center"/>
          </w:tcPr>
          <w:p w14:paraId="76EA9445">
            <w:pPr>
              <w:tabs>
                <w:tab w:val="left" w:pos="480"/>
              </w:tabs>
              <w:spacing w:line="360" w:lineRule="auto"/>
              <w:jc w:val="center"/>
              <w:rPr>
                <w:rFonts w:ascii="宋体" w:hAnsi="宋体" w:cs="宋体"/>
                <w:sz w:val="24"/>
                <w:szCs w:val="24"/>
              </w:rPr>
            </w:pPr>
            <w:r>
              <w:rPr>
                <w:rFonts w:hint="eastAsia" w:ascii="宋体" w:hAnsi="宋体" w:cs="宋体"/>
                <w:sz w:val="24"/>
                <w:szCs w:val="24"/>
              </w:rPr>
              <w:t>数量</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6EADC96">
            <w:pPr>
              <w:tabs>
                <w:tab w:val="left" w:pos="480"/>
              </w:tabs>
              <w:spacing w:line="360" w:lineRule="auto"/>
              <w:jc w:val="center"/>
              <w:rPr>
                <w:rFonts w:ascii="宋体" w:hAnsi="宋体" w:cs="宋体"/>
                <w:sz w:val="24"/>
                <w:szCs w:val="24"/>
              </w:rPr>
            </w:pPr>
            <w:r>
              <w:rPr>
                <w:rFonts w:hint="eastAsia" w:ascii="宋体" w:hAnsi="宋体" w:cs="宋体"/>
                <w:sz w:val="24"/>
                <w:szCs w:val="24"/>
              </w:rPr>
              <w:t>单价</w:t>
            </w:r>
          </w:p>
          <w:p w14:paraId="3FBB697B">
            <w:pPr>
              <w:tabs>
                <w:tab w:val="left" w:pos="480"/>
              </w:tabs>
              <w:spacing w:line="360" w:lineRule="auto"/>
              <w:jc w:val="center"/>
              <w:rPr>
                <w:rFonts w:ascii="宋体" w:hAnsi="宋体" w:cs="宋体"/>
                <w:sz w:val="24"/>
                <w:szCs w:val="24"/>
              </w:rPr>
            </w:pPr>
            <w:r>
              <w:rPr>
                <w:rFonts w:hint="eastAsia" w:ascii="宋体" w:hAnsi="宋体" w:cs="宋体"/>
                <w:sz w:val="24"/>
                <w:szCs w:val="24"/>
              </w:rPr>
              <w:t>（万元）</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B2FC8DD">
            <w:pPr>
              <w:tabs>
                <w:tab w:val="left" w:pos="480"/>
              </w:tabs>
              <w:spacing w:line="360" w:lineRule="auto"/>
              <w:jc w:val="center"/>
              <w:rPr>
                <w:rFonts w:ascii="宋体" w:hAnsi="宋体" w:cs="宋体"/>
                <w:sz w:val="24"/>
                <w:szCs w:val="24"/>
              </w:rPr>
            </w:pPr>
            <w:r>
              <w:rPr>
                <w:rFonts w:hint="eastAsia" w:ascii="宋体" w:hAnsi="宋体" w:cs="宋体"/>
                <w:sz w:val="24"/>
                <w:szCs w:val="24"/>
              </w:rPr>
              <w:t>总价</w:t>
            </w:r>
          </w:p>
          <w:p w14:paraId="17113EDC">
            <w:pPr>
              <w:tabs>
                <w:tab w:val="left" w:pos="480"/>
              </w:tabs>
              <w:spacing w:line="360" w:lineRule="auto"/>
              <w:jc w:val="center"/>
              <w:rPr>
                <w:rFonts w:ascii="宋体" w:hAnsi="宋体" w:cs="宋体"/>
                <w:sz w:val="24"/>
                <w:szCs w:val="24"/>
              </w:rPr>
            </w:pPr>
            <w:r>
              <w:rPr>
                <w:rFonts w:hint="eastAsia" w:ascii="宋体" w:hAnsi="宋体" w:cs="宋体"/>
                <w:sz w:val="24"/>
                <w:szCs w:val="24"/>
              </w:rPr>
              <w:t>（万元）</w:t>
            </w:r>
          </w:p>
        </w:tc>
      </w:tr>
      <w:tr w14:paraId="57CF3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14:paraId="764AD76E">
            <w:pPr>
              <w:tabs>
                <w:tab w:val="left" w:pos="480"/>
              </w:tabs>
              <w:spacing w:line="360" w:lineRule="auto"/>
              <w:jc w:val="center"/>
              <w:rPr>
                <w:rFonts w:ascii="宋体" w:hAnsi="宋体" w:cs="宋体"/>
                <w:sz w:val="24"/>
                <w:szCs w:val="24"/>
              </w:rPr>
            </w:pPr>
            <w:r>
              <w:rPr>
                <w:rFonts w:hint="eastAsia" w:ascii="宋体" w:hAnsi="宋体" w:cs="宋体"/>
                <w:sz w:val="24"/>
                <w:szCs w:val="24"/>
              </w:rPr>
              <w:t>1</w:t>
            </w:r>
          </w:p>
        </w:tc>
        <w:tc>
          <w:tcPr>
            <w:tcW w:w="3361" w:type="dxa"/>
            <w:tcBorders>
              <w:top w:val="single" w:color="auto" w:sz="4" w:space="0"/>
              <w:left w:val="single" w:color="auto" w:sz="4" w:space="0"/>
              <w:bottom w:val="single" w:color="auto" w:sz="4" w:space="0"/>
              <w:right w:val="single" w:color="auto" w:sz="4" w:space="0"/>
            </w:tcBorders>
            <w:noWrap w:val="0"/>
            <w:vAlign w:val="center"/>
          </w:tcPr>
          <w:p w14:paraId="0346748D">
            <w:pPr>
              <w:tabs>
                <w:tab w:val="left" w:pos="480"/>
              </w:tabs>
              <w:spacing w:line="360" w:lineRule="auto"/>
              <w:jc w:val="center"/>
              <w:rPr>
                <w:rFonts w:ascii="宋体" w:hAnsi="宋体" w:cs="宋体"/>
                <w:sz w:val="24"/>
                <w:szCs w:val="24"/>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74CE2959">
            <w:pPr>
              <w:tabs>
                <w:tab w:val="left" w:pos="480"/>
              </w:tabs>
              <w:spacing w:line="360" w:lineRule="auto"/>
              <w:jc w:val="center"/>
              <w:rPr>
                <w:rFonts w:hint="eastAsia" w:ascii="宋体" w:hAnsi="宋体" w:cs="宋体"/>
                <w:sz w:val="24"/>
                <w:szCs w:val="24"/>
              </w:rPr>
            </w:pPr>
          </w:p>
        </w:tc>
        <w:tc>
          <w:tcPr>
            <w:tcW w:w="1250" w:type="dxa"/>
            <w:tcBorders>
              <w:top w:val="single" w:color="auto" w:sz="4" w:space="0"/>
              <w:left w:val="single" w:color="auto" w:sz="4" w:space="0"/>
              <w:bottom w:val="single" w:color="auto" w:sz="4" w:space="0"/>
              <w:right w:val="single" w:color="auto" w:sz="4" w:space="0"/>
            </w:tcBorders>
            <w:noWrap w:val="0"/>
            <w:vAlign w:val="center"/>
          </w:tcPr>
          <w:p w14:paraId="15E9A477">
            <w:pPr>
              <w:tabs>
                <w:tab w:val="left" w:pos="480"/>
              </w:tabs>
              <w:spacing w:line="360" w:lineRule="auto"/>
              <w:jc w:val="center"/>
              <w:rPr>
                <w:rFonts w:hint="eastAsia" w:ascii="宋体" w:hAnsi="宋体" w:cs="宋体"/>
                <w:sz w:val="24"/>
                <w:szCs w:val="24"/>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171E4952">
            <w:pPr>
              <w:tabs>
                <w:tab w:val="left" w:pos="480"/>
              </w:tabs>
              <w:spacing w:line="360" w:lineRule="auto"/>
              <w:jc w:val="center"/>
              <w:rPr>
                <w:rFonts w:hint="eastAsia" w:ascii="宋体" w:hAnsi="宋体" w:cs="宋体"/>
                <w:sz w:val="24"/>
                <w:szCs w:val="24"/>
              </w:rPr>
            </w:pPr>
          </w:p>
        </w:tc>
        <w:tc>
          <w:tcPr>
            <w:tcW w:w="567" w:type="dxa"/>
            <w:tcBorders>
              <w:top w:val="single" w:color="auto" w:sz="4" w:space="0"/>
              <w:left w:val="single" w:color="auto" w:sz="4" w:space="0"/>
              <w:bottom w:val="single" w:color="auto" w:sz="4" w:space="0"/>
              <w:right w:val="single" w:color="auto" w:sz="4" w:space="0"/>
            </w:tcBorders>
            <w:noWrap w:val="0"/>
            <w:vAlign w:val="center"/>
          </w:tcPr>
          <w:p w14:paraId="21D98EA1">
            <w:pPr>
              <w:tabs>
                <w:tab w:val="left" w:pos="480"/>
              </w:tabs>
              <w:spacing w:line="360" w:lineRule="auto"/>
              <w:jc w:val="center"/>
              <w:rPr>
                <w:rFonts w:hint="eastAsia" w:ascii="宋体" w:hAnsi="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1A9E495">
            <w:pPr>
              <w:tabs>
                <w:tab w:val="left" w:pos="480"/>
              </w:tabs>
              <w:spacing w:line="360" w:lineRule="auto"/>
              <w:jc w:val="center"/>
              <w:rPr>
                <w:rFonts w:ascii="宋体" w:hAnsi="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D325EFB">
            <w:pPr>
              <w:tabs>
                <w:tab w:val="left" w:pos="480"/>
              </w:tabs>
              <w:spacing w:line="360" w:lineRule="auto"/>
              <w:jc w:val="center"/>
              <w:rPr>
                <w:rFonts w:ascii="宋体" w:hAnsi="宋体" w:cs="宋体"/>
                <w:sz w:val="24"/>
                <w:szCs w:val="24"/>
              </w:rPr>
            </w:pPr>
          </w:p>
        </w:tc>
      </w:tr>
      <w:tr w14:paraId="4C47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53" w:type="dxa"/>
            <w:tcBorders>
              <w:top w:val="single" w:color="auto" w:sz="4" w:space="0"/>
              <w:left w:val="single" w:color="auto" w:sz="4" w:space="0"/>
              <w:bottom w:val="single" w:color="auto" w:sz="4" w:space="0"/>
              <w:right w:val="single" w:color="auto" w:sz="4" w:space="0"/>
            </w:tcBorders>
            <w:noWrap w:val="0"/>
            <w:vAlign w:val="center"/>
          </w:tcPr>
          <w:p w14:paraId="557D47BF">
            <w:pPr>
              <w:tabs>
                <w:tab w:val="left" w:pos="480"/>
              </w:tabs>
              <w:spacing w:line="360" w:lineRule="auto"/>
              <w:jc w:val="center"/>
              <w:rPr>
                <w:rFonts w:ascii="宋体" w:hAnsi="宋体" w:cs="宋体"/>
                <w:sz w:val="24"/>
                <w:szCs w:val="24"/>
              </w:rPr>
            </w:pPr>
            <w:r>
              <w:rPr>
                <w:rFonts w:hint="eastAsia" w:ascii="宋体" w:hAnsi="宋体" w:cs="宋体"/>
                <w:sz w:val="24"/>
                <w:szCs w:val="24"/>
              </w:rPr>
              <w:t>2</w:t>
            </w:r>
          </w:p>
        </w:tc>
        <w:tc>
          <w:tcPr>
            <w:tcW w:w="3361" w:type="dxa"/>
            <w:tcBorders>
              <w:top w:val="single" w:color="auto" w:sz="4" w:space="0"/>
              <w:left w:val="single" w:color="auto" w:sz="4" w:space="0"/>
              <w:bottom w:val="single" w:color="auto" w:sz="4" w:space="0"/>
              <w:right w:val="single" w:color="auto" w:sz="4" w:space="0"/>
            </w:tcBorders>
            <w:noWrap w:val="0"/>
            <w:vAlign w:val="center"/>
          </w:tcPr>
          <w:p w14:paraId="201991AE">
            <w:pPr>
              <w:tabs>
                <w:tab w:val="left" w:pos="480"/>
              </w:tabs>
              <w:spacing w:line="360" w:lineRule="auto"/>
              <w:jc w:val="center"/>
              <w:rPr>
                <w:rFonts w:ascii="宋体" w:hAnsi="宋体" w:cs="宋体"/>
                <w:sz w:val="24"/>
                <w:szCs w:val="24"/>
              </w:rPr>
            </w:pPr>
          </w:p>
        </w:tc>
        <w:tc>
          <w:tcPr>
            <w:tcW w:w="1387" w:type="dxa"/>
            <w:tcBorders>
              <w:top w:val="single" w:color="auto" w:sz="4" w:space="0"/>
              <w:left w:val="single" w:color="auto" w:sz="4" w:space="0"/>
              <w:bottom w:val="single" w:color="auto" w:sz="4" w:space="0"/>
              <w:right w:val="single" w:color="auto" w:sz="4" w:space="0"/>
            </w:tcBorders>
            <w:noWrap w:val="0"/>
            <w:vAlign w:val="center"/>
          </w:tcPr>
          <w:p w14:paraId="63835D81">
            <w:pPr>
              <w:tabs>
                <w:tab w:val="left" w:pos="480"/>
              </w:tabs>
              <w:spacing w:line="360" w:lineRule="auto"/>
              <w:jc w:val="center"/>
              <w:rPr>
                <w:rFonts w:hint="eastAsia" w:ascii="宋体" w:hAnsi="宋体" w:cs="宋体"/>
                <w:sz w:val="24"/>
                <w:szCs w:val="24"/>
              </w:rPr>
            </w:pPr>
          </w:p>
        </w:tc>
        <w:tc>
          <w:tcPr>
            <w:tcW w:w="1250" w:type="dxa"/>
            <w:tcBorders>
              <w:top w:val="single" w:color="auto" w:sz="4" w:space="0"/>
              <w:left w:val="single" w:color="auto" w:sz="4" w:space="0"/>
              <w:bottom w:val="single" w:color="auto" w:sz="4" w:space="0"/>
              <w:right w:val="single" w:color="auto" w:sz="4" w:space="0"/>
            </w:tcBorders>
            <w:noWrap w:val="0"/>
            <w:vAlign w:val="center"/>
          </w:tcPr>
          <w:p w14:paraId="37C96AD3">
            <w:pPr>
              <w:tabs>
                <w:tab w:val="left" w:pos="480"/>
              </w:tabs>
              <w:spacing w:line="360" w:lineRule="auto"/>
              <w:jc w:val="center"/>
              <w:rPr>
                <w:rFonts w:hint="eastAsia" w:ascii="宋体" w:hAnsi="宋体" w:cs="宋体"/>
                <w:sz w:val="24"/>
                <w:szCs w:val="24"/>
              </w:rPr>
            </w:pPr>
          </w:p>
        </w:tc>
        <w:tc>
          <w:tcPr>
            <w:tcW w:w="821" w:type="dxa"/>
            <w:tcBorders>
              <w:top w:val="single" w:color="auto" w:sz="4" w:space="0"/>
              <w:left w:val="single" w:color="auto" w:sz="4" w:space="0"/>
              <w:bottom w:val="single" w:color="auto" w:sz="4" w:space="0"/>
              <w:right w:val="single" w:color="auto" w:sz="4" w:space="0"/>
            </w:tcBorders>
            <w:noWrap w:val="0"/>
            <w:vAlign w:val="center"/>
          </w:tcPr>
          <w:p w14:paraId="48EBF055">
            <w:pPr>
              <w:tabs>
                <w:tab w:val="left" w:pos="480"/>
              </w:tabs>
              <w:spacing w:line="360" w:lineRule="auto"/>
              <w:jc w:val="center"/>
              <w:rPr>
                <w:rFonts w:hint="eastAsia" w:ascii="宋体" w:hAnsi="宋体" w:cs="宋体"/>
                <w:sz w:val="24"/>
                <w:szCs w:val="24"/>
              </w:rPr>
            </w:pPr>
          </w:p>
        </w:tc>
        <w:tc>
          <w:tcPr>
            <w:tcW w:w="567" w:type="dxa"/>
            <w:tcBorders>
              <w:top w:val="single" w:color="auto" w:sz="4" w:space="0"/>
              <w:left w:val="single" w:color="auto" w:sz="4" w:space="0"/>
              <w:bottom w:val="single" w:color="auto" w:sz="4" w:space="0"/>
              <w:right w:val="single" w:color="auto" w:sz="4" w:space="0"/>
            </w:tcBorders>
            <w:noWrap w:val="0"/>
            <w:vAlign w:val="center"/>
          </w:tcPr>
          <w:p w14:paraId="2F4D24B9">
            <w:pPr>
              <w:tabs>
                <w:tab w:val="left" w:pos="480"/>
              </w:tabs>
              <w:spacing w:line="360" w:lineRule="auto"/>
              <w:jc w:val="center"/>
              <w:rPr>
                <w:rFonts w:hint="eastAsia" w:ascii="宋体" w:hAnsi="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64961D71">
            <w:pPr>
              <w:tabs>
                <w:tab w:val="left" w:pos="480"/>
              </w:tabs>
              <w:spacing w:line="360" w:lineRule="auto"/>
              <w:rPr>
                <w:rFonts w:ascii="宋体" w:hAnsi="宋体" w:cs="宋体"/>
                <w:sz w:val="24"/>
                <w:szCs w:val="24"/>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4B3BBEBB">
            <w:pPr>
              <w:tabs>
                <w:tab w:val="left" w:pos="480"/>
              </w:tabs>
              <w:spacing w:line="360" w:lineRule="auto"/>
              <w:jc w:val="center"/>
              <w:rPr>
                <w:rFonts w:ascii="宋体" w:hAnsi="宋体" w:cs="宋体"/>
                <w:sz w:val="24"/>
                <w:szCs w:val="24"/>
              </w:rPr>
            </w:pPr>
          </w:p>
        </w:tc>
      </w:tr>
      <w:tr w14:paraId="4AED3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0207" w:type="dxa"/>
            <w:gridSpan w:val="8"/>
            <w:tcBorders>
              <w:top w:val="single" w:color="auto" w:sz="4" w:space="0"/>
              <w:left w:val="single" w:color="auto" w:sz="4" w:space="0"/>
              <w:bottom w:val="single" w:color="auto" w:sz="4" w:space="0"/>
              <w:right w:val="single" w:color="auto" w:sz="4" w:space="0"/>
            </w:tcBorders>
            <w:noWrap w:val="0"/>
            <w:vAlign w:val="top"/>
          </w:tcPr>
          <w:p w14:paraId="5BB50238">
            <w:pPr>
              <w:tabs>
                <w:tab w:val="left" w:pos="480"/>
              </w:tabs>
              <w:spacing w:line="360" w:lineRule="auto"/>
              <w:jc w:val="left"/>
              <w:rPr>
                <w:rFonts w:ascii="宋体" w:hAnsi="宋体" w:cs="宋体"/>
                <w:sz w:val="24"/>
                <w:szCs w:val="24"/>
              </w:rPr>
            </w:pPr>
            <w:r>
              <w:rPr>
                <w:rFonts w:hint="eastAsia" w:ascii="宋体" w:hAnsi="宋体" w:cs="宋体"/>
                <w:sz w:val="28"/>
                <w:szCs w:val="28"/>
              </w:rPr>
              <w:t>价款合计（大写）：XXXXXX  ¥：（XXXX万元）</w:t>
            </w:r>
          </w:p>
        </w:tc>
      </w:tr>
    </w:tbl>
    <w:p w14:paraId="603F0246">
      <w:pPr>
        <w:tabs>
          <w:tab w:val="left" w:pos="480"/>
        </w:tabs>
        <w:spacing w:line="360" w:lineRule="auto"/>
        <w:rPr>
          <w:rFonts w:ascii="宋体" w:hAnsi="宋体" w:cs="宋体"/>
          <w:sz w:val="24"/>
          <w:szCs w:val="24"/>
        </w:rPr>
      </w:pPr>
    </w:p>
    <w:p w14:paraId="6F596F87">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49EED069">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（一）合同总价款为人民币（大写）XXXXX（￥XXXX万元）。</w:t>
      </w:r>
    </w:p>
    <w:p w14:paraId="4DC6FFE4">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维修保养服务费、运输费（含保险费）、装卸、安装调试费、检测验收、培训、技术服务。最低工资标准、管理服务成本、法定税费和服务企业的利润等一切应尽费用（人工费用：包括员工及管理人员工资、各类社保等、保险等费用；医疗设备日常保养维护工具；不可预见费用；企业服务酬金；法定税费）。</w:t>
      </w:r>
    </w:p>
    <w:p w14:paraId="0178369F">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187BDD64">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7E9D36A6">
      <w:pPr>
        <w:tabs>
          <w:tab w:val="left" w:pos="480"/>
        </w:tabs>
        <w:spacing w:line="360" w:lineRule="auto"/>
        <w:rPr>
          <w:rFonts w:ascii="宋体" w:hAnsi="宋体" w:cs="宋体"/>
          <w:sz w:val="24"/>
          <w:szCs w:val="24"/>
        </w:rPr>
      </w:pPr>
      <w:r>
        <w:rPr>
          <w:rFonts w:hint="eastAsia" w:ascii="宋体" w:hAnsi="宋体" w:cs="宋体"/>
          <w:sz w:val="24"/>
          <w:szCs w:val="24"/>
        </w:rPr>
        <w:t>（一）在签订合同后一个月内支付总额</w:t>
      </w:r>
      <w:r>
        <w:rPr>
          <w:rFonts w:ascii="宋体" w:hAnsi="宋体" w:cs="宋体"/>
          <w:sz w:val="24"/>
          <w:szCs w:val="24"/>
        </w:rPr>
        <w:t>45</w:t>
      </w:r>
      <w:r>
        <w:rPr>
          <w:rFonts w:hint="eastAsia" w:ascii="宋体" w:hAnsi="宋体" w:cs="宋体"/>
          <w:sz w:val="24"/>
          <w:szCs w:val="24"/>
        </w:rPr>
        <w:t>%款项，即金额（大写）：XXXXX（￥XXX万元）；服务周期过半后一个月内支付总额</w:t>
      </w:r>
      <w:r>
        <w:rPr>
          <w:rFonts w:ascii="宋体" w:hAnsi="宋体" w:cs="宋体"/>
          <w:sz w:val="24"/>
          <w:szCs w:val="24"/>
        </w:rPr>
        <w:t>45</w:t>
      </w:r>
      <w:r>
        <w:rPr>
          <w:rFonts w:hint="eastAsia" w:ascii="宋体" w:hAnsi="宋体" w:cs="宋体"/>
          <w:sz w:val="24"/>
          <w:szCs w:val="24"/>
        </w:rPr>
        <w:t>%款项，即金额（大写）：XXXXX（￥XXXX万元）剩余款项合同结束后一个月内支付，即金额（大写）：XXXXXX（￥XXXXXX万元）。</w:t>
      </w:r>
    </w:p>
    <w:p w14:paraId="65977AEB">
      <w:pPr>
        <w:tabs>
          <w:tab w:val="left" w:pos="480"/>
        </w:tabs>
        <w:spacing w:line="360" w:lineRule="auto"/>
        <w:rPr>
          <w:rFonts w:ascii="宋体" w:hAnsi="宋体" w:cs="宋体"/>
          <w:sz w:val="24"/>
          <w:szCs w:val="24"/>
        </w:rPr>
      </w:pPr>
      <w:r>
        <w:rPr>
          <w:rFonts w:hint="eastAsia" w:ascii="宋体" w:hAnsi="宋体" w:cs="宋体"/>
          <w:sz w:val="24"/>
          <w:szCs w:val="24"/>
        </w:rPr>
        <w:t>（二）支付方式：银行转账。</w:t>
      </w:r>
    </w:p>
    <w:p w14:paraId="0D667E6C">
      <w:pPr>
        <w:tabs>
          <w:tab w:val="left" w:pos="480"/>
        </w:tabs>
        <w:spacing w:line="360" w:lineRule="auto"/>
        <w:jc w:val="left"/>
        <w:rPr>
          <w:rFonts w:ascii="宋体" w:hAnsi="宋体" w:cs="宋体"/>
          <w:sz w:val="24"/>
          <w:szCs w:val="24"/>
        </w:rPr>
      </w:pPr>
      <w:r>
        <w:rPr>
          <w:rFonts w:hint="eastAsia" w:ascii="宋体" w:hAnsi="宋体" w:cs="宋体"/>
          <w:sz w:val="24"/>
          <w:szCs w:val="24"/>
        </w:rPr>
        <w:t>（三）结算方式：乙方持维修保养服务验收合格单，款项合规发票（按合同标的物中的原厂维修保养服务开甲方），维保服务报告，供货合同，与甲方结算。</w:t>
      </w:r>
    </w:p>
    <w:p w14:paraId="088EA90E">
      <w:pPr>
        <w:tabs>
          <w:tab w:val="left" w:pos="480"/>
        </w:tabs>
        <w:spacing w:line="360" w:lineRule="auto"/>
        <w:jc w:val="left"/>
        <w:rPr>
          <w:rFonts w:ascii="宋体" w:hAnsi="宋体" w:cs="宋体"/>
          <w:sz w:val="24"/>
          <w:szCs w:val="24"/>
        </w:rPr>
      </w:pPr>
      <w:r>
        <w:rPr>
          <w:rFonts w:hint="eastAsia" w:ascii="宋体" w:hAnsi="宋体" w:cs="宋体"/>
          <w:b/>
          <w:bCs/>
          <w:sz w:val="24"/>
          <w:szCs w:val="24"/>
        </w:rPr>
        <w:t>四、维修服务条件</w:t>
      </w:r>
      <w:r>
        <w:rPr>
          <w:rFonts w:hint="eastAsia" w:ascii="宋体" w:hAnsi="宋体" w:cs="宋体"/>
          <w:sz w:val="24"/>
          <w:szCs w:val="24"/>
        </w:rPr>
        <w:t>：</w:t>
      </w:r>
    </w:p>
    <w:p w14:paraId="3DE12C81">
      <w:pPr>
        <w:tabs>
          <w:tab w:val="left" w:pos="480"/>
        </w:tabs>
        <w:spacing w:line="360" w:lineRule="auto"/>
        <w:jc w:val="left"/>
        <w:rPr>
          <w:rFonts w:hint="eastAsia" w:ascii="宋体" w:hAnsi="宋体" w:cs="宋体"/>
          <w:sz w:val="24"/>
          <w:szCs w:val="24"/>
        </w:rPr>
      </w:pPr>
      <w:r>
        <w:rPr>
          <w:rFonts w:hint="eastAsia" w:ascii="宋体" w:hAnsi="宋体" w:cs="宋体"/>
          <w:sz w:val="24"/>
          <w:szCs w:val="24"/>
        </w:rPr>
        <w:t>（一）维修地点：甲方指定地点。</w:t>
      </w:r>
    </w:p>
    <w:p w14:paraId="1A216409">
      <w:pPr>
        <w:tabs>
          <w:tab w:val="left" w:pos="480"/>
        </w:tabs>
        <w:spacing w:line="360" w:lineRule="auto"/>
        <w:jc w:val="left"/>
        <w:rPr>
          <w:rFonts w:ascii="宋体" w:hAnsi="宋体" w:cs="宋体"/>
          <w:sz w:val="24"/>
          <w:szCs w:val="24"/>
        </w:rPr>
      </w:pPr>
      <w:r>
        <w:rPr>
          <w:rFonts w:hint="eastAsia" w:ascii="宋体" w:hAnsi="宋体" w:cs="宋体"/>
          <w:sz w:val="24"/>
          <w:szCs w:val="24"/>
        </w:rPr>
        <w:t>（二）服务周期：自合同签订生效之日起，维保期XXXX年。</w:t>
      </w:r>
    </w:p>
    <w:p w14:paraId="77CC0977">
      <w:pPr>
        <w:tabs>
          <w:tab w:val="left" w:pos="480"/>
        </w:tabs>
        <w:spacing w:line="360" w:lineRule="auto"/>
        <w:jc w:val="left"/>
        <w:rPr>
          <w:rFonts w:ascii="宋体" w:hAnsi="宋体" w:cs="宋体"/>
          <w:sz w:val="24"/>
          <w:szCs w:val="24"/>
        </w:rPr>
      </w:pPr>
      <w:r>
        <w:rPr>
          <w:rFonts w:hint="eastAsia" w:ascii="宋体" w:hAnsi="宋体" w:cs="宋体"/>
          <w:sz w:val="24"/>
          <w:szCs w:val="24"/>
        </w:rPr>
        <w:t>（三）服务内容：</w:t>
      </w:r>
    </w:p>
    <w:p w14:paraId="2C3F1511">
      <w:pPr>
        <w:tabs>
          <w:tab w:val="left" w:pos="480"/>
        </w:tabs>
        <w:spacing w:line="360" w:lineRule="auto"/>
        <w:ind w:firstLine="480" w:firstLineChars="200"/>
        <w:jc w:val="left"/>
        <w:rPr>
          <w:rFonts w:ascii="宋体" w:hAnsi="宋体" w:cs="宋体"/>
          <w:sz w:val="24"/>
          <w:szCs w:val="24"/>
        </w:rPr>
      </w:pPr>
      <w:r>
        <w:rPr>
          <w:rFonts w:hint="eastAsia" w:ascii="宋体" w:hAnsi="宋体" w:cs="宋体"/>
          <w:sz w:val="24"/>
          <w:szCs w:val="24"/>
        </w:rPr>
        <w:t>医院指定的清单内医疗设备及</w:t>
      </w:r>
      <w:r>
        <w:rPr>
          <w:rFonts w:ascii="宋体" w:hAnsi="宋体" w:cs="宋体"/>
          <w:sz w:val="24"/>
          <w:szCs w:val="24"/>
        </w:rPr>
        <w:t>生命周期信息管理系统</w:t>
      </w:r>
      <w:r>
        <w:rPr>
          <w:rFonts w:hint="eastAsia" w:ascii="宋体" w:hAnsi="宋体" w:cs="宋体"/>
          <w:sz w:val="24"/>
          <w:szCs w:val="24"/>
        </w:rPr>
        <w:t>的运维服务。提供医疗设备接修、维修、质控检测、周期保养及日常维护保养计划建立，实施和管理，并且通过自身能力和外部渠道提供及时、可靠、优质的售后服务（包括所有人工和单价5</w:t>
      </w:r>
      <w:r>
        <w:rPr>
          <w:rFonts w:ascii="宋体" w:hAnsi="宋体" w:cs="宋体"/>
          <w:sz w:val="24"/>
          <w:szCs w:val="24"/>
        </w:rPr>
        <w:t>00</w:t>
      </w:r>
      <w:r>
        <w:rPr>
          <w:rFonts w:hint="eastAsia" w:ascii="宋体" w:hAnsi="宋体" w:cs="宋体"/>
          <w:sz w:val="24"/>
          <w:szCs w:val="24"/>
        </w:rPr>
        <w:t>元以下的零备件，系统故障服务，耗材除外）。所提供信息系统满足医院设备管理及国家法规的要求，满足医院信息管理部门的安全保密要求，并承担与医院现行系统的接口调试工作及相关费用</w:t>
      </w:r>
      <w:r>
        <w:rPr>
          <w:rFonts w:ascii="宋体" w:hAnsi="宋体" w:cs="宋体"/>
          <w:sz w:val="24"/>
          <w:szCs w:val="24"/>
        </w:rPr>
        <w:t>。</w:t>
      </w:r>
    </w:p>
    <w:p w14:paraId="4BC55113">
      <w:pPr>
        <w:tabs>
          <w:tab w:val="left" w:pos="480"/>
        </w:tabs>
        <w:spacing w:line="360" w:lineRule="auto"/>
        <w:ind w:firstLine="480" w:firstLineChars="200"/>
        <w:jc w:val="left"/>
        <w:rPr>
          <w:rFonts w:hint="eastAsia" w:ascii="宋体" w:hAnsi="宋体" w:cs="宋体"/>
          <w:sz w:val="24"/>
          <w:szCs w:val="24"/>
        </w:rPr>
      </w:pPr>
      <w:r>
        <w:rPr>
          <w:rFonts w:hint="eastAsia" w:ascii="宋体" w:hAnsi="宋体" w:cs="宋体"/>
          <w:sz w:val="24"/>
          <w:szCs w:val="24"/>
        </w:rPr>
        <w:t>对于全院医用气体运行系统通过自身能力和外部渠道提供及时、可靠、优质的售后服务（包括所有人工和单价5</w:t>
      </w:r>
      <w:r>
        <w:rPr>
          <w:rFonts w:ascii="宋体" w:hAnsi="宋体" w:cs="宋体"/>
          <w:sz w:val="24"/>
          <w:szCs w:val="24"/>
        </w:rPr>
        <w:t>00</w:t>
      </w:r>
      <w:r>
        <w:rPr>
          <w:rFonts w:hint="eastAsia" w:ascii="宋体" w:hAnsi="宋体" w:cs="宋体"/>
          <w:sz w:val="24"/>
          <w:szCs w:val="24"/>
        </w:rPr>
        <w:t>元以下的零备件，系统故障服务，耗材除外）。完善医用气体系统远程监控功能，包括液氧储槽、氧气汇流排室、一期的空压机组、一期负压机组、二期空压机组、二期负压机组工况的实时远程监控点。</w:t>
      </w:r>
    </w:p>
    <w:p w14:paraId="212D52E3">
      <w:pPr>
        <w:tabs>
          <w:tab w:val="left" w:pos="480"/>
        </w:tabs>
        <w:spacing w:line="360" w:lineRule="auto"/>
        <w:jc w:val="left"/>
        <w:rPr>
          <w:rFonts w:ascii="宋体" w:hAnsi="宋体" w:cs="宋体"/>
          <w:b/>
          <w:bCs/>
          <w:sz w:val="24"/>
          <w:szCs w:val="24"/>
        </w:rPr>
      </w:pPr>
      <w:r>
        <w:rPr>
          <w:rFonts w:hint="eastAsia" w:ascii="宋体" w:hAnsi="宋体" w:cs="宋体"/>
          <w:b/>
          <w:bCs/>
          <w:sz w:val="24"/>
          <w:szCs w:val="24"/>
        </w:rPr>
        <w:t>五、质量保证</w:t>
      </w:r>
    </w:p>
    <w:p w14:paraId="23BB2AEF">
      <w:pPr>
        <w:tabs>
          <w:tab w:val="left" w:pos="480"/>
        </w:tabs>
        <w:spacing w:line="360" w:lineRule="auto"/>
        <w:jc w:val="left"/>
        <w:rPr>
          <w:rFonts w:ascii="宋体" w:hAnsi="宋体" w:cs="宋体"/>
          <w:sz w:val="24"/>
          <w:szCs w:val="24"/>
        </w:rPr>
      </w:pPr>
      <w:r>
        <w:rPr>
          <w:rFonts w:hint="eastAsia" w:ascii="宋体" w:hAnsi="宋体" w:cs="宋体"/>
          <w:sz w:val="24"/>
          <w:szCs w:val="24"/>
        </w:rPr>
        <w:t>乙方所供备品备件必须执行下列条款：</w:t>
      </w:r>
    </w:p>
    <w:p w14:paraId="05D924D5">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306636D4">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2FEE3251">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C50124C">
      <w:pPr>
        <w:tabs>
          <w:tab w:val="left" w:pos="2204"/>
        </w:tabs>
        <w:spacing w:line="360" w:lineRule="auto"/>
        <w:rPr>
          <w:rFonts w:ascii="宋体" w:hAnsi="宋体" w:cs="宋体"/>
          <w:b/>
          <w:sz w:val="24"/>
          <w:szCs w:val="24"/>
        </w:rPr>
      </w:pPr>
      <w:r>
        <w:rPr>
          <w:rFonts w:hint="eastAsia" w:ascii="宋体" w:hAnsi="宋体" w:cs="宋体"/>
          <w:b/>
          <w:sz w:val="24"/>
          <w:szCs w:val="24"/>
        </w:rPr>
        <w:t>六、人员要求</w:t>
      </w:r>
      <w:r>
        <w:rPr>
          <w:rFonts w:ascii="宋体" w:hAnsi="宋体" w:cs="宋体"/>
          <w:b/>
          <w:sz w:val="24"/>
          <w:szCs w:val="24"/>
        </w:rPr>
        <w:tab/>
      </w:r>
    </w:p>
    <w:p w14:paraId="190F315D">
      <w:pPr>
        <w:spacing w:line="360" w:lineRule="auto"/>
        <w:rPr>
          <w:rFonts w:ascii="宋体" w:hAnsi="宋体" w:cs="宋体"/>
          <w:sz w:val="24"/>
          <w:szCs w:val="24"/>
        </w:rPr>
      </w:pPr>
      <w:r>
        <w:rPr>
          <w:rFonts w:hint="eastAsia" w:ascii="宋体" w:hAnsi="宋体" w:cs="宋体"/>
          <w:sz w:val="24"/>
          <w:szCs w:val="24"/>
        </w:rPr>
        <w:t>（一）医院提供办公场地、维修间及备件储备仓库。根据</w:t>
      </w:r>
      <w:r>
        <w:rPr>
          <w:rFonts w:ascii="宋体" w:hAnsi="宋体" w:cs="宋体"/>
          <w:sz w:val="24"/>
          <w:szCs w:val="24"/>
        </w:rPr>
        <w:t>医院需求，</w:t>
      </w:r>
      <w:r>
        <w:rPr>
          <w:rFonts w:hint="eastAsia" w:ascii="宋体" w:hAnsi="宋体" w:cs="宋体"/>
          <w:sz w:val="24"/>
          <w:szCs w:val="24"/>
        </w:rPr>
        <w:t>服务商派遣3名技术服务人员长期驻扎医院，人员要提</w:t>
      </w:r>
      <w:r>
        <w:rPr>
          <w:rFonts w:ascii="宋体" w:hAnsi="宋体" w:cs="宋体"/>
          <w:sz w:val="24"/>
          <w:szCs w:val="24"/>
        </w:rPr>
        <w:t>供毕业证书、</w:t>
      </w:r>
      <w:r>
        <w:rPr>
          <w:rFonts w:hint="eastAsia" w:ascii="宋体" w:hAnsi="宋体" w:cs="宋体"/>
          <w:sz w:val="24"/>
          <w:szCs w:val="24"/>
        </w:rPr>
        <w:t>相</w:t>
      </w:r>
      <w:r>
        <w:rPr>
          <w:rFonts w:ascii="宋体" w:hAnsi="宋体" w:cs="宋体"/>
          <w:sz w:val="24"/>
          <w:szCs w:val="24"/>
        </w:rPr>
        <w:t>关培训证书</w:t>
      </w:r>
      <w:r>
        <w:rPr>
          <w:rFonts w:hint="eastAsia" w:ascii="宋体" w:hAnsi="宋体" w:cs="宋体"/>
          <w:sz w:val="24"/>
          <w:szCs w:val="24"/>
        </w:rPr>
        <w:t>备案，协调员专职负责软件数据日常录入、</w:t>
      </w:r>
      <w:r>
        <w:rPr>
          <w:rFonts w:ascii="宋体" w:hAnsi="宋体" w:cs="宋体"/>
          <w:sz w:val="24"/>
          <w:szCs w:val="24"/>
        </w:rPr>
        <w:t>系统维护</w:t>
      </w:r>
      <w:r>
        <w:rPr>
          <w:rFonts w:hint="eastAsia" w:ascii="宋体" w:hAnsi="宋体" w:cs="宋体"/>
          <w:sz w:val="24"/>
          <w:szCs w:val="24"/>
        </w:rPr>
        <w:t>、档</w:t>
      </w:r>
      <w:r>
        <w:rPr>
          <w:rFonts w:ascii="宋体" w:hAnsi="宋体" w:cs="宋体"/>
          <w:sz w:val="24"/>
          <w:szCs w:val="24"/>
        </w:rPr>
        <w:t>案整理</w:t>
      </w:r>
      <w:r>
        <w:rPr>
          <w:rFonts w:hint="eastAsia" w:ascii="宋体" w:hAnsi="宋体" w:cs="宋体"/>
          <w:sz w:val="24"/>
          <w:szCs w:val="24"/>
        </w:rPr>
        <w:t>、设备调配、数据分析</w:t>
      </w:r>
      <w:r>
        <w:rPr>
          <w:rFonts w:ascii="宋体" w:hAnsi="宋体" w:cs="宋体"/>
          <w:sz w:val="24"/>
          <w:szCs w:val="24"/>
        </w:rPr>
        <w:t>等工作</w:t>
      </w:r>
      <w:r>
        <w:rPr>
          <w:rFonts w:hint="eastAsia" w:ascii="宋体" w:hAnsi="宋体" w:cs="宋体"/>
          <w:sz w:val="24"/>
          <w:szCs w:val="24"/>
        </w:rPr>
        <w:t>，工程师负责设备巡检、保养、质量控制、维修响应等</w:t>
      </w:r>
      <w:r>
        <w:rPr>
          <w:rFonts w:ascii="宋体" w:hAnsi="宋体" w:cs="宋体"/>
          <w:sz w:val="24"/>
          <w:szCs w:val="24"/>
        </w:rPr>
        <w:t>工作</w:t>
      </w:r>
      <w:r>
        <w:rPr>
          <w:rFonts w:hint="eastAsia" w:ascii="宋体" w:hAnsi="宋体" w:cs="宋体"/>
          <w:sz w:val="24"/>
          <w:szCs w:val="24"/>
        </w:rPr>
        <w:t>。</w:t>
      </w:r>
    </w:p>
    <w:p w14:paraId="7E922FE8">
      <w:pPr>
        <w:spacing w:line="360" w:lineRule="auto"/>
        <w:rPr>
          <w:rFonts w:ascii="宋体" w:hAnsi="宋体" w:cs="宋体"/>
          <w:sz w:val="24"/>
          <w:szCs w:val="24"/>
        </w:rPr>
      </w:pPr>
      <w:r>
        <w:rPr>
          <w:rFonts w:hint="eastAsia" w:ascii="宋体" w:hAnsi="宋体" w:cs="宋体"/>
          <w:sz w:val="24"/>
          <w:szCs w:val="24"/>
        </w:rPr>
        <w:t>（二）按照医院工作时间，正常上下班，如遇紧急事件除外。设备调配工作需要24小时不间断值守。</w:t>
      </w:r>
    </w:p>
    <w:p w14:paraId="5D1996C1">
      <w:pPr>
        <w:spacing w:line="360" w:lineRule="auto"/>
        <w:rPr>
          <w:rFonts w:ascii="宋体" w:hAnsi="宋体" w:cs="宋体"/>
          <w:sz w:val="24"/>
          <w:szCs w:val="24"/>
        </w:rPr>
      </w:pPr>
      <w:r>
        <w:rPr>
          <w:rFonts w:hint="eastAsia" w:ascii="宋体" w:hAnsi="宋体" w:cs="宋体"/>
          <w:sz w:val="24"/>
          <w:szCs w:val="24"/>
        </w:rPr>
        <w:t>（三）派遣3名经验丰</w:t>
      </w:r>
      <w:r>
        <w:rPr>
          <w:rFonts w:ascii="宋体" w:hAnsi="宋体" w:cs="宋体"/>
          <w:sz w:val="24"/>
          <w:szCs w:val="24"/>
        </w:rPr>
        <w:t>富的</w:t>
      </w:r>
      <w:r>
        <w:rPr>
          <w:rFonts w:hint="eastAsia" w:ascii="宋体" w:hAnsi="宋体" w:cs="宋体"/>
          <w:sz w:val="24"/>
          <w:szCs w:val="24"/>
        </w:rPr>
        <w:t>有资质的技术</w:t>
      </w:r>
      <w:r>
        <w:rPr>
          <w:rFonts w:ascii="宋体" w:hAnsi="宋体" w:cs="宋体"/>
          <w:sz w:val="24"/>
          <w:szCs w:val="24"/>
        </w:rPr>
        <w:t>管理人员</w:t>
      </w:r>
      <w:r>
        <w:rPr>
          <w:rFonts w:hint="eastAsia" w:ascii="宋体" w:hAnsi="宋体" w:cs="宋体"/>
          <w:sz w:val="24"/>
          <w:szCs w:val="24"/>
        </w:rPr>
        <w:t>进行</w:t>
      </w:r>
      <w:r>
        <w:rPr>
          <w:rFonts w:ascii="宋体" w:hAnsi="宋体" w:cs="宋体"/>
          <w:sz w:val="24"/>
          <w:szCs w:val="24"/>
        </w:rPr>
        <w:t>现场管理。</w:t>
      </w:r>
      <w:r>
        <w:rPr>
          <w:rFonts w:hint="eastAsia" w:ascii="宋体" w:hAnsi="宋体" w:cs="宋体"/>
          <w:sz w:val="24"/>
          <w:szCs w:val="24"/>
        </w:rPr>
        <w:t>年龄</w:t>
      </w:r>
      <w:r>
        <w:rPr>
          <w:rFonts w:ascii="宋体" w:hAnsi="宋体" w:cs="宋体"/>
          <w:sz w:val="24"/>
          <w:szCs w:val="24"/>
        </w:rPr>
        <w:t>50</w:t>
      </w:r>
      <w:r>
        <w:rPr>
          <w:rFonts w:hint="eastAsia" w:ascii="宋体" w:hAnsi="宋体" w:cs="宋体"/>
          <w:sz w:val="24"/>
          <w:szCs w:val="24"/>
        </w:rPr>
        <w:t>岁以下并持有法定的上岗资质证书（电工证、焊工证，特种设备操作证），并有3年以上</w:t>
      </w:r>
      <w:r>
        <w:rPr>
          <w:rFonts w:ascii="宋体" w:hAnsi="宋体" w:cs="宋体"/>
          <w:sz w:val="24"/>
          <w:szCs w:val="24"/>
        </w:rPr>
        <w:t xml:space="preserve"> </w:t>
      </w:r>
      <w:r>
        <w:rPr>
          <w:rFonts w:hint="eastAsia" w:ascii="宋体" w:hAnsi="宋体" w:cs="宋体"/>
          <w:sz w:val="24"/>
          <w:szCs w:val="24"/>
        </w:rPr>
        <w:t>“医用气体工”维保维修经验。</w:t>
      </w:r>
      <w:r>
        <w:rPr>
          <w:rFonts w:ascii="宋体" w:hAnsi="宋体" w:cs="宋体"/>
          <w:sz w:val="24"/>
          <w:szCs w:val="24"/>
        </w:rPr>
        <w:t>为医用气体系统制定日常巡视计</w:t>
      </w:r>
      <w:r>
        <w:rPr>
          <w:rFonts w:hint="eastAsia" w:ascii="宋体" w:hAnsi="宋体" w:cs="宋体"/>
          <w:sz w:val="24"/>
          <w:szCs w:val="24"/>
        </w:rPr>
        <w:t>划并执行，为其建立维修维护记录；负责根据相关行业标准制定医院医用气体系统相对应的专业化、标准化及系统化的运行操作规程和记录；负责带教3名劳务派遣的医用气体操作人员。接受院方监督（工作态度、工作纪律、日常行为等）管理；遵守院方的各项管理制度。</w:t>
      </w:r>
    </w:p>
    <w:p w14:paraId="7243D06E">
      <w:pPr>
        <w:spacing w:line="360" w:lineRule="auto"/>
        <w:rPr>
          <w:rFonts w:ascii="宋体" w:hAnsi="宋体" w:cs="宋体"/>
          <w:sz w:val="24"/>
          <w:szCs w:val="24"/>
        </w:rPr>
      </w:pPr>
      <w:r>
        <w:rPr>
          <w:rFonts w:hint="eastAsia" w:ascii="宋体" w:hAnsi="宋体" w:cs="宋体"/>
          <w:sz w:val="24"/>
          <w:szCs w:val="24"/>
        </w:rPr>
        <w:t>（四）</w:t>
      </w:r>
      <w:r>
        <w:rPr>
          <w:rFonts w:ascii="宋体" w:hAnsi="宋体" w:cs="宋体"/>
          <w:sz w:val="24"/>
          <w:szCs w:val="24"/>
        </w:rPr>
        <w:t>保证全院氧气供应，满足各科室、病区氧气要求。</w:t>
      </w:r>
    </w:p>
    <w:p w14:paraId="0F2B9072">
      <w:pPr>
        <w:spacing w:line="360" w:lineRule="auto"/>
        <w:rPr>
          <w:rFonts w:ascii="宋体" w:hAnsi="宋体" w:cs="宋体"/>
          <w:sz w:val="24"/>
          <w:szCs w:val="24"/>
        </w:rPr>
      </w:pPr>
      <w:r>
        <w:rPr>
          <w:rFonts w:hint="eastAsia" w:ascii="宋体" w:hAnsi="宋体" w:cs="宋体"/>
          <w:sz w:val="24"/>
          <w:szCs w:val="24"/>
        </w:rPr>
        <w:t>（五）保证全天24小时不间断有人值守。</w:t>
      </w:r>
    </w:p>
    <w:p w14:paraId="15119C97">
      <w:pPr>
        <w:spacing w:line="360" w:lineRule="auto"/>
        <w:rPr>
          <w:rFonts w:ascii="宋体" w:hAnsi="宋体" w:cs="宋体"/>
          <w:b/>
          <w:sz w:val="24"/>
          <w:szCs w:val="24"/>
        </w:rPr>
      </w:pPr>
      <w:r>
        <w:rPr>
          <w:rFonts w:hint="eastAsia" w:ascii="宋体" w:hAnsi="宋体" w:cs="宋体"/>
          <w:b/>
          <w:sz w:val="24"/>
          <w:szCs w:val="24"/>
        </w:rPr>
        <w:t>七、服务内容</w:t>
      </w:r>
    </w:p>
    <w:p w14:paraId="6A0E9B6D">
      <w:pPr>
        <w:spacing w:line="360" w:lineRule="auto"/>
        <w:rPr>
          <w:rFonts w:hint="eastAsia" w:ascii="宋体" w:hAnsi="宋体" w:cs="宋体"/>
          <w:sz w:val="24"/>
          <w:szCs w:val="24"/>
        </w:rPr>
      </w:pPr>
      <w:r>
        <w:rPr>
          <w:rFonts w:hint="eastAsia" w:ascii="宋体" w:hAnsi="宋体" w:cs="宋体"/>
          <w:sz w:val="24"/>
          <w:szCs w:val="24"/>
        </w:rPr>
        <w:t>（一）基础医疗设备运维集约化服务内容：</w:t>
      </w:r>
    </w:p>
    <w:p w14:paraId="3FD6EA57">
      <w:pPr>
        <w:spacing w:line="360" w:lineRule="auto"/>
        <w:ind w:firstLine="480" w:firstLineChars="200"/>
        <w:rPr>
          <w:rFonts w:ascii="宋体" w:hAnsi="宋体" w:cs="宋体"/>
          <w:sz w:val="24"/>
          <w:szCs w:val="24"/>
        </w:rPr>
      </w:pPr>
      <w:r>
        <w:rPr>
          <w:rFonts w:hint="eastAsia" w:ascii="宋体" w:hAnsi="宋体" w:cs="宋体"/>
          <w:sz w:val="24"/>
          <w:szCs w:val="24"/>
        </w:rPr>
        <w:t>1、完善信息化管理：负责系统数据维护，新增设备数据、维修数据、维保数据、计量数据、供应商数据、计量数据、合同数据。</w:t>
      </w:r>
    </w:p>
    <w:p w14:paraId="2DC6B5F5">
      <w:pPr>
        <w:spacing w:line="360" w:lineRule="auto"/>
        <w:ind w:firstLine="480" w:firstLineChars="200"/>
        <w:rPr>
          <w:rFonts w:ascii="宋体" w:hAnsi="宋体" w:cs="宋体"/>
          <w:sz w:val="24"/>
          <w:szCs w:val="24"/>
        </w:rPr>
      </w:pPr>
      <w:r>
        <w:rPr>
          <w:rFonts w:hint="eastAsia" w:ascii="宋体" w:hAnsi="宋体" w:cs="宋体"/>
          <w:sz w:val="24"/>
          <w:szCs w:val="24"/>
        </w:rPr>
        <w:t>2、设备验收：服务方配合医学装备中心工作人员，完成新增设备的安装、培训、验收工作流程。</w:t>
      </w:r>
    </w:p>
    <w:p w14:paraId="799626FF">
      <w:pPr>
        <w:spacing w:line="360" w:lineRule="auto"/>
        <w:ind w:firstLine="480" w:firstLineChars="200"/>
        <w:rPr>
          <w:rFonts w:ascii="宋体" w:hAnsi="宋体" w:cs="宋体"/>
          <w:sz w:val="24"/>
          <w:szCs w:val="24"/>
        </w:rPr>
      </w:pPr>
      <w:r>
        <w:rPr>
          <w:rFonts w:hint="eastAsia" w:ascii="宋体" w:hAnsi="宋体" w:cs="宋体"/>
          <w:sz w:val="24"/>
          <w:szCs w:val="24"/>
        </w:rPr>
        <w:t>3、设备巡检：服务方需编制清单内医疗设备巡检计划每月按计划对医院的医疗设备进行巡检管理。对不符合设备正常运行或有可能造成医疗安全隐患的设备，出具书面的解决改进方案。每次服务需详细记录，所有数据需采集至设备管理系统。</w:t>
      </w:r>
    </w:p>
    <w:p w14:paraId="31CB2E60">
      <w:pPr>
        <w:spacing w:line="360" w:lineRule="auto"/>
        <w:ind w:firstLine="480" w:firstLineChars="200"/>
        <w:rPr>
          <w:rFonts w:ascii="宋体" w:hAnsi="宋体" w:cs="宋体"/>
          <w:sz w:val="24"/>
          <w:szCs w:val="24"/>
        </w:rPr>
      </w:pPr>
      <w:r>
        <w:rPr>
          <w:rFonts w:hint="eastAsia" w:ascii="宋体" w:hAnsi="宋体" w:cs="宋体"/>
          <w:sz w:val="24"/>
          <w:szCs w:val="24"/>
        </w:rPr>
        <w:t>4、设备保养：医疗设备维护保养管理。服务方需安排专职人员对医院的医疗设备进行预防性维护工作，根据医院医疗设备使用情况及相关要求，制定详细的保养计划，大型医疗设备保养规程需符合生产厂家相关文件。保养书面记录需由临床科室签字确认。同时记录入设备管理系统保存，可查询可统计。</w:t>
      </w:r>
    </w:p>
    <w:p w14:paraId="3E5FE9D8">
      <w:pPr>
        <w:spacing w:line="360" w:lineRule="auto"/>
        <w:ind w:firstLine="480" w:firstLineChars="200"/>
        <w:rPr>
          <w:rFonts w:ascii="宋体" w:hAnsi="宋体" w:cs="宋体"/>
          <w:sz w:val="24"/>
          <w:szCs w:val="24"/>
        </w:rPr>
      </w:pPr>
      <w:r>
        <w:rPr>
          <w:rFonts w:hint="eastAsia" w:ascii="宋体" w:hAnsi="宋体" w:cs="宋体"/>
          <w:sz w:val="24"/>
          <w:szCs w:val="24"/>
        </w:rPr>
        <w:t>5、设备维修：提</w:t>
      </w:r>
      <w:r>
        <w:rPr>
          <w:rFonts w:ascii="宋体" w:hAnsi="宋体" w:cs="宋体"/>
          <w:sz w:val="24"/>
          <w:szCs w:val="24"/>
        </w:rPr>
        <w:t>供</w:t>
      </w:r>
      <w:r>
        <w:rPr>
          <w:rFonts w:hint="eastAsia" w:ascii="宋体" w:hAnsi="宋体" w:cs="宋体"/>
          <w:sz w:val="24"/>
          <w:szCs w:val="24"/>
        </w:rPr>
        <w:t>医</w:t>
      </w:r>
      <w:r>
        <w:rPr>
          <w:rFonts w:ascii="宋体" w:hAnsi="宋体" w:cs="宋体"/>
          <w:sz w:val="24"/>
          <w:szCs w:val="24"/>
        </w:rPr>
        <w:t>疗设备报</w:t>
      </w:r>
      <w:r>
        <w:rPr>
          <w:rFonts w:hint="eastAsia" w:ascii="宋体" w:hAnsi="宋体" w:cs="宋体"/>
          <w:sz w:val="24"/>
          <w:szCs w:val="24"/>
        </w:rPr>
        <w:t>修</w:t>
      </w:r>
      <w:r>
        <w:rPr>
          <w:rFonts w:ascii="宋体" w:hAnsi="宋体" w:cs="宋体"/>
          <w:sz w:val="24"/>
          <w:szCs w:val="24"/>
        </w:rPr>
        <w:t>响应、维修处理、</w:t>
      </w:r>
      <w:r>
        <w:rPr>
          <w:rFonts w:hint="eastAsia" w:ascii="宋体" w:hAnsi="宋体" w:cs="宋体"/>
          <w:sz w:val="24"/>
          <w:szCs w:val="24"/>
        </w:rPr>
        <w:t>维</w:t>
      </w:r>
      <w:r>
        <w:rPr>
          <w:rFonts w:ascii="宋体" w:hAnsi="宋体" w:cs="宋体"/>
          <w:sz w:val="24"/>
          <w:szCs w:val="24"/>
        </w:rPr>
        <w:t>修完成</w:t>
      </w:r>
      <w:r>
        <w:rPr>
          <w:rFonts w:hint="eastAsia" w:ascii="宋体" w:hAnsi="宋体" w:cs="宋体"/>
          <w:sz w:val="24"/>
          <w:szCs w:val="24"/>
        </w:rPr>
        <w:t>的</w:t>
      </w:r>
      <w:r>
        <w:rPr>
          <w:rFonts w:ascii="宋体" w:hAnsi="宋体" w:cs="宋体"/>
          <w:sz w:val="24"/>
          <w:szCs w:val="24"/>
        </w:rPr>
        <w:t>完整工作流程</w:t>
      </w:r>
      <w:r>
        <w:rPr>
          <w:rFonts w:hint="eastAsia" w:ascii="宋体" w:hAnsi="宋体" w:cs="宋体"/>
          <w:sz w:val="24"/>
          <w:szCs w:val="24"/>
        </w:rPr>
        <w:t>。工作时间临床科室在线报修，维修响应人员30分钟到达现场，判断故障方案，提出解决方案，方案审批完成，完成维修事件整个流程跟踪直至结单（配备工程师，现场解决一般性故障，提高临床满意度）。每台次医疗设备故障维修时，服务方需填写电子版或纸质版维修单，注明故障现象、故障原因分析、处理结果，并由临床相关人员签字确认。同时记录入设备管理系统保存，可查询可统计。</w:t>
      </w:r>
    </w:p>
    <w:p w14:paraId="4A866EAC">
      <w:pPr>
        <w:spacing w:line="360" w:lineRule="auto"/>
        <w:ind w:firstLine="480" w:firstLineChars="200"/>
        <w:rPr>
          <w:rFonts w:ascii="宋体" w:hAnsi="宋体" w:cs="宋体"/>
          <w:sz w:val="24"/>
          <w:szCs w:val="24"/>
        </w:rPr>
      </w:pPr>
      <w:r>
        <w:rPr>
          <w:rFonts w:hint="eastAsia" w:ascii="宋体" w:hAnsi="宋体" w:cs="宋体"/>
          <w:sz w:val="24"/>
          <w:szCs w:val="24"/>
        </w:rPr>
        <w:t>6、质量控制：对服务范围内的医疗设备的质控及计量检测工作，服务方需安排人员协助，配合医院、计量检测机构完成相关工作。</w:t>
      </w:r>
    </w:p>
    <w:p w14:paraId="33D50F5C">
      <w:pPr>
        <w:spacing w:line="360" w:lineRule="auto"/>
        <w:ind w:firstLine="480" w:firstLineChars="200"/>
        <w:rPr>
          <w:rFonts w:ascii="宋体" w:hAnsi="宋体" w:cs="宋体"/>
          <w:sz w:val="24"/>
          <w:szCs w:val="24"/>
        </w:rPr>
      </w:pPr>
      <w:r>
        <w:rPr>
          <w:rFonts w:hint="eastAsia" w:ascii="宋体" w:hAnsi="宋体" w:cs="宋体"/>
          <w:sz w:val="24"/>
          <w:szCs w:val="24"/>
        </w:rPr>
        <w:t>7、设备档案：服务方需对清单内医疗设备建立维修档案，并对相关技术资料如用户操作手册、电路图等进行分类、归档，随时备查。对已入库医疗设备建立详细资料电子档案（招投标文件、验收、入库、付款等全流程资料），系统可随时查询。服务方负责该档案的保密工作，承担因失密、泄密等对医院造成的所有后果。</w:t>
      </w:r>
    </w:p>
    <w:p w14:paraId="2D55AF69">
      <w:pPr>
        <w:spacing w:line="360" w:lineRule="auto"/>
        <w:ind w:firstLine="480" w:firstLineChars="200"/>
        <w:rPr>
          <w:rFonts w:ascii="宋体" w:hAnsi="宋体" w:cs="宋体"/>
          <w:sz w:val="24"/>
          <w:szCs w:val="24"/>
        </w:rPr>
      </w:pPr>
      <w:r>
        <w:rPr>
          <w:rFonts w:hint="eastAsia" w:ascii="宋体" w:hAnsi="宋体" w:cs="宋体"/>
          <w:sz w:val="24"/>
          <w:szCs w:val="24"/>
        </w:rPr>
        <w:t>8、操作培训：服务方需定期对医院操作人员进行医疗设备日常维护及操作培训。对急救生命支持类设备制定培训计划，服务期内完成不少于两次培训，并留存培训全流程资料纸质版及电子版，随时备查。</w:t>
      </w:r>
    </w:p>
    <w:p w14:paraId="16E2A1C8">
      <w:pPr>
        <w:spacing w:line="360" w:lineRule="auto"/>
        <w:ind w:firstLine="480" w:firstLineChars="200"/>
        <w:rPr>
          <w:rFonts w:ascii="宋体" w:hAnsi="宋体" w:cs="宋体"/>
          <w:sz w:val="24"/>
          <w:szCs w:val="24"/>
        </w:rPr>
      </w:pPr>
      <w:r>
        <w:rPr>
          <w:rFonts w:hint="eastAsia" w:ascii="宋体" w:hAnsi="宋体" w:cs="宋体"/>
          <w:sz w:val="24"/>
          <w:szCs w:val="24"/>
        </w:rPr>
        <w:t>9、设备盘点：用手持移动端设备每年对设备资产进行一次全院盘点。每季度对库存设备进行一次盘点。</w:t>
      </w:r>
    </w:p>
    <w:p w14:paraId="477B77C9">
      <w:pPr>
        <w:spacing w:line="360" w:lineRule="auto"/>
        <w:ind w:firstLine="480" w:firstLineChars="200"/>
        <w:rPr>
          <w:rFonts w:ascii="宋体" w:hAnsi="宋体" w:cs="宋体"/>
          <w:sz w:val="24"/>
          <w:szCs w:val="24"/>
        </w:rPr>
      </w:pPr>
      <w:r>
        <w:rPr>
          <w:rFonts w:hint="eastAsia" w:ascii="宋体" w:hAnsi="宋体" w:cs="宋体"/>
          <w:sz w:val="24"/>
          <w:szCs w:val="24"/>
        </w:rPr>
        <w:t>10、运营分析：服务方应每季度向医院提交项目运行情况分析报表。报告季度维修、保养服务工作的各个方面数据，包括且不仅限于维修工作量，保养工作量，重大事件等记录汇总及分析。</w:t>
      </w:r>
    </w:p>
    <w:p w14:paraId="4D4113F4">
      <w:pPr>
        <w:spacing w:line="360" w:lineRule="auto"/>
        <w:ind w:firstLine="480" w:firstLineChars="200"/>
        <w:rPr>
          <w:rFonts w:ascii="宋体" w:hAnsi="宋体" w:cs="宋体"/>
          <w:sz w:val="24"/>
          <w:szCs w:val="24"/>
        </w:rPr>
      </w:pPr>
      <w:r>
        <w:rPr>
          <w:rFonts w:hint="eastAsia" w:ascii="宋体" w:hAnsi="宋体" w:cs="宋体"/>
          <w:sz w:val="24"/>
          <w:szCs w:val="24"/>
        </w:rPr>
        <w:t>11、风险评估：根据设备使用年限、维修次数（故障频率）和更换配件的统计，相关计量检测和校准结果等方面的安全监测报告，由系统来综合评判设备使用的风险程度，作为医院更新和淘汰设备的参考依据。</w:t>
      </w:r>
    </w:p>
    <w:p w14:paraId="144F290A">
      <w:pPr>
        <w:spacing w:line="360" w:lineRule="auto"/>
        <w:ind w:firstLine="480" w:firstLineChars="200"/>
        <w:rPr>
          <w:rFonts w:ascii="宋体" w:hAnsi="宋体" w:cs="宋体"/>
          <w:sz w:val="24"/>
          <w:szCs w:val="24"/>
        </w:rPr>
      </w:pPr>
      <w:r>
        <w:rPr>
          <w:rFonts w:hint="eastAsia" w:ascii="宋体" w:hAnsi="宋体" w:cs="宋体"/>
          <w:sz w:val="24"/>
          <w:szCs w:val="24"/>
        </w:rPr>
        <w:t>12、开机率标准：维保范围内的医疗设备开机率不低于95%，其中急救及生命支持类设备开机率应达到100%。如有不足，按2倍日期延长该设备的维保服务期限。</w:t>
      </w:r>
    </w:p>
    <w:p w14:paraId="615036CB">
      <w:pPr>
        <w:spacing w:line="360" w:lineRule="auto"/>
        <w:rPr>
          <w:rFonts w:ascii="宋体" w:hAnsi="宋体" w:cs="宋体"/>
          <w:sz w:val="24"/>
          <w:szCs w:val="24"/>
        </w:rPr>
      </w:pPr>
      <w:r>
        <w:rPr>
          <w:rFonts w:hint="eastAsia" w:ascii="宋体" w:hAnsi="宋体" w:cs="宋体"/>
          <w:sz w:val="24"/>
          <w:szCs w:val="24"/>
        </w:rPr>
        <w:t>（二）医用气体系统运维集约化服务内容：</w:t>
      </w:r>
    </w:p>
    <w:p w14:paraId="2F9D7EA6">
      <w:pPr>
        <w:spacing w:line="360" w:lineRule="auto"/>
        <w:ind w:firstLine="480" w:firstLineChars="200"/>
        <w:rPr>
          <w:rFonts w:ascii="宋体" w:hAnsi="宋体" w:cs="宋体"/>
          <w:sz w:val="24"/>
          <w:szCs w:val="24"/>
        </w:rPr>
      </w:pPr>
      <w:r>
        <w:rPr>
          <w:rFonts w:hint="eastAsia" w:ascii="宋体" w:hAnsi="宋体" w:cs="宋体"/>
          <w:sz w:val="24"/>
          <w:szCs w:val="24"/>
        </w:rPr>
        <w:t>1、每季度对于特种设备进行巡检，医用气体系统的压力表（半年校验一次），安全阀（每年校验一次）按期校验，校验费用由院方承担。</w:t>
      </w:r>
    </w:p>
    <w:p w14:paraId="011AFA11">
      <w:pPr>
        <w:spacing w:line="360" w:lineRule="auto"/>
        <w:ind w:firstLine="480" w:firstLineChars="200"/>
        <w:rPr>
          <w:rFonts w:ascii="宋体" w:hAnsi="宋体" w:cs="宋体"/>
          <w:sz w:val="24"/>
          <w:szCs w:val="24"/>
        </w:rPr>
      </w:pPr>
      <w:r>
        <w:rPr>
          <w:rFonts w:hint="eastAsia" w:ascii="宋体" w:hAnsi="宋体" w:cs="宋体"/>
          <w:sz w:val="24"/>
          <w:szCs w:val="24"/>
        </w:rPr>
        <w:t>2、每日对液氧</w:t>
      </w:r>
      <w:r>
        <w:rPr>
          <w:rFonts w:ascii="宋体" w:hAnsi="宋体" w:cs="宋体"/>
          <w:sz w:val="24"/>
          <w:szCs w:val="24"/>
        </w:rPr>
        <w:t>站内在用气源设备巡检，内容包括：液位、压力、站内管路是否存在气体泄漏情况，备用罐要及时通知供应单位充装液氧备用。对在用气化器的结霜情况注意观察，有问题及时处理，保证出口管路不结霜</w:t>
      </w:r>
      <w:r>
        <w:rPr>
          <w:rFonts w:hint="eastAsia" w:ascii="宋体" w:hAnsi="宋体" w:cs="宋体"/>
          <w:sz w:val="24"/>
          <w:szCs w:val="24"/>
        </w:rPr>
        <w:t>。认真、准确、规范做好值班、巡检记录，做好各类气体订货、验收、收发工作，并填写相关记录。</w:t>
      </w:r>
    </w:p>
    <w:p w14:paraId="489A7E03">
      <w:pPr>
        <w:spacing w:line="360" w:lineRule="auto"/>
        <w:ind w:firstLine="480" w:firstLineChars="200"/>
        <w:rPr>
          <w:rFonts w:ascii="宋体" w:hAnsi="宋体" w:cs="宋体"/>
          <w:sz w:val="24"/>
          <w:szCs w:val="24"/>
        </w:rPr>
      </w:pPr>
      <w:r>
        <w:rPr>
          <w:rFonts w:hint="eastAsia" w:ascii="宋体" w:hAnsi="宋体" w:cs="宋体"/>
          <w:sz w:val="24"/>
          <w:szCs w:val="24"/>
        </w:rPr>
        <w:t>3、每日做好真空泵巡检，巡检内容</w:t>
      </w:r>
      <w:r>
        <w:rPr>
          <w:rFonts w:ascii="宋体" w:hAnsi="宋体" w:cs="宋体"/>
          <w:sz w:val="24"/>
          <w:szCs w:val="24"/>
        </w:rPr>
        <w:t>包括：检查设备运行状况</w:t>
      </w:r>
      <w:r>
        <w:rPr>
          <w:rFonts w:hint="eastAsia" w:ascii="宋体" w:hAnsi="宋体" w:cs="宋体"/>
          <w:sz w:val="24"/>
          <w:szCs w:val="24"/>
        </w:rPr>
        <w:t>、</w:t>
      </w:r>
      <w:r>
        <w:rPr>
          <w:rFonts w:ascii="宋体" w:hAnsi="宋体" w:cs="宋体"/>
          <w:sz w:val="24"/>
          <w:szCs w:val="24"/>
        </w:rPr>
        <w:t>压力、油位</w:t>
      </w:r>
      <w:r>
        <w:rPr>
          <w:rFonts w:hint="eastAsia" w:ascii="宋体" w:hAnsi="宋体" w:cs="宋体"/>
          <w:sz w:val="24"/>
          <w:szCs w:val="24"/>
        </w:rPr>
        <w:t>、阀门</w:t>
      </w:r>
      <w:r>
        <w:rPr>
          <w:rFonts w:ascii="宋体" w:hAnsi="宋体" w:cs="宋体"/>
          <w:sz w:val="24"/>
          <w:szCs w:val="24"/>
        </w:rPr>
        <w:t>情况并做好巡检记录。</w:t>
      </w:r>
      <w:r>
        <w:rPr>
          <w:rFonts w:hint="eastAsia" w:ascii="宋体" w:hAnsi="宋体" w:cs="宋体"/>
          <w:sz w:val="24"/>
          <w:szCs w:val="24"/>
        </w:rPr>
        <w:t>每</w:t>
      </w:r>
      <w:r>
        <w:rPr>
          <w:rFonts w:ascii="宋体" w:hAnsi="宋体" w:cs="宋体"/>
          <w:sz w:val="24"/>
          <w:szCs w:val="24"/>
        </w:rPr>
        <w:t>年对真空泵进行一次全面维保</w:t>
      </w:r>
      <w:r>
        <w:rPr>
          <w:rFonts w:hint="eastAsia" w:ascii="宋体" w:hAnsi="宋体" w:cs="宋体"/>
          <w:sz w:val="24"/>
          <w:szCs w:val="24"/>
        </w:rPr>
        <w:t>，更换油气分离器，</w:t>
      </w:r>
      <w:r>
        <w:rPr>
          <w:rFonts w:ascii="宋体" w:hAnsi="宋体" w:cs="宋体"/>
          <w:sz w:val="24"/>
          <w:szCs w:val="24"/>
        </w:rPr>
        <w:t>真空泵润滑油</w:t>
      </w:r>
      <w:r>
        <w:rPr>
          <w:rFonts w:hint="eastAsia" w:ascii="宋体" w:hAnsi="宋体" w:cs="宋体"/>
          <w:sz w:val="24"/>
          <w:szCs w:val="24"/>
        </w:rPr>
        <w:t>，</w:t>
      </w:r>
      <w:r>
        <w:rPr>
          <w:rFonts w:ascii="宋体" w:hAnsi="宋体" w:cs="宋体"/>
          <w:sz w:val="24"/>
          <w:szCs w:val="24"/>
        </w:rPr>
        <w:t>进气过滤器</w:t>
      </w:r>
      <w:r>
        <w:rPr>
          <w:rFonts w:hint="eastAsia" w:ascii="宋体" w:hAnsi="宋体" w:cs="宋体"/>
          <w:sz w:val="24"/>
          <w:szCs w:val="24"/>
        </w:rPr>
        <w:t>，</w:t>
      </w:r>
      <w:r>
        <w:rPr>
          <w:rFonts w:ascii="宋体" w:hAnsi="宋体" w:cs="宋体"/>
          <w:sz w:val="24"/>
          <w:szCs w:val="24"/>
        </w:rPr>
        <w:t>排气过滤器</w:t>
      </w:r>
      <w:r>
        <w:rPr>
          <w:rFonts w:hint="eastAsia" w:ascii="宋体" w:hAnsi="宋体" w:cs="宋体"/>
          <w:sz w:val="24"/>
          <w:szCs w:val="24"/>
        </w:rPr>
        <w:t>，</w:t>
      </w:r>
      <w:r>
        <w:rPr>
          <w:rFonts w:ascii="宋体" w:hAnsi="宋体" w:cs="宋体"/>
          <w:sz w:val="24"/>
          <w:szCs w:val="24"/>
        </w:rPr>
        <w:t>O型圈/垫圈</w:t>
      </w:r>
      <w:r>
        <w:rPr>
          <w:rFonts w:hint="eastAsia" w:ascii="宋体" w:hAnsi="宋体" w:cs="宋体"/>
          <w:sz w:val="24"/>
          <w:szCs w:val="24"/>
        </w:rPr>
        <w:t>，</w:t>
      </w:r>
      <w:r>
        <w:rPr>
          <w:rFonts w:ascii="宋体" w:hAnsi="宋体" w:cs="宋体"/>
          <w:sz w:val="24"/>
          <w:szCs w:val="24"/>
        </w:rPr>
        <w:t>垫片</w:t>
      </w:r>
      <w:r>
        <w:rPr>
          <w:rFonts w:hint="eastAsia" w:ascii="宋体" w:hAnsi="宋体" w:cs="宋体"/>
          <w:sz w:val="24"/>
          <w:szCs w:val="24"/>
        </w:rPr>
        <w:t>，费由受托方承担。要有巡检记录、保养报告。</w:t>
      </w:r>
    </w:p>
    <w:p w14:paraId="2B15C0C6">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医用氧气汇流排作为备用医疗供氧设备，每</w:t>
      </w:r>
      <w:r>
        <w:rPr>
          <w:rFonts w:hint="eastAsia" w:ascii="宋体" w:hAnsi="宋体" w:cs="宋体"/>
          <w:sz w:val="24"/>
          <w:szCs w:val="24"/>
        </w:rPr>
        <w:t>周</w:t>
      </w:r>
      <w:r>
        <w:rPr>
          <w:rFonts w:ascii="宋体" w:hAnsi="宋体" w:cs="宋体"/>
          <w:sz w:val="24"/>
          <w:szCs w:val="24"/>
        </w:rPr>
        <w:t>进行一次设备运行测试，以保证设备处于良好状态</w:t>
      </w:r>
      <w:r>
        <w:rPr>
          <w:rFonts w:hint="eastAsia" w:ascii="宋体" w:hAnsi="宋体" w:cs="宋体"/>
          <w:sz w:val="24"/>
          <w:szCs w:val="24"/>
        </w:rPr>
        <w:t>，每日检查截止阀、汇流排导管、医用氧气满瓶库存数量，如有损坏进行维修更换。要有巡检记录、维修报告。</w:t>
      </w:r>
    </w:p>
    <w:p w14:paraId="19FD1115">
      <w:pPr>
        <w:spacing w:line="360" w:lineRule="auto"/>
        <w:ind w:firstLine="480" w:firstLineChars="200"/>
        <w:rPr>
          <w:rFonts w:ascii="宋体" w:hAnsi="宋体" w:cs="宋体"/>
          <w:sz w:val="24"/>
          <w:szCs w:val="24"/>
        </w:rPr>
      </w:pPr>
      <w:r>
        <w:rPr>
          <w:rFonts w:hint="eastAsia" w:ascii="宋体" w:hAnsi="宋体" w:cs="宋体"/>
          <w:sz w:val="24"/>
          <w:szCs w:val="24"/>
        </w:rPr>
        <w:t>5、每日巡检空气压缩机房设备</w:t>
      </w:r>
      <w:r>
        <w:rPr>
          <w:rFonts w:ascii="宋体" w:hAnsi="宋体" w:cs="宋体"/>
          <w:sz w:val="24"/>
          <w:szCs w:val="24"/>
        </w:rPr>
        <w:t>，巡检内容包括：检查设备运行状况、压力</w:t>
      </w:r>
      <w:r>
        <w:rPr>
          <w:rFonts w:hint="eastAsia" w:ascii="宋体" w:hAnsi="宋体" w:cs="宋体"/>
          <w:sz w:val="24"/>
          <w:szCs w:val="24"/>
        </w:rPr>
        <w:t>、油位、管路阀门；</w:t>
      </w:r>
      <w:r>
        <w:rPr>
          <w:rFonts w:ascii="宋体" w:hAnsi="宋体" w:cs="宋体"/>
          <w:sz w:val="24"/>
          <w:szCs w:val="24"/>
        </w:rPr>
        <w:t>冷干机排水情况；冷媒剩余量</w:t>
      </w:r>
      <w:r>
        <w:rPr>
          <w:rFonts w:hint="eastAsia" w:ascii="宋体" w:hAnsi="宋体" w:cs="宋体"/>
          <w:sz w:val="24"/>
          <w:szCs w:val="24"/>
        </w:rPr>
        <w:t>；过滤器有无多余杂质，</w:t>
      </w:r>
      <w:r>
        <w:rPr>
          <w:rFonts w:ascii="宋体" w:hAnsi="宋体" w:cs="宋体"/>
          <w:sz w:val="24"/>
          <w:szCs w:val="24"/>
        </w:rPr>
        <w:t>并做好巡检记录。</w:t>
      </w:r>
      <w:r>
        <w:rPr>
          <w:rFonts w:hint="eastAsia" w:ascii="宋体" w:hAnsi="宋体" w:cs="宋体"/>
          <w:sz w:val="24"/>
          <w:szCs w:val="24"/>
        </w:rPr>
        <w:t>每</w:t>
      </w:r>
      <w:r>
        <w:rPr>
          <w:rFonts w:ascii="宋体" w:hAnsi="宋体" w:cs="宋体"/>
          <w:sz w:val="24"/>
          <w:szCs w:val="24"/>
        </w:rPr>
        <w:t>年对真空泵进行一次全面维保</w:t>
      </w:r>
      <w:r>
        <w:rPr>
          <w:rFonts w:hint="eastAsia" w:ascii="宋体" w:hAnsi="宋体" w:cs="宋体"/>
          <w:sz w:val="24"/>
          <w:szCs w:val="24"/>
        </w:rPr>
        <w:t>，更换空气过滤器，</w:t>
      </w:r>
      <w:r>
        <w:rPr>
          <w:rFonts w:ascii="宋体" w:hAnsi="宋体" w:cs="宋体"/>
          <w:sz w:val="24"/>
          <w:szCs w:val="24"/>
        </w:rPr>
        <w:t>油气过滤器</w:t>
      </w:r>
      <w:r>
        <w:rPr>
          <w:rFonts w:hint="eastAsia" w:ascii="宋体" w:hAnsi="宋体" w:cs="宋体"/>
          <w:sz w:val="24"/>
          <w:szCs w:val="24"/>
        </w:rPr>
        <w:t>，</w:t>
      </w:r>
      <w:r>
        <w:rPr>
          <w:rFonts w:ascii="宋体" w:hAnsi="宋体" w:cs="宋体"/>
          <w:sz w:val="24"/>
          <w:szCs w:val="24"/>
        </w:rPr>
        <w:t>油气分离器</w:t>
      </w:r>
      <w:r>
        <w:rPr>
          <w:rFonts w:hint="eastAsia" w:ascii="宋体" w:hAnsi="宋体" w:cs="宋体"/>
          <w:sz w:val="24"/>
          <w:szCs w:val="24"/>
        </w:rPr>
        <w:t>，</w:t>
      </w:r>
      <w:r>
        <w:rPr>
          <w:rFonts w:ascii="宋体" w:hAnsi="宋体" w:cs="宋体"/>
          <w:sz w:val="24"/>
          <w:szCs w:val="24"/>
        </w:rPr>
        <w:t>空压机专用机油</w:t>
      </w:r>
      <w:r>
        <w:rPr>
          <w:rFonts w:hint="eastAsia" w:ascii="宋体" w:hAnsi="宋体" w:cs="宋体"/>
          <w:sz w:val="24"/>
          <w:szCs w:val="24"/>
        </w:rPr>
        <w:t>，</w:t>
      </w:r>
      <w:r>
        <w:rPr>
          <w:rFonts w:ascii="宋体" w:hAnsi="宋体" w:cs="宋体"/>
          <w:sz w:val="24"/>
          <w:szCs w:val="24"/>
        </w:rPr>
        <w:t>卸荷阀保养包</w:t>
      </w:r>
      <w:r>
        <w:rPr>
          <w:rFonts w:hint="eastAsia" w:ascii="宋体" w:hAnsi="宋体" w:cs="宋体"/>
          <w:sz w:val="24"/>
          <w:szCs w:val="24"/>
        </w:rPr>
        <w:t>，</w:t>
      </w:r>
      <w:r>
        <w:rPr>
          <w:rFonts w:ascii="宋体" w:hAnsi="宋体" w:cs="宋体"/>
          <w:sz w:val="24"/>
          <w:szCs w:val="24"/>
        </w:rPr>
        <w:t>恒温阀</w:t>
      </w:r>
      <w:r>
        <w:rPr>
          <w:rFonts w:hint="eastAsia" w:ascii="宋体" w:hAnsi="宋体" w:cs="宋体"/>
          <w:sz w:val="24"/>
          <w:szCs w:val="24"/>
        </w:rPr>
        <w:t>，</w:t>
      </w:r>
      <w:r>
        <w:rPr>
          <w:rFonts w:ascii="宋体" w:hAnsi="宋体" w:cs="宋体"/>
          <w:sz w:val="24"/>
          <w:szCs w:val="24"/>
        </w:rPr>
        <w:t>最小压力阀</w:t>
      </w:r>
      <w:r>
        <w:rPr>
          <w:rFonts w:hint="eastAsia" w:ascii="宋体" w:hAnsi="宋体" w:cs="宋体"/>
          <w:sz w:val="24"/>
          <w:szCs w:val="24"/>
        </w:rPr>
        <w:t>，</w:t>
      </w:r>
      <w:r>
        <w:rPr>
          <w:rFonts w:ascii="宋体" w:hAnsi="宋体" w:cs="宋体"/>
          <w:sz w:val="24"/>
          <w:szCs w:val="24"/>
        </w:rPr>
        <w:t>管道精密过滤器滤芯</w:t>
      </w:r>
      <w:r>
        <w:rPr>
          <w:rFonts w:hint="eastAsia" w:ascii="宋体" w:hAnsi="宋体" w:cs="宋体"/>
          <w:sz w:val="24"/>
          <w:szCs w:val="24"/>
        </w:rPr>
        <w:t>，</w:t>
      </w:r>
      <w:r>
        <w:rPr>
          <w:rFonts w:ascii="宋体" w:hAnsi="宋体" w:cs="宋体"/>
          <w:sz w:val="24"/>
          <w:szCs w:val="24"/>
        </w:rPr>
        <w:t>冷干机检查加冷媒</w:t>
      </w:r>
      <w:r>
        <w:rPr>
          <w:rFonts w:hint="eastAsia" w:ascii="宋体" w:hAnsi="宋体" w:cs="宋体"/>
          <w:sz w:val="24"/>
          <w:szCs w:val="24"/>
        </w:rPr>
        <w:t>（随时补充），费由受托方承担。要有巡检记录、保养报告。</w:t>
      </w:r>
    </w:p>
    <w:p w14:paraId="2CA03172">
      <w:pPr>
        <w:spacing w:line="360" w:lineRule="auto"/>
        <w:ind w:firstLine="480" w:firstLineChars="200"/>
        <w:rPr>
          <w:rFonts w:ascii="宋体" w:hAnsi="宋体" w:cs="宋体"/>
          <w:sz w:val="24"/>
          <w:szCs w:val="24"/>
        </w:rPr>
      </w:pPr>
      <w:r>
        <w:rPr>
          <w:rFonts w:hint="eastAsia" w:ascii="宋体" w:hAnsi="宋体" w:cs="宋体"/>
          <w:sz w:val="24"/>
          <w:szCs w:val="24"/>
        </w:rPr>
        <w:t>6、每月对全院医用气体管道及氧气终端、负压终端、压缩空气终端、二氧化碳终端、笑气终端等进行一次巡检，及时更换和维修。要有巡检记录、维修报告。</w:t>
      </w:r>
    </w:p>
    <w:p w14:paraId="3DCBA7FD">
      <w:pPr>
        <w:spacing w:line="360" w:lineRule="auto"/>
        <w:ind w:firstLine="480" w:firstLineChars="200"/>
        <w:rPr>
          <w:rFonts w:ascii="宋体" w:hAnsi="宋体" w:cs="宋体"/>
          <w:sz w:val="24"/>
          <w:szCs w:val="24"/>
        </w:rPr>
      </w:pPr>
      <w:r>
        <w:rPr>
          <w:rFonts w:hint="eastAsia" w:ascii="宋体" w:hAnsi="宋体" w:cs="宋体"/>
          <w:sz w:val="24"/>
          <w:szCs w:val="24"/>
        </w:rPr>
        <w:t>7、超过（包含）3天的节假日，放假前必须对于医用气体系统进行全面检查。</w:t>
      </w:r>
    </w:p>
    <w:p w14:paraId="510FF210">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3662B1D5">
      <w:pPr>
        <w:tabs>
          <w:tab w:val="left" w:pos="480"/>
        </w:tabs>
        <w:spacing w:line="360" w:lineRule="auto"/>
        <w:rPr>
          <w:rFonts w:ascii="宋体" w:hAnsi="宋体" w:cs="宋体"/>
          <w:sz w:val="24"/>
          <w:szCs w:val="24"/>
        </w:rPr>
      </w:pPr>
      <w:r>
        <w:rPr>
          <w:rFonts w:hint="eastAsia" w:ascii="宋体" w:hAnsi="宋体" w:cs="宋体"/>
          <w:sz w:val="24"/>
          <w:szCs w:val="24"/>
        </w:rPr>
        <w:t>（一）备品备件技术资料：</w:t>
      </w:r>
    </w:p>
    <w:p w14:paraId="0BA3B28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44AE2A31">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65D13C25">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4310DEF9">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429AED0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068E705F">
      <w:pPr>
        <w:tabs>
          <w:tab w:val="left" w:pos="480"/>
        </w:tabs>
        <w:spacing w:line="360" w:lineRule="auto"/>
        <w:rPr>
          <w:rFonts w:ascii="宋体" w:hAnsi="宋体" w:cs="宋体"/>
          <w:sz w:val="24"/>
          <w:szCs w:val="24"/>
        </w:rPr>
      </w:pPr>
      <w:r>
        <w:rPr>
          <w:rFonts w:hint="eastAsia" w:ascii="宋体" w:hAnsi="宋体" w:cs="宋体"/>
          <w:sz w:val="24"/>
          <w:szCs w:val="24"/>
        </w:rPr>
        <w:t>（二）培训：乙方须在设备维修调试完成后对甲方操作人员进行完整使用、保养等培训，是否完成培训视为货物验收必备条件之一；</w:t>
      </w:r>
    </w:p>
    <w:p w14:paraId="51020D38">
      <w:pPr>
        <w:tabs>
          <w:tab w:val="left" w:pos="480"/>
        </w:tabs>
        <w:spacing w:line="360" w:lineRule="auto"/>
        <w:rPr>
          <w:rFonts w:ascii="宋体" w:hAnsi="宋体" w:cs="宋体"/>
          <w:sz w:val="24"/>
          <w:szCs w:val="24"/>
        </w:rPr>
      </w:pPr>
      <w:r>
        <w:rPr>
          <w:rFonts w:hint="eastAsia" w:ascii="宋体" w:hAnsi="宋体" w:cs="宋体"/>
          <w:sz w:val="24"/>
          <w:szCs w:val="24"/>
        </w:rPr>
        <w:t>（三）对技术服务的要求：乙方需按照医疗设备产品手册对设备定期进行维护保养。</w:t>
      </w:r>
    </w:p>
    <w:p w14:paraId="353319F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1、医用气体设施巡视检查由服务商遵循《医用气体系统运行管理》（</w:t>
      </w:r>
      <w:r>
        <w:rPr>
          <w:rFonts w:ascii="宋体" w:hAnsi="宋体" w:cs="宋体"/>
          <w:sz w:val="24"/>
          <w:szCs w:val="24"/>
        </w:rPr>
        <w:t>WS 435-2013</w:t>
      </w:r>
      <w:r>
        <w:rPr>
          <w:rFonts w:hint="eastAsia" w:ascii="宋体" w:hAnsi="宋体" w:cs="宋体"/>
          <w:sz w:val="24"/>
          <w:szCs w:val="24"/>
        </w:rPr>
        <w:t>）、《医用气体工程技术规范》（</w:t>
      </w:r>
      <w:r>
        <w:rPr>
          <w:rFonts w:ascii="宋体" w:hAnsi="宋体" w:cs="宋体"/>
          <w:sz w:val="24"/>
          <w:szCs w:val="24"/>
        </w:rPr>
        <w:t>GB 50751-2012</w:t>
      </w:r>
      <w:r>
        <w:rPr>
          <w:rFonts w:hint="eastAsia" w:ascii="宋体" w:hAnsi="宋体" w:cs="宋体"/>
          <w:sz w:val="24"/>
          <w:szCs w:val="24"/>
        </w:rPr>
        <w:t>）的有关规定实施。</w:t>
      </w:r>
    </w:p>
    <w:p w14:paraId="36C916F8">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2、建立医用气体系统运行故障报告和故障消除的登记制度。发生故障，供应商应当及时组织修复。因故障、维修等原因，需要暂时停用的，应当采取有效措施确保安全。</w:t>
      </w:r>
    </w:p>
    <w:p w14:paraId="43C5A655">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3、服务商从事医用气体工技术人员，应当相关部门考试合格，且有五年以上工作经验，持证上岗。</w:t>
      </w:r>
    </w:p>
    <w:p w14:paraId="2EFDA9D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4、服务商提供检查记录表和年度检验报告，应由供应商专业维修维保人员和甲方负责人签字认可。</w:t>
      </w:r>
    </w:p>
    <w:p w14:paraId="2DBFB20D">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5、巡视检查一般要求：组织医疗气体系统巡视检查；空压机房、负压机房设备运行情况记录；二级减压箱、压力监测箱运行情况；三气体终端及设备使用情况。</w:t>
      </w:r>
    </w:p>
    <w:p w14:paraId="4EDA025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6、巡视检查内容：空压机房设备运行情况、负压吸引机房设备运行情况；医用气体管道系统（管道、阀门、仪表、二级减压箱、报警装置）；病房内气体终端（品牌：上海捷锐），氧气终端、负压终端、空气终端。</w:t>
      </w:r>
    </w:p>
    <w:p w14:paraId="686A2DF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7、巡视检查记录：测试方法和技术要求应依照《医用气体系统运行管理》、《医用气体工程技术规范》；机房设备每日巡检，并由医院主管人员签字；三气设备带每月巡检，并由值班护士签字确认；应急维修单应由相关科室人员签字确认；所有维修、维保、巡检做好相关记录；每个季度应做一次总结，并形成书面记录交与主管部门相关人员；在巡检过程中，如发现问题，应第一时间书面形式告知甲方，并提供相关解决方案。</w:t>
      </w:r>
    </w:p>
    <w:p w14:paraId="24132C72">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8、服务商应根据本项目的情况编制详细的《医用气体系统维修保养方案》。</w:t>
      </w:r>
    </w:p>
    <w:p w14:paraId="7400847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9、服务商每月需提供月度维护保养工作报告，以及每年一次的设备保养报告。</w:t>
      </w:r>
    </w:p>
    <w:p w14:paraId="486117CA">
      <w:pPr>
        <w:tabs>
          <w:tab w:val="left" w:pos="480"/>
        </w:tabs>
        <w:spacing w:line="360" w:lineRule="auto"/>
        <w:ind w:firstLine="480" w:firstLineChars="200"/>
        <w:rPr>
          <w:rFonts w:hint="eastAsia" w:ascii="宋体" w:hAnsi="宋体" w:cs="宋体"/>
          <w:sz w:val="24"/>
          <w:szCs w:val="24"/>
        </w:rPr>
      </w:pPr>
      <w:r>
        <w:rPr>
          <w:rFonts w:hint="eastAsia" w:ascii="宋体" w:hAnsi="宋体" w:cs="宋体"/>
          <w:sz w:val="24"/>
          <w:szCs w:val="24"/>
        </w:rPr>
        <w:t>10、服务商需在维护保养方案中提供应急预案，并提供应急响应电话及到达时间。</w:t>
      </w:r>
    </w:p>
    <w:p w14:paraId="415CD3C1">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6E6C22F6">
      <w:pPr>
        <w:tabs>
          <w:tab w:val="left" w:pos="480"/>
        </w:tabs>
        <w:spacing w:line="360" w:lineRule="auto"/>
        <w:rPr>
          <w:rFonts w:hint="eastAsia" w:ascii="宋体" w:hAnsi="宋体" w:cs="宋体"/>
          <w:sz w:val="24"/>
          <w:szCs w:val="24"/>
        </w:rPr>
      </w:pPr>
      <w:r>
        <w:rPr>
          <w:rFonts w:hint="eastAsia" w:ascii="宋体" w:hAnsi="宋体" w:cs="宋体"/>
          <w:sz w:val="24"/>
          <w:szCs w:val="24"/>
        </w:rPr>
        <w:t>（一）维修完成后，由甲乙双方共同验收。</w:t>
      </w:r>
    </w:p>
    <w:p w14:paraId="0C6EC3F4">
      <w:pPr>
        <w:tabs>
          <w:tab w:val="left" w:pos="480"/>
        </w:tabs>
        <w:spacing w:line="360" w:lineRule="auto"/>
        <w:rPr>
          <w:rFonts w:hint="eastAsia" w:ascii="宋体" w:hAnsi="宋体" w:cs="宋体"/>
          <w:sz w:val="24"/>
          <w:szCs w:val="24"/>
        </w:rPr>
      </w:pPr>
      <w:r>
        <w:rPr>
          <w:rFonts w:hint="eastAsia" w:ascii="宋体" w:hAnsi="宋体" w:cs="宋体"/>
          <w:sz w:val="24"/>
          <w:szCs w:val="24"/>
        </w:rPr>
        <w:t>（二）乙方向甲方提交设备维修过程中的所有资料及换下的故障配件。</w:t>
      </w:r>
    </w:p>
    <w:p w14:paraId="3EEF99FC">
      <w:pPr>
        <w:tabs>
          <w:tab w:val="left" w:pos="480"/>
        </w:tabs>
        <w:spacing w:line="360" w:lineRule="auto"/>
        <w:rPr>
          <w:rFonts w:ascii="宋体" w:hAnsi="宋体" w:cs="宋体"/>
          <w:sz w:val="24"/>
          <w:szCs w:val="24"/>
        </w:rPr>
      </w:pPr>
      <w:r>
        <w:rPr>
          <w:rFonts w:hint="eastAsia" w:ascii="宋体" w:hAnsi="宋体" w:cs="宋体"/>
          <w:sz w:val="24"/>
          <w:szCs w:val="24"/>
        </w:rPr>
        <w:t>（三）验收标准：以甲方要求为准。</w:t>
      </w:r>
    </w:p>
    <w:p w14:paraId="06657D0E">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631001C8">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0E0F8B90">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15337B9C">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22840C0D">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1205D730">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4FC2CE5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134A1F94">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2EB1CF21">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本合同一式陆份，甲方肆份，乙方、见证方各执壹份，本合同自甲方、乙方、见证方三方签字盖章之日起生效，原厂维修保养服务期结束后，自动终止（但合同的服务承诺除外）。</w:t>
      </w:r>
    </w:p>
    <w:bookmarkEnd w:id="0"/>
    <w:p w14:paraId="4279B670">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580F5385">
      <w:pPr>
        <w:tabs>
          <w:tab w:val="left" w:pos="480"/>
        </w:tabs>
        <w:spacing w:line="360" w:lineRule="auto"/>
        <w:rPr>
          <w:rFonts w:ascii="宋体" w:hAnsi="宋体" w:cs="宋体"/>
          <w:sz w:val="24"/>
          <w:szCs w:val="24"/>
        </w:rPr>
      </w:pPr>
      <w:r>
        <w:rPr>
          <w:rFonts w:hint="eastAsia" w:ascii="宋体" w:hAnsi="宋体" w:cs="宋体"/>
          <w:sz w:val="24"/>
          <w:szCs w:val="24"/>
        </w:rPr>
        <w:t>（一）见证方作为政府集中采购代理机构对合同进行确认。</w:t>
      </w:r>
    </w:p>
    <w:p w14:paraId="0AEE7978">
      <w:pPr>
        <w:tabs>
          <w:tab w:val="left" w:pos="480"/>
        </w:tabs>
        <w:spacing w:line="360" w:lineRule="auto"/>
        <w:rPr>
          <w:rFonts w:ascii="宋体" w:hAnsi="宋体" w:cs="宋体"/>
          <w:sz w:val="24"/>
          <w:szCs w:val="24"/>
        </w:rPr>
      </w:pPr>
      <w:r>
        <w:rPr>
          <w:rFonts w:hint="eastAsia" w:ascii="宋体" w:hAnsi="宋体" w:cs="宋体"/>
          <w:sz w:val="24"/>
          <w:szCs w:val="24"/>
        </w:rPr>
        <w:t>（二）西安市财政局政府采购管理处在合同的履行期间以及履行期后，可以随时检查项目的执行情况，对采购内容、标准进行调查核实，并对发现的问题进行处理。</w:t>
      </w:r>
    </w:p>
    <w:p w14:paraId="2B19669A">
      <w:pPr>
        <w:tabs>
          <w:tab w:val="left" w:pos="480"/>
        </w:tabs>
        <w:spacing w:line="360" w:lineRule="auto"/>
        <w:rPr>
          <w:rFonts w:ascii="宋体" w:hAnsi="宋体" w:cs="宋体"/>
          <w:sz w:val="24"/>
          <w:szCs w:val="24"/>
        </w:rPr>
      </w:pPr>
      <w:r>
        <w:rPr>
          <w:rFonts w:hint="eastAsia" w:ascii="宋体" w:hAnsi="宋体" w:cs="宋体"/>
          <w:sz w:val="24"/>
          <w:szCs w:val="24"/>
        </w:rPr>
        <w:t>（三）招标文件、投标文件、澄清表（函）、中标通知书、合同附件均成为合同不可分割的部分。</w:t>
      </w:r>
    </w:p>
    <w:p w14:paraId="706B02DF">
      <w:pPr>
        <w:tabs>
          <w:tab w:val="left" w:pos="480"/>
        </w:tabs>
        <w:spacing w:line="360" w:lineRule="auto"/>
        <w:rPr>
          <w:rFonts w:ascii="宋体" w:hAnsi="宋体" w:cs="宋体"/>
          <w:sz w:val="24"/>
          <w:szCs w:val="24"/>
        </w:rPr>
      </w:pPr>
      <w:r>
        <w:rPr>
          <w:rFonts w:hint="eastAsia" w:ascii="宋体" w:hAnsi="宋体" w:cs="宋体"/>
          <w:sz w:val="24"/>
          <w:szCs w:val="24"/>
        </w:rPr>
        <w:t>（四）合同未尽事宜，由甲、乙双方协商，经见证方确认后，签订补充协议，与本合同具有同等法律效力。补充协议与本合同不一致的，以补充协议为准。</w:t>
      </w:r>
    </w:p>
    <w:p w14:paraId="0472016E">
      <w:pPr>
        <w:tabs>
          <w:tab w:val="left" w:pos="480"/>
        </w:tabs>
        <w:spacing w:line="360" w:lineRule="auto"/>
        <w:rPr>
          <w:rFonts w:ascii="宋体" w:hAnsi="宋体" w:cs="宋体"/>
          <w:sz w:val="24"/>
          <w:szCs w:val="24"/>
        </w:rPr>
      </w:pPr>
      <w:r>
        <w:rPr>
          <w:rFonts w:hint="eastAsia" w:ascii="宋体" w:hAnsi="宋体" w:cs="宋体"/>
          <w:sz w:val="24"/>
          <w:szCs w:val="24"/>
        </w:rPr>
        <w:t>（五）合同一经签订，不得擅自变更、中止或终止合同。对确需变更、调整或中止、终止合同的，有法律规定的按照法律规定，除合同约定外，由甲乙双方再行协商，协商一致前，原合同或条款继续履行。</w:t>
      </w:r>
    </w:p>
    <w:p w14:paraId="431172C6">
      <w:pPr>
        <w:tabs>
          <w:tab w:val="left" w:pos="480"/>
        </w:tabs>
        <w:spacing w:line="360" w:lineRule="auto"/>
        <w:rPr>
          <w:rFonts w:ascii="宋体" w:hAnsi="宋体" w:cs="宋体"/>
          <w:sz w:val="24"/>
          <w:szCs w:val="24"/>
        </w:rPr>
      </w:pPr>
      <w:r>
        <w:rPr>
          <w:rFonts w:hint="eastAsia" w:ascii="宋体" w:hAnsi="宋体" w:cs="宋体"/>
          <w:sz w:val="24"/>
          <w:szCs w:val="24"/>
        </w:rPr>
        <w:t>（六）本合同按照中华人民共和国的现行法律进行解释。</w:t>
      </w:r>
    </w:p>
    <w:p w14:paraId="1AB323E0">
      <w:pPr>
        <w:tabs>
          <w:tab w:val="left" w:pos="480"/>
        </w:tabs>
        <w:spacing w:line="360" w:lineRule="auto"/>
        <w:rPr>
          <w:rFonts w:ascii="宋体" w:hAnsi="宋体" w:cs="宋体"/>
          <w:sz w:val="24"/>
          <w:szCs w:val="24"/>
        </w:rPr>
      </w:pPr>
      <w:r>
        <w:rPr>
          <w:rFonts w:hint="eastAsia" w:ascii="宋体" w:hAnsi="宋体" w:cs="宋体"/>
          <w:sz w:val="24"/>
          <w:szCs w:val="24"/>
        </w:rPr>
        <w:t>（七）本合同附件作为本合同的组成部分，与本合同具有同等法律效力。</w:t>
      </w:r>
    </w:p>
    <w:p w14:paraId="147294DF">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68760CCF">
      <w:pPr>
        <w:tabs>
          <w:tab w:val="left" w:pos="480"/>
        </w:tabs>
        <w:spacing w:line="360" w:lineRule="auto"/>
        <w:rPr>
          <w:rFonts w:ascii="宋体" w:hAnsi="宋体" w:cs="宋体"/>
          <w:sz w:val="24"/>
          <w:szCs w:val="24"/>
        </w:rPr>
      </w:pPr>
    </w:p>
    <w:p w14:paraId="08F9C021">
      <w:pPr>
        <w:pStyle w:val="25"/>
        <w:rPr>
          <w:rFonts w:ascii="宋体" w:hAnsi="宋体" w:cs="宋体"/>
          <w:sz w:val="24"/>
          <w:szCs w:val="24"/>
        </w:rPr>
      </w:pPr>
    </w:p>
    <w:p w14:paraId="2A8CFD06">
      <w:pPr>
        <w:pStyle w:val="25"/>
        <w:rPr>
          <w:rFonts w:ascii="宋体" w:hAnsi="宋体" w:cs="宋体"/>
          <w:sz w:val="24"/>
          <w:szCs w:val="24"/>
        </w:rPr>
      </w:pPr>
    </w:p>
    <w:p w14:paraId="74DD26EE">
      <w:pPr>
        <w:pStyle w:val="25"/>
        <w:rPr>
          <w:rFonts w:ascii="宋体" w:hAnsi="宋体" w:cs="宋体"/>
          <w:sz w:val="24"/>
          <w:szCs w:val="24"/>
        </w:rPr>
      </w:pPr>
    </w:p>
    <w:p w14:paraId="484F6181">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400291B2">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单位名称:XXXXXXX</w:t>
      </w:r>
    </w:p>
    <w:p w14:paraId="1438B03C">
      <w:pPr>
        <w:tabs>
          <w:tab w:val="left" w:pos="480"/>
        </w:tabs>
        <w:spacing w:line="360" w:lineRule="auto"/>
        <w:ind w:left="5280" w:hanging="5280" w:hangingChars="2200"/>
        <w:rPr>
          <w:rFonts w:ascii="宋体" w:hAnsi="宋体" w:cs="宋体"/>
          <w:sz w:val="24"/>
          <w:szCs w:val="24"/>
        </w:rPr>
      </w:pPr>
      <w:r>
        <w:rPr>
          <w:rFonts w:hint="eastAsia" w:ascii="宋体" w:hAnsi="宋体" w:cs="宋体"/>
          <w:sz w:val="24"/>
          <w:szCs w:val="24"/>
        </w:rPr>
        <w:t>地  址：西安市凤城三路东段10号     地  址：XXXXXXXX</w:t>
      </w:r>
    </w:p>
    <w:p w14:paraId="31527F3B">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16C366A9">
      <w:pPr>
        <w:tabs>
          <w:tab w:val="left" w:pos="480"/>
        </w:tabs>
        <w:spacing w:line="360" w:lineRule="auto"/>
        <w:rPr>
          <w:rFonts w:ascii="宋体" w:hAnsi="宋体" w:cs="宋体"/>
          <w:sz w:val="24"/>
          <w:szCs w:val="24"/>
        </w:rPr>
      </w:pPr>
    </w:p>
    <w:p w14:paraId="2A300ECD">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开户银行:XXXXXX</w:t>
      </w:r>
    </w:p>
    <w:p w14:paraId="2ACB813E">
      <w:pPr>
        <w:tabs>
          <w:tab w:val="left" w:pos="480"/>
        </w:tabs>
        <w:spacing w:line="360" w:lineRule="auto"/>
        <w:rPr>
          <w:rFonts w:ascii="宋体" w:hAnsi="宋体" w:cs="宋体"/>
          <w:sz w:val="24"/>
          <w:szCs w:val="24"/>
        </w:rPr>
      </w:pPr>
      <w:r>
        <w:rPr>
          <w:rFonts w:hint="eastAsia" w:ascii="宋体" w:hAnsi="宋体" w:cs="宋体"/>
          <w:sz w:val="24"/>
          <w:szCs w:val="24"/>
        </w:rPr>
        <w:t xml:space="preserve">                                    账   号：XXXXX</w:t>
      </w:r>
    </w:p>
    <w:p w14:paraId="4F199338">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65678C4F">
      <w:pPr>
        <w:tabs>
          <w:tab w:val="left" w:pos="480"/>
        </w:tabs>
        <w:spacing w:line="360" w:lineRule="auto"/>
        <w:ind w:firstLine="480" w:firstLineChars="200"/>
        <w:rPr>
          <w:rFonts w:ascii="宋体" w:hAnsi="宋体" w:cs="宋体"/>
          <w:sz w:val="24"/>
          <w:szCs w:val="24"/>
        </w:rPr>
      </w:pPr>
    </w:p>
    <w:p w14:paraId="67CBFD79">
      <w:pPr>
        <w:tabs>
          <w:tab w:val="left" w:pos="480"/>
        </w:tabs>
        <w:spacing w:line="360" w:lineRule="auto"/>
        <w:rPr>
          <w:rFonts w:ascii="宋体" w:hAnsi="宋体" w:cs="宋体"/>
          <w:sz w:val="24"/>
          <w:szCs w:val="24"/>
        </w:rPr>
      </w:pPr>
    </w:p>
    <w:p w14:paraId="09E2F489">
      <w:pPr>
        <w:tabs>
          <w:tab w:val="left" w:pos="480"/>
        </w:tabs>
        <w:spacing w:line="360" w:lineRule="auto"/>
        <w:rPr>
          <w:rFonts w:ascii="宋体" w:hAnsi="宋体" w:cs="宋体"/>
          <w:sz w:val="24"/>
          <w:szCs w:val="24"/>
        </w:rPr>
      </w:pPr>
      <w:r>
        <w:rPr>
          <w:rFonts w:hint="eastAsia" w:ascii="宋体" w:hAnsi="宋体" w:cs="宋体"/>
          <w:sz w:val="24"/>
          <w:szCs w:val="24"/>
        </w:rPr>
        <w:t>见证方（业务专用章）</w:t>
      </w:r>
    </w:p>
    <w:p w14:paraId="57E19081">
      <w:pPr>
        <w:tabs>
          <w:tab w:val="left" w:pos="480"/>
        </w:tabs>
        <w:spacing w:line="360" w:lineRule="auto"/>
        <w:rPr>
          <w:rFonts w:ascii="宋体" w:hAnsi="宋体" w:cs="宋体"/>
          <w:sz w:val="24"/>
          <w:szCs w:val="24"/>
        </w:rPr>
      </w:pPr>
      <w:r>
        <w:rPr>
          <w:rFonts w:hint="eastAsia" w:ascii="宋体" w:hAnsi="宋体" w:cs="宋体"/>
          <w:sz w:val="24"/>
          <w:szCs w:val="24"/>
        </w:rPr>
        <w:t>单位名称：XXXXX</w:t>
      </w:r>
    </w:p>
    <w:p w14:paraId="7970B641">
      <w:pPr>
        <w:tabs>
          <w:tab w:val="left" w:pos="480"/>
        </w:tabs>
        <w:spacing w:line="360" w:lineRule="auto"/>
        <w:rPr>
          <w:rFonts w:ascii="宋体" w:hAnsi="宋体" w:cs="宋体"/>
          <w:sz w:val="24"/>
          <w:szCs w:val="24"/>
        </w:rPr>
      </w:pPr>
      <w:r>
        <w:rPr>
          <w:rFonts w:hint="eastAsia" w:ascii="宋体" w:hAnsi="宋体" w:cs="宋体"/>
          <w:sz w:val="24"/>
          <w:szCs w:val="24"/>
        </w:rPr>
        <w:t>地  址：XXXXXXX</w:t>
      </w:r>
    </w:p>
    <w:p w14:paraId="07DEF0F0">
      <w:pPr>
        <w:tabs>
          <w:tab w:val="left" w:pos="480"/>
        </w:tabs>
        <w:spacing w:line="360" w:lineRule="auto"/>
        <w:rPr>
          <w:rFonts w:ascii="宋体" w:hAnsi="宋体" w:cs="宋体"/>
          <w:sz w:val="24"/>
          <w:szCs w:val="24"/>
        </w:rPr>
      </w:pPr>
      <w:r>
        <w:rPr>
          <w:rFonts w:hint="eastAsia" w:ascii="宋体" w:hAnsi="宋体" w:cs="宋体"/>
          <w:sz w:val="24"/>
          <w:szCs w:val="24"/>
        </w:rPr>
        <w:t>法定代表人：（盖章）</w:t>
      </w:r>
    </w:p>
    <w:p w14:paraId="0AA71D92">
      <w:pPr>
        <w:tabs>
          <w:tab w:val="left" w:pos="480"/>
        </w:tabs>
        <w:spacing w:line="360" w:lineRule="auto"/>
        <w:rPr>
          <w:rFonts w:ascii="宋体" w:hAnsi="宋体" w:cs="宋体"/>
          <w:sz w:val="24"/>
          <w:szCs w:val="24"/>
        </w:rPr>
      </w:pPr>
    </w:p>
    <w:p w14:paraId="3E8191F6">
      <w:pPr>
        <w:tabs>
          <w:tab w:val="left" w:pos="480"/>
        </w:tabs>
        <w:spacing w:line="360" w:lineRule="auto"/>
        <w:rPr>
          <w:rFonts w:hint="eastAsia" w:ascii="宋体" w:hAnsi="宋体" w:cs="宋体"/>
          <w:sz w:val="24"/>
          <w:szCs w:val="24"/>
        </w:rPr>
      </w:pPr>
      <w:r>
        <w:rPr>
          <w:rFonts w:hint="eastAsia" w:ascii="宋体" w:hAnsi="宋体" w:cs="宋体"/>
          <w:sz w:val="24"/>
          <w:szCs w:val="24"/>
        </w:rPr>
        <w:t>签订日期：  年  月  日</w:t>
      </w:r>
    </w:p>
    <w:p w14:paraId="14CDF7D0">
      <w:pPr>
        <w:pStyle w:val="2"/>
        <w:rPr>
          <w:rFonts w:hint="eastAsia"/>
        </w:rPr>
        <w:sectPr>
          <w:footerReference r:id="rId4" w:type="default"/>
          <w:footerReference r:id="rId5" w:type="even"/>
          <w:pgSz w:w="11906" w:h="16838"/>
          <w:pgMar w:top="1418" w:right="1418" w:bottom="1418" w:left="1418" w:header="851" w:footer="992" w:gutter="0"/>
          <w:cols w:space="720" w:num="1"/>
          <w:docGrid w:type="lines" w:linePitch="312" w:charSpace="0"/>
        </w:sectPr>
      </w:pPr>
    </w:p>
    <w:p w14:paraId="5413FEA2">
      <w:pPr>
        <w:pStyle w:val="21"/>
        <w:snapToGrid w:val="0"/>
        <w:spacing w:line="312" w:lineRule="auto"/>
        <w:jc w:val="both"/>
        <w:rPr>
          <w:rFonts w:hint="eastAsia" w:cs="Times New Roman"/>
        </w:rPr>
      </w:pPr>
      <w:r>
        <w:rPr>
          <w:rFonts w:hint="eastAsia" w:cs="Times New Roman"/>
        </w:rPr>
        <w:t>附件一：医院指定运维的医疗设备清单</w:t>
      </w:r>
    </w:p>
    <w:p w14:paraId="4BD58407">
      <w:pPr>
        <w:pStyle w:val="21"/>
        <w:snapToGrid w:val="0"/>
        <w:spacing w:line="312" w:lineRule="auto"/>
        <w:jc w:val="both"/>
        <w:rPr>
          <w:rFonts w:hint="eastAsia" w:cs="Times New Roman"/>
          <w:b/>
          <w:bCs/>
          <w:sz w:val="32"/>
          <w:szCs w:val="32"/>
        </w:rPr>
      </w:pPr>
      <w:r>
        <w:rPr>
          <w:rFonts w:hint="eastAsia" w:cs="Times New Roman"/>
        </w:rPr>
        <w:t>附件二：医院指定运维的低易品清单</w:t>
      </w:r>
    </w:p>
    <w:p w14:paraId="7765768A"/>
    <w:sectPr>
      <w:pgSz w:w="16838" w:h="11906" w:orient="landscape"/>
      <w:pgMar w:top="1417" w:right="1418" w:bottom="1417"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3"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Arial Narrow">
    <w:altName w:val="Arial"/>
    <w:panose1 w:val="020B0606020202030204"/>
    <w:charset w:val="00"/>
    <w:family w:val="swiss"/>
    <w:pitch w:val="default"/>
    <w:sig w:usb0="00000287" w:usb1="00000800" w:usb2="00000000" w:usb3="00000000" w:csb0="000000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B0604020202020204"/>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5701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AB619">
    <w:pPr>
      <w:pStyle w:val="2"/>
      <w:framePr w:wrap="around" w:vAnchor="text" w:hAnchor="margin" w:xAlign="right" w:y="1"/>
      <w:rPr>
        <w:rStyle w:val="30"/>
      </w:rPr>
    </w:pPr>
    <w:r>
      <w:fldChar w:fldCharType="begin"/>
    </w:r>
    <w:r>
      <w:rPr>
        <w:rStyle w:val="30"/>
      </w:rPr>
      <w:instrText xml:space="preserve">PAGE  </w:instrText>
    </w:r>
    <w:r>
      <w:fldChar w:fldCharType="separate"/>
    </w:r>
    <w:r>
      <w:fldChar w:fldCharType="end"/>
    </w:r>
  </w:p>
  <w:p w14:paraId="703B2C7B">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F3A62">
    <w:pPr>
      <w:pStyle w:val="17"/>
      <w:pBdr>
        <w:bottom w:val="none" w:color="auto" w:sz="0" w:space="1"/>
      </w:pBdr>
      <w:jc w:val="right"/>
      <w:rPr>
        <w:rFonts w:ascii="宋体" w:hAnsi="宋体"/>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decimal"/>
      <w:pStyle w:val="74"/>
      <w:lvlText w:val="%1、"/>
      <w:lvlJc w:val="left"/>
      <w:pPr>
        <w:tabs>
          <w:tab w:val="left" w:pos="1755"/>
        </w:tabs>
        <w:ind w:left="1755" w:hanging="1125"/>
      </w:pPr>
      <w:rPr>
        <w:rFonts w:hint="eastAsia"/>
      </w:rPr>
    </w:lvl>
    <w:lvl w:ilvl="1" w:tentative="0">
      <w:start w:val="1"/>
      <w:numFmt w:val="japaneseCounting"/>
      <w:lvlText w:val="%2、"/>
      <w:lvlJc w:val="left"/>
      <w:pPr>
        <w:tabs>
          <w:tab w:val="left" w:pos="1770"/>
        </w:tabs>
        <w:ind w:left="1770" w:hanging="720"/>
      </w:pPr>
      <w:rPr>
        <w:rFonts w:hint="eastAsia"/>
      </w:r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991FDB"/>
    <w:rsid w:val="000005B4"/>
    <w:rsid w:val="00013D86"/>
    <w:rsid w:val="00021A23"/>
    <w:rsid w:val="000224D3"/>
    <w:rsid w:val="0005704E"/>
    <w:rsid w:val="000702C6"/>
    <w:rsid w:val="000702FE"/>
    <w:rsid w:val="00070B77"/>
    <w:rsid w:val="00073EFC"/>
    <w:rsid w:val="00076F19"/>
    <w:rsid w:val="00084DC4"/>
    <w:rsid w:val="0008519A"/>
    <w:rsid w:val="000A1FED"/>
    <w:rsid w:val="000A6D59"/>
    <w:rsid w:val="000B57C0"/>
    <w:rsid w:val="000C72E8"/>
    <w:rsid w:val="000E7A5D"/>
    <w:rsid w:val="00126F9B"/>
    <w:rsid w:val="00141852"/>
    <w:rsid w:val="001505E5"/>
    <w:rsid w:val="00167FA6"/>
    <w:rsid w:val="001B3033"/>
    <w:rsid w:val="001D1B4A"/>
    <w:rsid w:val="001E1445"/>
    <w:rsid w:val="001F3803"/>
    <w:rsid w:val="00215EF1"/>
    <w:rsid w:val="0025286F"/>
    <w:rsid w:val="00290E2A"/>
    <w:rsid w:val="00296096"/>
    <w:rsid w:val="002A63F1"/>
    <w:rsid w:val="002C0E8B"/>
    <w:rsid w:val="002E7E9A"/>
    <w:rsid w:val="002F52DE"/>
    <w:rsid w:val="002F6390"/>
    <w:rsid w:val="003057F6"/>
    <w:rsid w:val="003369F7"/>
    <w:rsid w:val="00365891"/>
    <w:rsid w:val="003D4372"/>
    <w:rsid w:val="003D4663"/>
    <w:rsid w:val="003E4ABD"/>
    <w:rsid w:val="003F1780"/>
    <w:rsid w:val="003F55FC"/>
    <w:rsid w:val="00417A4D"/>
    <w:rsid w:val="00425938"/>
    <w:rsid w:val="00495926"/>
    <w:rsid w:val="004C3A5E"/>
    <w:rsid w:val="005045DB"/>
    <w:rsid w:val="005374A3"/>
    <w:rsid w:val="00540672"/>
    <w:rsid w:val="00541FEE"/>
    <w:rsid w:val="00552061"/>
    <w:rsid w:val="00555FDA"/>
    <w:rsid w:val="005B6F9E"/>
    <w:rsid w:val="005D0B36"/>
    <w:rsid w:val="00621B78"/>
    <w:rsid w:val="006352E0"/>
    <w:rsid w:val="006446DE"/>
    <w:rsid w:val="00651C95"/>
    <w:rsid w:val="00653E9C"/>
    <w:rsid w:val="0065651E"/>
    <w:rsid w:val="006B6C98"/>
    <w:rsid w:val="006C0EA4"/>
    <w:rsid w:val="006E4E8D"/>
    <w:rsid w:val="00753C53"/>
    <w:rsid w:val="007721B4"/>
    <w:rsid w:val="0079634A"/>
    <w:rsid w:val="007E56BF"/>
    <w:rsid w:val="007F24A6"/>
    <w:rsid w:val="00832BF9"/>
    <w:rsid w:val="0084096F"/>
    <w:rsid w:val="00873A39"/>
    <w:rsid w:val="008806FF"/>
    <w:rsid w:val="00884A59"/>
    <w:rsid w:val="008B73DD"/>
    <w:rsid w:val="008F1053"/>
    <w:rsid w:val="008F5269"/>
    <w:rsid w:val="008F6B4E"/>
    <w:rsid w:val="0092023E"/>
    <w:rsid w:val="00922224"/>
    <w:rsid w:val="00991FDB"/>
    <w:rsid w:val="009E485D"/>
    <w:rsid w:val="00A11C38"/>
    <w:rsid w:val="00A33513"/>
    <w:rsid w:val="00A61879"/>
    <w:rsid w:val="00AB774F"/>
    <w:rsid w:val="00AE3886"/>
    <w:rsid w:val="00AE5761"/>
    <w:rsid w:val="00B00799"/>
    <w:rsid w:val="00B05C44"/>
    <w:rsid w:val="00B50375"/>
    <w:rsid w:val="00B65161"/>
    <w:rsid w:val="00BB436F"/>
    <w:rsid w:val="00BC3F43"/>
    <w:rsid w:val="00BE3812"/>
    <w:rsid w:val="00C14BBA"/>
    <w:rsid w:val="00C364C6"/>
    <w:rsid w:val="00C6773C"/>
    <w:rsid w:val="00CA65DB"/>
    <w:rsid w:val="00CD5D42"/>
    <w:rsid w:val="00CD7D7C"/>
    <w:rsid w:val="00CE79ED"/>
    <w:rsid w:val="00CF0508"/>
    <w:rsid w:val="00CF0D11"/>
    <w:rsid w:val="00D12609"/>
    <w:rsid w:val="00D67991"/>
    <w:rsid w:val="00D94705"/>
    <w:rsid w:val="00DD3842"/>
    <w:rsid w:val="00DD6234"/>
    <w:rsid w:val="00E14515"/>
    <w:rsid w:val="00E26805"/>
    <w:rsid w:val="00E311F3"/>
    <w:rsid w:val="00E32BC3"/>
    <w:rsid w:val="00E359A0"/>
    <w:rsid w:val="00E361D7"/>
    <w:rsid w:val="00E424D9"/>
    <w:rsid w:val="00E52BD3"/>
    <w:rsid w:val="00E56CC5"/>
    <w:rsid w:val="00E6490A"/>
    <w:rsid w:val="00E86681"/>
    <w:rsid w:val="00EB5694"/>
    <w:rsid w:val="00EB6EDC"/>
    <w:rsid w:val="00ED660D"/>
    <w:rsid w:val="00EE5480"/>
    <w:rsid w:val="00EF5977"/>
    <w:rsid w:val="00F234B6"/>
    <w:rsid w:val="00F85CFD"/>
    <w:rsid w:val="00F8766D"/>
    <w:rsid w:val="00FA65D7"/>
    <w:rsid w:val="012750E5"/>
    <w:rsid w:val="017F144B"/>
    <w:rsid w:val="01B25440"/>
    <w:rsid w:val="01E8601A"/>
    <w:rsid w:val="01E86A02"/>
    <w:rsid w:val="01FD42EF"/>
    <w:rsid w:val="02177C2B"/>
    <w:rsid w:val="02793836"/>
    <w:rsid w:val="0281282A"/>
    <w:rsid w:val="03B93FC6"/>
    <w:rsid w:val="03DE583A"/>
    <w:rsid w:val="04A15F9E"/>
    <w:rsid w:val="04D553BF"/>
    <w:rsid w:val="04F917F5"/>
    <w:rsid w:val="063E2988"/>
    <w:rsid w:val="0644201F"/>
    <w:rsid w:val="072E113A"/>
    <w:rsid w:val="07484E96"/>
    <w:rsid w:val="0754427B"/>
    <w:rsid w:val="078524AA"/>
    <w:rsid w:val="07A233DF"/>
    <w:rsid w:val="07BA081B"/>
    <w:rsid w:val="07D6544F"/>
    <w:rsid w:val="08596676"/>
    <w:rsid w:val="08861BB0"/>
    <w:rsid w:val="0894033E"/>
    <w:rsid w:val="08AC1C2C"/>
    <w:rsid w:val="08AE5CE3"/>
    <w:rsid w:val="08D16614"/>
    <w:rsid w:val="08FE4042"/>
    <w:rsid w:val="098E18AD"/>
    <w:rsid w:val="099354B6"/>
    <w:rsid w:val="0A21536A"/>
    <w:rsid w:val="0A521565"/>
    <w:rsid w:val="0ADB39C5"/>
    <w:rsid w:val="0AF7399F"/>
    <w:rsid w:val="0B1B1473"/>
    <w:rsid w:val="0B1F224B"/>
    <w:rsid w:val="0B231730"/>
    <w:rsid w:val="0B23510A"/>
    <w:rsid w:val="0B5163A7"/>
    <w:rsid w:val="0B8A3DF4"/>
    <w:rsid w:val="0BC80B28"/>
    <w:rsid w:val="0CC45807"/>
    <w:rsid w:val="0D23515A"/>
    <w:rsid w:val="0D29243C"/>
    <w:rsid w:val="0DC450C5"/>
    <w:rsid w:val="0E3D47CA"/>
    <w:rsid w:val="0E4A011B"/>
    <w:rsid w:val="0EA158D5"/>
    <w:rsid w:val="0ED730A5"/>
    <w:rsid w:val="0F396646"/>
    <w:rsid w:val="0F5B7469"/>
    <w:rsid w:val="0FB04196"/>
    <w:rsid w:val="0FE65341"/>
    <w:rsid w:val="0FF36143"/>
    <w:rsid w:val="100325AE"/>
    <w:rsid w:val="106563E6"/>
    <w:rsid w:val="10A67B71"/>
    <w:rsid w:val="10C03174"/>
    <w:rsid w:val="10F97A94"/>
    <w:rsid w:val="10FA0F0F"/>
    <w:rsid w:val="11784DEE"/>
    <w:rsid w:val="11CA1747"/>
    <w:rsid w:val="11CA20A5"/>
    <w:rsid w:val="11FE1FAB"/>
    <w:rsid w:val="12E01361"/>
    <w:rsid w:val="132E059F"/>
    <w:rsid w:val="13430379"/>
    <w:rsid w:val="14A449B4"/>
    <w:rsid w:val="14F66949"/>
    <w:rsid w:val="15303A38"/>
    <w:rsid w:val="15BF760F"/>
    <w:rsid w:val="15DA1475"/>
    <w:rsid w:val="15E369FC"/>
    <w:rsid w:val="15F310CD"/>
    <w:rsid w:val="16342120"/>
    <w:rsid w:val="16544622"/>
    <w:rsid w:val="165D10F5"/>
    <w:rsid w:val="167E1AE5"/>
    <w:rsid w:val="169C46B5"/>
    <w:rsid w:val="170344A6"/>
    <w:rsid w:val="17065574"/>
    <w:rsid w:val="17A4185D"/>
    <w:rsid w:val="183954D6"/>
    <w:rsid w:val="188E75F7"/>
    <w:rsid w:val="18E440AD"/>
    <w:rsid w:val="191C3A7F"/>
    <w:rsid w:val="19261E79"/>
    <w:rsid w:val="197E08A7"/>
    <w:rsid w:val="1A277F6E"/>
    <w:rsid w:val="1A695E71"/>
    <w:rsid w:val="1AE44BBE"/>
    <w:rsid w:val="1B006E01"/>
    <w:rsid w:val="1C337AE7"/>
    <w:rsid w:val="1CBD7CDD"/>
    <w:rsid w:val="1CCA2260"/>
    <w:rsid w:val="1D2A78E4"/>
    <w:rsid w:val="1DDD3DAB"/>
    <w:rsid w:val="1E2E794B"/>
    <w:rsid w:val="1E871EB4"/>
    <w:rsid w:val="1EA600AE"/>
    <w:rsid w:val="1EB01328"/>
    <w:rsid w:val="1EB04F3C"/>
    <w:rsid w:val="1ECF2D63"/>
    <w:rsid w:val="208139EF"/>
    <w:rsid w:val="20E86698"/>
    <w:rsid w:val="20EC484F"/>
    <w:rsid w:val="211E0E04"/>
    <w:rsid w:val="213A57D5"/>
    <w:rsid w:val="214400C6"/>
    <w:rsid w:val="218C1436"/>
    <w:rsid w:val="21B163A8"/>
    <w:rsid w:val="21F41C5C"/>
    <w:rsid w:val="22385B22"/>
    <w:rsid w:val="22BE1401"/>
    <w:rsid w:val="232F12FC"/>
    <w:rsid w:val="23563041"/>
    <w:rsid w:val="23983161"/>
    <w:rsid w:val="23A676EF"/>
    <w:rsid w:val="24047B06"/>
    <w:rsid w:val="245D0DE1"/>
    <w:rsid w:val="246B0C31"/>
    <w:rsid w:val="247F5C71"/>
    <w:rsid w:val="24C23CCD"/>
    <w:rsid w:val="25D25961"/>
    <w:rsid w:val="26171639"/>
    <w:rsid w:val="26306C04"/>
    <w:rsid w:val="26AC709C"/>
    <w:rsid w:val="26B51937"/>
    <w:rsid w:val="26BA4762"/>
    <w:rsid w:val="26F64306"/>
    <w:rsid w:val="27112C95"/>
    <w:rsid w:val="277E0389"/>
    <w:rsid w:val="2792420A"/>
    <w:rsid w:val="27B0610F"/>
    <w:rsid w:val="27DB1D5E"/>
    <w:rsid w:val="28623457"/>
    <w:rsid w:val="287B0FC7"/>
    <w:rsid w:val="29191D48"/>
    <w:rsid w:val="299A24D5"/>
    <w:rsid w:val="2A0C4662"/>
    <w:rsid w:val="2A72154E"/>
    <w:rsid w:val="2A74385D"/>
    <w:rsid w:val="2A753041"/>
    <w:rsid w:val="2AEF0F00"/>
    <w:rsid w:val="2AF73E16"/>
    <w:rsid w:val="2B507E7C"/>
    <w:rsid w:val="2B73199A"/>
    <w:rsid w:val="2BAC6077"/>
    <w:rsid w:val="2BFC1166"/>
    <w:rsid w:val="2C0F65EA"/>
    <w:rsid w:val="2C2D6571"/>
    <w:rsid w:val="2C783232"/>
    <w:rsid w:val="2CEB5EE2"/>
    <w:rsid w:val="2D0E5194"/>
    <w:rsid w:val="2D644D67"/>
    <w:rsid w:val="2DA33F2C"/>
    <w:rsid w:val="2DC24718"/>
    <w:rsid w:val="2DE96A52"/>
    <w:rsid w:val="2E0503B7"/>
    <w:rsid w:val="2E4020AF"/>
    <w:rsid w:val="2E487CC8"/>
    <w:rsid w:val="2E867E02"/>
    <w:rsid w:val="2EE20962"/>
    <w:rsid w:val="2FC141C6"/>
    <w:rsid w:val="2FF21BC8"/>
    <w:rsid w:val="30662EDC"/>
    <w:rsid w:val="307B4967"/>
    <w:rsid w:val="30D97CF1"/>
    <w:rsid w:val="30F73F26"/>
    <w:rsid w:val="31480ECD"/>
    <w:rsid w:val="31930F22"/>
    <w:rsid w:val="31C52FD4"/>
    <w:rsid w:val="32505DF3"/>
    <w:rsid w:val="325545E3"/>
    <w:rsid w:val="329920B5"/>
    <w:rsid w:val="32AC578F"/>
    <w:rsid w:val="32E53E5D"/>
    <w:rsid w:val="3301097C"/>
    <w:rsid w:val="33571193"/>
    <w:rsid w:val="337712CD"/>
    <w:rsid w:val="33AF6A56"/>
    <w:rsid w:val="33DE3408"/>
    <w:rsid w:val="345D3A46"/>
    <w:rsid w:val="34E37E28"/>
    <w:rsid w:val="35156A7C"/>
    <w:rsid w:val="35335FC4"/>
    <w:rsid w:val="358B0CEF"/>
    <w:rsid w:val="35A724F4"/>
    <w:rsid w:val="36115720"/>
    <w:rsid w:val="36F74057"/>
    <w:rsid w:val="37276ED1"/>
    <w:rsid w:val="37801964"/>
    <w:rsid w:val="37BA58BB"/>
    <w:rsid w:val="385178F9"/>
    <w:rsid w:val="38FA186F"/>
    <w:rsid w:val="393F556C"/>
    <w:rsid w:val="396D35EA"/>
    <w:rsid w:val="39D8153D"/>
    <w:rsid w:val="3A442443"/>
    <w:rsid w:val="3A547938"/>
    <w:rsid w:val="3AB70C94"/>
    <w:rsid w:val="3AF70C78"/>
    <w:rsid w:val="3B4F25FE"/>
    <w:rsid w:val="3B5C7316"/>
    <w:rsid w:val="3BE4087F"/>
    <w:rsid w:val="3CE177E5"/>
    <w:rsid w:val="3D142E42"/>
    <w:rsid w:val="3DAE1387"/>
    <w:rsid w:val="3DCF5961"/>
    <w:rsid w:val="3DDC632A"/>
    <w:rsid w:val="3E0D1F29"/>
    <w:rsid w:val="3E4A0AF3"/>
    <w:rsid w:val="3E5E43C2"/>
    <w:rsid w:val="3E632856"/>
    <w:rsid w:val="3EF44684"/>
    <w:rsid w:val="3EFF6B03"/>
    <w:rsid w:val="3F0313F2"/>
    <w:rsid w:val="3F5B0B1B"/>
    <w:rsid w:val="3F8E4B1C"/>
    <w:rsid w:val="40220FC3"/>
    <w:rsid w:val="404774BE"/>
    <w:rsid w:val="40697A8D"/>
    <w:rsid w:val="41100824"/>
    <w:rsid w:val="427152B1"/>
    <w:rsid w:val="42A445A7"/>
    <w:rsid w:val="43DB2A7C"/>
    <w:rsid w:val="441955AA"/>
    <w:rsid w:val="449F43DD"/>
    <w:rsid w:val="44A32EBD"/>
    <w:rsid w:val="45207F0F"/>
    <w:rsid w:val="454A26F9"/>
    <w:rsid w:val="4553365F"/>
    <w:rsid w:val="456964A9"/>
    <w:rsid w:val="46E500CD"/>
    <w:rsid w:val="47065CD9"/>
    <w:rsid w:val="47132314"/>
    <w:rsid w:val="476D37F8"/>
    <w:rsid w:val="47916236"/>
    <w:rsid w:val="47C47C00"/>
    <w:rsid w:val="47F95F8C"/>
    <w:rsid w:val="47FD44EC"/>
    <w:rsid w:val="48290EDC"/>
    <w:rsid w:val="483431ED"/>
    <w:rsid w:val="48700DB9"/>
    <w:rsid w:val="49546D6D"/>
    <w:rsid w:val="496A3AEC"/>
    <w:rsid w:val="49777AB0"/>
    <w:rsid w:val="499C479B"/>
    <w:rsid w:val="49C7797F"/>
    <w:rsid w:val="49D66C03"/>
    <w:rsid w:val="49F112FC"/>
    <w:rsid w:val="4A9B2938"/>
    <w:rsid w:val="4ABF312B"/>
    <w:rsid w:val="4B141151"/>
    <w:rsid w:val="4B7A30F8"/>
    <w:rsid w:val="4BAA75F0"/>
    <w:rsid w:val="4D054FD6"/>
    <w:rsid w:val="4D2C5E7B"/>
    <w:rsid w:val="4D4302CE"/>
    <w:rsid w:val="4F1F07FD"/>
    <w:rsid w:val="4F211C83"/>
    <w:rsid w:val="4F950C90"/>
    <w:rsid w:val="50214741"/>
    <w:rsid w:val="503E742E"/>
    <w:rsid w:val="50400BA0"/>
    <w:rsid w:val="507069F2"/>
    <w:rsid w:val="516F1D22"/>
    <w:rsid w:val="52007B30"/>
    <w:rsid w:val="52FA565A"/>
    <w:rsid w:val="537B7DBC"/>
    <w:rsid w:val="538315B4"/>
    <w:rsid w:val="54254BD0"/>
    <w:rsid w:val="54436B8F"/>
    <w:rsid w:val="55231110"/>
    <w:rsid w:val="557C50F6"/>
    <w:rsid w:val="55810EBF"/>
    <w:rsid w:val="558A63AF"/>
    <w:rsid w:val="56003F3F"/>
    <w:rsid w:val="56AF603C"/>
    <w:rsid w:val="56D76647"/>
    <w:rsid w:val="56F1513E"/>
    <w:rsid w:val="57DE3CD0"/>
    <w:rsid w:val="58601623"/>
    <w:rsid w:val="58A21F81"/>
    <w:rsid w:val="58A9755A"/>
    <w:rsid w:val="590341D7"/>
    <w:rsid w:val="594B162F"/>
    <w:rsid w:val="598D0B4E"/>
    <w:rsid w:val="599717F2"/>
    <w:rsid w:val="59AA43E4"/>
    <w:rsid w:val="59C9601D"/>
    <w:rsid w:val="59CE5946"/>
    <w:rsid w:val="5A0405A4"/>
    <w:rsid w:val="5B0D27FD"/>
    <w:rsid w:val="5BA20D93"/>
    <w:rsid w:val="5BF03078"/>
    <w:rsid w:val="5C142C4A"/>
    <w:rsid w:val="5CFC515D"/>
    <w:rsid w:val="5D7C1A8C"/>
    <w:rsid w:val="5DA839FE"/>
    <w:rsid w:val="5DB3704D"/>
    <w:rsid w:val="5E045258"/>
    <w:rsid w:val="5E260BD9"/>
    <w:rsid w:val="5E6E0116"/>
    <w:rsid w:val="5E987793"/>
    <w:rsid w:val="5EC97254"/>
    <w:rsid w:val="5F092904"/>
    <w:rsid w:val="5F5D3508"/>
    <w:rsid w:val="5FC40299"/>
    <w:rsid w:val="60265228"/>
    <w:rsid w:val="6063160B"/>
    <w:rsid w:val="607D3785"/>
    <w:rsid w:val="607E24F0"/>
    <w:rsid w:val="60D04728"/>
    <w:rsid w:val="6121186E"/>
    <w:rsid w:val="624B32AC"/>
    <w:rsid w:val="630A096F"/>
    <w:rsid w:val="63222241"/>
    <w:rsid w:val="63E94741"/>
    <w:rsid w:val="63EA1A6A"/>
    <w:rsid w:val="64C6083B"/>
    <w:rsid w:val="64D90889"/>
    <w:rsid w:val="652B6604"/>
    <w:rsid w:val="65375117"/>
    <w:rsid w:val="65DF3C12"/>
    <w:rsid w:val="66077570"/>
    <w:rsid w:val="66185CB7"/>
    <w:rsid w:val="662A0D60"/>
    <w:rsid w:val="671D13A3"/>
    <w:rsid w:val="68703593"/>
    <w:rsid w:val="699617CF"/>
    <w:rsid w:val="699C30F2"/>
    <w:rsid w:val="69E00B65"/>
    <w:rsid w:val="6AB933A7"/>
    <w:rsid w:val="6AE357A2"/>
    <w:rsid w:val="6AE57148"/>
    <w:rsid w:val="6B032014"/>
    <w:rsid w:val="6B804E99"/>
    <w:rsid w:val="6BB41FCB"/>
    <w:rsid w:val="6BD30BE6"/>
    <w:rsid w:val="6BD523C2"/>
    <w:rsid w:val="6C2378C6"/>
    <w:rsid w:val="6CEC7627"/>
    <w:rsid w:val="6D006E97"/>
    <w:rsid w:val="6D2232F1"/>
    <w:rsid w:val="6DB14F05"/>
    <w:rsid w:val="6E093104"/>
    <w:rsid w:val="6E9F665E"/>
    <w:rsid w:val="6ECB5D78"/>
    <w:rsid w:val="6ED17737"/>
    <w:rsid w:val="6F203C4C"/>
    <w:rsid w:val="6F494EF2"/>
    <w:rsid w:val="6F7B0E26"/>
    <w:rsid w:val="6F7D4EFC"/>
    <w:rsid w:val="6FD03B62"/>
    <w:rsid w:val="702B5FF4"/>
    <w:rsid w:val="703646D0"/>
    <w:rsid w:val="705B4836"/>
    <w:rsid w:val="70AA3CDC"/>
    <w:rsid w:val="70EE5A0A"/>
    <w:rsid w:val="71133AEE"/>
    <w:rsid w:val="71F91964"/>
    <w:rsid w:val="72A83DD0"/>
    <w:rsid w:val="733C56D2"/>
    <w:rsid w:val="734205E5"/>
    <w:rsid w:val="738E0338"/>
    <w:rsid w:val="742776F7"/>
    <w:rsid w:val="74D44AF0"/>
    <w:rsid w:val="75094730"/>
    <w:rsid w:val="75AA5A33"/>
    <w:rsid w:val="75C76B6F"/>
    <w:rsid w:val="75D21C44"/>
    <w:rsid w:val="763E6451"/>
    <w:rsid w:val="76874323"/>
    <w:rsid w:val="7765348F"/>
    <w:rsid w:val="777D7D7F"/>
    <w:rsid w:val="77812966"/>
    <w:rsid w:val="781B6AA2"/>
    <w:rsid w:val="785868E5"/>
    <w:rsid w:val="79147F66"/>
    <w:rsid w:val="79D013BC"/>
    <w:rsid w:val="7A814300"/>
    <w:rsid w:val="7ACA3734"/>
    <w:rsid w:val="7ACC115A"/>
    <w:rsid w:val="7B5741DC"/>
    <w:rsid w:val="7C712D02"/>
    <w:rsid w:val="7C93146E"/>
    <w:rsid w:val="7D145F6E"/>
    <w:rsid w:val="7DE63806"/>
    <w:rsid w:val="7EE653CC"/>
    <w:rsid w:val="7F4320E8"/>
    <w:rsid w:val="CDF4139C"/>
    <w:rsid w:val="EDF6243A"/>
    <w:rsid w:val="EFF7DA8F"/>
    <w:rsid w:val="FB3EE37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nhideWhenUsed="0" w:uiPriority="0" w:semiHidden="0" w:name="annotation text"/>
    <w:lsdException w:unhideWhenUsed="0"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iPriority="99" w:name="Block Text"/>
    <w:lsdException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3">
    <w:name w:val="heading 1"/>
    <w:basedOn w:val="1"/>
    <w:next w:val="1"/>
    <w:link w:val="35"/>
    <w:qFormat/>
    <w:uiPriority w:val="0"/>
    <w:pPr>
      <w:keepNext/>
      <w:jc w:val="center"/>
      <w:outlineLvl w:val="0"/>
    </w:pPr>
    <w:rPr>
      <w:rFonts w:ascii="宋体"/>
      <w:b/>
      <w:kern w:val="44"/>
      <w:sz w:val="32"/>
    </w:rPr>
  </w:style>
  <w:style w:type="paragraph" w:styleId="4">
    <w:name w:val="heading 2"/>
    <w:basedOn w:val="1"/>
    <w:next w:val="1"/>
    <w:link w:val="36"/>
    <w:qFormat/>
    <w:uiPriority w:val="0"/>
    <w:pPr>
      <w:keepNext/>
      <w:spacing w:line="720" w:lineRule="exact"/>
      <w:outlineLvl w:val="1"/>
    </w:pPr>
    <w:rPr>
      <w:rFonts w:ascii="黑体" w:hAnsi="Copperplate Gothic Bold" w:eastAsia="楷体_GB2312"/>
      <w:kern w:val="0"/>
      <w:sz w:val="28"/>
    </w:rPr>
  </w:style>
  <w:style w:type="paragraph" w:styleId="5">
    <w:name w:val="heading 3"/>
    <w:basedOn w:val="1"/>
    <w:next w:val="6"/>
    <w:link w:val="37"/>
    <w:qFormat/>
    <w:uiPriority w:val="0"/>
    <w:pPr>
      <w:keepNext/>
      <w:spacing w:line="320" w:lineRule="exact"/>
      <w:outlineLvl w:val="2"/>
    </w:pPr>
    <w:rPr>
      <w:rFonts w:ascii="楷体_GB2312" w:eastAsia="楷体_GB2312"/>
      <w:kern w:val="0"/>
      <w:sz w:val="32"/>
    </w:rPr>
  </w:style>
  <w:style w:type="paragraph" w:styleId="7">
    <w:name w:val="heading 4"/>
    <w:basedOn w:val="1"/>
    <w:next w:val="6"/>
    <w:link w:val="39"/>
    <w:qFormat/>
    <w:uiPriority w:val="0"/>
    <w:pPr>
      <w:keepNext/>
      <w:spacing w:line="600" w:lineRule="exact"/>
      <w:jc w:val="center"/>
      <w:outlineLvl w:val="3"/>
    </w:pPr>
    <w:rPr>
      <w:rFonts w:ascii="楷体_GB2312" w:eastAsia="楷体_GB2312"/>
      <w:kern w:val="0"/>
      <w:sz w:val="32"/>
    </w:rPr>
  </w:style>
  <w:style w:type="character" w:default="1" w:styleId="28">
    <w:name w:val="Default Paragraph Font"/>
    <w:unhideWhenUsed/>
    <w:uiPriority w:val="1"/>
  </w:style>
  <w:style w:type="table" w:default="1" w:styleId="26">
    <w:name w:val="Normal Table"/>
    <w:unhideWhenUsed/>
    <w:qFormat/>
    <w:uiPriority w:val="99"/>
    <w:tblPr>
      <w:tblStyle w:val="26"/>
      <w:tblCellMar>
        <w:top w:w="0" w:type="dxa"/>
        <w:left w:w="108" w:type="dxa"/>
        <w:bottom w:w="0" w:type="dxa"/>
        <w:right w:w="108" w:type="dxa"/>
      </w:tblCellMar>
    </w:tblPr>
  </w:style>
  <w:style w:type="paragraph" w:styleId="2">
    <w:name w:val="footer"/>
    <w:basedOn w:val="1"/>
    <w:next w:val="1"/>
    <w:link w:val="34"/>
    <w:uiPriority w:val="0"/>
    <w:pPr>
      <w:tabs>
        <w:tab w:val="center" w:pos="4153"/>
        <w:tab w:val="right" w:pos="8306"/>
      </w:tabs>
      <w:snapToGrid w:val="0"/>
      <w:jc w:val="left"/>
    </w:pPr>
    <w:rPr>
      <w:kern w:val="0"/>
      <w:sz w:val="18"/>
    </w:rPr>
  </w:style>
  <w:style w:type="paragraph" w:styleId="6">
    <w:name w:val="Normal Indent"/>
    <w:basedOn w:val="1"/>
    <w:link w:val="38"/>
    <w:uiPriority w:val="0"/>
    <w:pPr>
      <w:ind w:firstLine="420"/>
    </w:pPr>
    <w:rPr>
      <w:kern w:val="0"/>
      <w:sz w:val="20"/>
    </w:rPr>
  </w:style>
  <w:style w:type="paragraph" w:styleId="8">
    <w:name w:val="Document Map"/>
    <w:basedOn w:val="1"/>
    <w:link w:val="40"/>
    <w:uiPriority w:val="0"/>
    <w:pPr>
      <w:shd w:val="clear" w:color="auto" w:fill="000080"/>
    </w:pPr>
    <w:rPr>
      <w:kern w:val="0"/>
      <w:sz w:val="20"/>
    </w:rPr>
  </w:style>
  <w:style w:type="paragraph" w:styleId="9">
    <w:name w:val="annotation text"/>
    <w:basedOn w:val="1"/>
    <w:link w:val="41"/>
    <w:uiPriority w:val="0"/>
    <w:pPr>
      <w:jc w:val="left"/>
    </w:pPr>
    <w:rPr>
      <w:kern w:val="0"/>
      <w:sz w:val="20"/>
    </w:rPr>
  </w:style>
  <w:style w:type="paragraph" w:styleId="10">
    <w:name w:val="Body Text 3"/>
    <w:basedOn w:val="1"/>
    <w:link w:val="42"/>
    <w:uiPriority w:val="0"/>
    <w:pPr>
      <w:jc w:val="center"/>
    </w:pPr>
    <w:rPr>
      <w:b/>
      <w:spacing w:val="-20"/>
      <w:w w:val="110"/>
      <w:kern w:val="0"/>
      <w:sz w:val="52"/>
    </w:rPr>
  </w:style>
  <w:style w:type="paragraph" w:styleId="11">
    <w:name w:val="Body Text"/>
    <w:basedOn w:val="1"/>
    <w:next w:val="1"/>
    <w:link w:val="43"/>
    <w:uiPriority w:val="0"/>
    <w:pPr>
      <w:jc w:val="left"/>
    </w:pPr>
    <w:rPr>
      <w:rFonts w:ascii="Copperplate Gothic Bold" w:hAnsi="Copperplate Gothic Bold"/>
      <w:kern w:val="0"/>
      <w:sz w:val="28"/>
    </w:rPr>
  </w:style>
  <w:style w:type="paragraph" w:styleId="12">
    <w:name w:val="Body Text Indent"/>
    <w:basedOn w:val="1"/>
    <w:next w:val="1"/>
    <w:link w:val="44"/>
    <w:uiPriority w:val="0"/>
    <w:pPr>
      <w:spacing w:line="640" w:lineRule="exact"/>
      <w:ind w:firstLine="585"/>
    </w:pPr>
    <w:rPr>
      <w:rFonts w:ascii="楷体_GB2312" w:eastAsia="楷体_GB2312"/>
      <w:kern w:val="0"/>
      <w:sz w:val="32"/>
    </w:rPr>
  </w:style>
  <w:style w:type="paragraph" w:styleId="13">
    <w:name w:val="Plain Text"/>
    <w:basedOn w:val="1"/>
    <w:link w:val="45"/>
    <w:uiPriority w:val="0"/>
    <w:rPr>
      <w:rFonts w:ascii="宋体" w:hAnsi="Courier New"/>
      <w:kern w:val="0"/>
      <w:sz w:val="20"/>
    </w:rPr>
  </w:style>
  <w:style w:type="paragraph" w:styleId="14">
    <w:name w:val="Date"/>
    <w:basedOn w:val="1"/>
    <w:next w:val="1"/>
    <w:link w:val="46"/>
    <w:uiPriority w:val="0"/>
    <w:rPr>
      <w:rFonts w:ascii="Copperplate Gothic Bold" w:hAnsi="Copperplate Gothic Bold"/>
      <w:kern w:val="0"/>
      <w:sz w:val="32"/>
    </w:rPr>
  </w:style>
  <w:style w:type="paragraph" w:styleId="15">
    <w:name w:val="Body Text Indent 2"/>
    <w:basedOn w:val="1"/>
    <w:link w:val="47"/>
    <w:uiPriority w:val="0"/>
    <w:pPr>
      <w:spacing w:line="640" w:lineRule="exact"/>
      <w:ind w:firstLine="645"/>
    </w:pPr>
    <w:rPr>
      <w:rFonts w:ascii="楷体_GB2312" w:eastAsia="楷体_GB2312"/>
      <w:kern w:val="0"/>
      <w:sz w:val="32"/>
    </w:rPr>
  </w:style>
  <w:style w:type="paragraph" w:styleId="16">
    <w:name w:val="Balloon Text"/>
    <w:basedOn w:val="1"/>
    <w:link w:val="48"/>
    <w:uiPriority w:val="0"/>
    <w:rPr>
      <w:kern w:val="0"/>
      <w:sz w:val="18"/>
      <w:szCs w:val="18"/>
    </w:rPr>
  </w:style>
  <w:style w:type="paragraph" w:styleId="17">
    <w:name w:val="header"/>
    <w:basedOn w:val="1"/>
    <w:link w:val="49"/>
    <w:uiPriority w:val="99"/>
    <w:pPr>
      <w:pBdr>
        <w:bottom w:val="single" w:color="auto" w:sz="6" w:space="1"/>
      </w:pBdr>
      <w:tabs>
        <w:tab w:val="center" w:pos="4153"/>
        <w:tab w:val="right" w:pos="8306"/>
      </w:tabs>
      <w:snapToGrid w:val="0"/>
      <w:jc w:val="center"/>
    </w:pPr>
    <w:rPr>
      <w:kern w:val="0"/>
      <w:sz w:val="18"/>
    </w:rPr>
  </w:style>
  <w:style w:type="paragraph" w:styleId="18">
    <w:name w:val="Body Text Indent 3"/>
    <w:basedOn w:val="1"/>
    <w:link w:val="50"/>
    <w:uiPriority w:val="0"/>
    <w:pPr>
      <w:ind w:firstLine="645"/>
    </w:pPr>
    <w:rPr>
      <w:rFonts w:ascii="宋体" w:hAnsi="Copperplate Gothic Bold"/>
      <w:kern w:val="0"/>
      <w:sz w:val="28"/>
    </w:rPr>
  </w:style>
  <w:style w:type="paragraph" w:styleId="19">
    <w:name w:val="Body Text 2"/>
    <w:basedOn w:val="1"/>
    <w:link w:val="51"/>
    <w:uiPriority w:val="0"/>
    <w:rPr>
      <w:rFonts w:ascii="楷体_GB2312" w:hAnsi="Copperplate Gothic Bold" w:eastAsia="楷体_GB2312"/>
      <w:kern w:val="0"/>
      <w:sz w:val="28"/>
    </w:rPr>
  </w:style>
  <w:style w:type="paragraph" w:styleId="2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21">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qFormat/>
    <w:uiPriority w:val="0"/>
    <w:pPr>
      <w:spacing w:before="240" w:after="60"/>
      <w:jc w:val="center"/>
      <w:outlineLvl w:val="0"/>
    </w:pPr>
    <w:rPr>
      <w:rFonts w:ascii="Cambria" w:hAnsi="Cambria"/>
      <w:b/>
      <w:bCs/>
      <w:sz w:val="32"/>
      <w:szCs w:val="32"/>
    </w:rPr>
  </w:style>
  <w:style w:type="paragraph" w:styleId="23">
    <w:name w:val="annotation subject"/>
    <w:basedOn w:val="9"/>
    <w:next w:val="9"/>
    <w:link w:val="52"/>
    <w:unhideWhenUsed/>
    <w:uiPriority w:val="99"/>
    <w:rPr>
      <w:rFonts w:ascii="Calibri" w:hAnsi="Calibri"/>
      <w:b/>
      <w:bCs/>
      <w:kern w:val="2"/>
      <w:sz w:val="21"/>
      <w:szCs w:val="22"/>
    </w:rPr>
  </w:style>
  <w:style w:type="paragraph" w:styleId="24">
    <w:name w:val="Body Text First Indent"/>
    <w:basedOn w:val="11"/>
    <w:qFormat/>
    <w:uiPriority w:val="99"/>
    <w:pPr>
      <w:ind w:firstLine="420" w:firstLineChars="100"/>
    </w:pPr>
  </w:style>
  <w:style w:type="paragraph" w:styleId="25">
    <w:name w:val="Body Text First Indent 2"/>
    <w:basedOn w:val="12"/>
    <w:qFormat/>
    <w:uiPriority w:val="0"/>
    <w:pPr>
      <w:adjustRightInd/>
      <w:spacing w:after="120" w:line="240" w:lineRule="auto"/>
      <w:ind w:left="420" w:leftChars="200" w:firstLine="210"/>
    </w:pPr>
    <w:rPr>
      <w:sz w:val="21"/>
    </w:rPr>
  </w:style>
  <w:style w:type="table" w:styleId="27">
    <w:name w:val="Table Grid"/>
    <w:basedOn w:val="26"/>
    <w:qFormat/>
    <w:uiPriority w:val="0"/>
    <w:pPr>
      <w:widowControl w:val="0"/>
      <w:jc w:val="both"/>
    </w:pPr>
    <w:tblPr>
      <w:tblStyle w:val="2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0"/>
    <w:rPr>
      <w:b/>
    </w:rPr>
  </w:style>
  <w:style w:type="character" w:styleId="30">
    <w:name w:val="page number"/>
    <w:uiPriority w:val="0"/>
  </w:style>
  <w:style w:type="character" w:styleId="31">
    <w:name w:val="Emphasis"/>
    <w:qFormat/>
    <w:uiPriority w:val="0"/>
    <w:rPr>
      <w:rFonts w:ascii="Times New Roman" w:hAnsi="Times New Roman" w:eastAsia="宋体" w:cs="Times New Roman"/>
      <w:i/>
      <w:iCs/>
    </w:rPr>
  </w:style>
  <w:style w:type="character" w:styleId="32">
    <w:name w:val="Hyperlink"/>
    <w:uiPriority w:val="99"/>
    <w:rPr>
      <w:color w:val="0000FF"/>
      <w:u w:val="single"/>
    </w:rPr>
  </w:style>
  <w:style w:type="character" w:styleId="33">
    <w:name w:val="annotation reference"/>
    <w:uiPriority w:val="99"/>
    <w:rPr>
      <w:sz w:val="21"/>
    </w:rPr>
  </w:style>
  <w:style w:type="character" w:customStyle="1" w:styleId="34">
    <w:name w:val="页脚 字符"/>
    <w:link w:val="2"/>
    <w:uiPriority w:val="0"/>
    <w:rPr>
      <w:rFonts w:eastAsia="宋体"/>
      <w:sz w:val="18"/>
    </w:rPr>
  </w:style>
  <w:style w:type="character" w:customStyle="1" w:styleId="35">
    <w:name w:val="标题 1 字符"/>
    <w:link w:val="3"/>
    <w:qFormat/>
    <w:uiPriority w:val="0"/>
    <w:rPr>
      <w:rFonts w:ascii="宋体"/>
      <w:b/>
      <w:kern w:val="44"/>
      <w:sz w:val="32"/>
    </w:rPr>
  </w:style>
  <w:style w:type="character" w:customStyle="1" w:styleId="36">
    <w:name w:val="标题 2 字符"/>
    <w:link w:val="4"/>
    <w:uiPriority w:val="0"/>
    <w:rPr>
      <w:rFonts w:ascii="黑体" w:hAnsi="Copperplate Gothic Bold" w:eastAsia="楷体_GB2312" w:cs="Times New Roman"/>
      <w:sz w:val="28"/>
      <w:szCs w:val="20"/>
    </w:rPr>
  </w:style>
  <w:style w:type="character" w:customStyle="1" w:styleId="37">
    <w:name w:val="标题 3 字符"/>
    <w:link w:val="5"/>
    <w:uiPriority w:val="0"/>
    <w:rPr>
      <w:rFonts w:ascii="楷体_GB2312" w:hAnsi="Times New Roman" w:eastAsia="楷体_GB2312" w:cs="Times New Roman"/>
      <w:sz w:val="32"/>
      <w:szCs w:val="20"/>
    </w:rPr>
  </w:style>
  <w:style w:type="character" w:customStyle="1" w:styleId="38">
    <w:name w:val="正文缩进 字符"/>
    <w:link w:val="6"/>
    <w:uiPriority w:val="0"/>
    <w:rPr>
      <w:rFonts w:eastAsia="宋体"/>
    </w:rPr>
  </w:style>
  <w:style w:type="character" w:customStyle="1" w:styleId="39">
    <w:name w:val="标题 4 字符"/>
    <w:link w:val="7"/>
    <w:uiPriority w:val="0"/>
    <w:rPr>
      <w:rFonts w:ascii="楷体_GB2312" w:hAnsi="Times New Roman" w:eastAsia="楷体_GB2312" w:cs="Times New Roman"/>
      <w:sz w:val="32"/>
      <w:szCs w:val="20"/>
    </w:rPr>
  </w:style>
  <w:style w:type="character" w:customStyle="1" w:styleId="40">
    <w:name w:val="文档结构图 字符"/>
    <w:link w:val="8"/>
    <w:uiPriority w:val="0"/>
    <w:rPr>
      <w:rFonts w:ascii="Times New Roman" w:hAnsi="Times New Roman" w:eastAsia="宋体" w:cs="Times New Roman"/>
      <w:szCs w:val="20"/>
      <w:shd w:val="clear" w:color="auto" w:fill="000080"/>
    </w:rPr>
  </w:style>
  <w:style w:type="character" w:customStyle="1" w:styleId="41">
    <w:name w:val="批注文字 字符"/>
    <w:link w:val="9"/>
    <w:uiPriority w:val="0"/>
    <w:rPr>
      <w:rFonts w:ascii="Times New Roman" w:hAnsi="Times New Roman" w:eastAsia="宋体" w:cs="Times New Roman"/>
      <w:szCs w:val="20"/>
    </w:rPr>
  </w:style>
  <w:style w:type="character" w:customStyle="1" w:styleId="42">
    <w:name w:val="正文文本 3 字符"/>
    <w:link w:val="10"/>
    <w:uiPriority w:val="0"/>
    <w:rPr>
      <w:rFonts w:ascii="Times New Roman" w:hAnsi="Times New Roman" w:eastAsia="宋体" w:cs="Times New Roman"/>
      <w:b/>
      <w:spacing w:val="-20"/>
      <w:w w:val="110"/>
      <w:sz w:val="52"/>
      <w:szCs w:val="20"/>
    </w:rPr>
  </w:style>
  <w:style w:type="character" w:customStyle="1" w:styleId="43">
    <w:name w:val="正文文本 字符"/>
    <w:link w:val="11"/>
    <w:uiPriority w:val="0"/>
    <w:rPr>
      <w:rFonts w:ascii="Copperplate Gothic Bold" w:hAnsi="Copperplate Gothic Bold" w:eastAsia="宋体" w:cs="Times New Roman"/>
      <w:sz w:val="28"/>
      <w:szCs w:val="20"/>
    </w:rPr>
  </w:style>
  <w:style w:type="character" w:customStyle="1" w:styleId="44">
    <w:name w:val="正文文本缩进 字符"/>
    <w:link w:val="12"/>
    <w:uiPriority w:val="0"/>
    <w:rPr>
      <w:rFonts w:ascii="楷体_GB2312" w:hAnsi="Times New Roman" w:eastAsia="楷体_GB2312" w:cs="Times New Roman"/>
      <w:sz w:val="32"/>
      <w:szCs w:val="20"/>
    </w:rPr>
  </w:style>
  <w:style w:type="character" w:customStyle="1" w:styleId="45">
    <w:name w:val="纯文本 字符"/>
    <w:link w:val="13"/>
    <w:uiPriority w:val="0"/>
    <w:rPr>
      <w:rFonts w:ascii="宋体" w:hAnsi="Courier New" w:eastAsia="宋体"/>
    </w:rPr>
  </w:style>
  <w:style w:type="character" w:customStyle="1" w:styleId="46">
    <w:name w:val="日期 字符"/>
    <w:link w:val="14"/>
    <w:uiPriority w:val="0"/>
    <w:rPr>
      <w:rFonts w:ascii="Copperplate Gothic Bold" w:hAnsi="Copperplate Gothic Bold" w:eastAsia="宋体" w:cs="Times New Roman"/>
      <w:sz w:val="32"/>
      <w:szCs w:val="20"/>
    </w:rPr>
  </w:style>
  <w:style w:type="character" w:customStyle="1" w:styleId="47">
    <w:name w:val="正文文本缩进 2 字符"/>
    <w:link w:val="15"/>
    <w:uiPriority w:val="0"/>
    <w:rPr>
      <w:rFonts w:ascii="楷体_GB2312" w:hAnsi="Times New Roman" w:eastAsia="楷体_GB2312" w:cs="Times New Roman"/>
      <w:sz w:val="32"/>
      <w:szCs w:val="20"/>
    </w:rPr>
  </w:style>
  <w:style w:type="character" w:customStyle="1" w:styleId="48">
    <w:name w:val="批注框文本 字符"/>
    <w:link w:val="16"/>
    <w:uiPriority w:val="0"/>
    <w:rPr>
      <w:rFonts w:ascii="Times New Roman" w:hAnsi="Times New Roman" w:eastAsia="宋体" w:cs="Times New Roman"/>
      <w:sz w:val="18"/>
      <w:szCs w:val="18"/>
    </w:rPr>
  </w:style>
  <w:style w:type="character" w:customStyle="1" w:styleId="49">
    <w:name w:val="页眉 字符"/>
    <w:link w:val="17"/>
    <w:uiPriority w:val="99"/>
    <w:rPr>
      <w:rFonts w:eastAsia="宋体"/>
      <w:sz w:val="18"/>
    </w:rPr>
  </w:style>
  <w:style w:type="character" w:customStyle="1" w:styleId="50">
    <w:name w:val="正文文本缩进 3 字符"/>
    <w:link w:val="18"/>
    <w:uiPriority w:val="0"/>
    <w:rPr>
      <w:rFonts w:ascii="宋体" w:hAnsi="Copperplate Gothic Bold" w:eastAsia="宋体" w:cs="Times New Roman"/>
      <w:sz w:val="28"/>
      <w:szCs w:val="20"/>
    </w:rPr>
  </w:style>
  <w:style w:type="character" w:customStyle="1" w:styleId="51">
    <w:name w:val="正文文本 2 字符"/>
    <w:link w:val="19"/>
    <w:uiPriority w:val="0"/>
    <w:rPr>
      <w:rFonts w:ascii="楷体_GB2312" w:hAnsi="Copperplate Gothic Bold" w:eastAsia="楷体_GB2312" w:cs="Times New Roman"/>
      <w:sz w:val="28"/>
      <w:szCs w:val="20"/>
    </w:rPr>
  </w:style>
  <w:style w:type="character" w:customStyle="1" w:styleId="52">
    <w:name w:val="批注主题 字符1"/>
    <w:link w:val="23"/>
    <w:semiHidden/>
    <w:uiPriority w:val="99"/>
    <w:rPr>
      <w:rFonts w:ascii="Calibri" w:hAnsi="Calibri" w:eastAsia="宋体" w:cs="Times New Roman"/>
      <w:b/>
      <w:bCs/>
      <w:kern w:val="2"/>
      <w:sz w:val="21"/>
      <w:szCs w:val="22"/>
    </w:rPr>
  </w:style>
  <w:style w:type="character" w:customStyle="1" w:styleId="53">
    <w:name w:val="标题 1 Char"/>
    <w:uiPriority w:val="0"/>
    <w:rPr>
      <w:rFonts w:ascii="黑体" w:hAnsi="Times New Roman" w:eastAsia="黑体" w:cs="Times New Roman"/>
      <w:sz w:val="28"/>
      <w:szCs w:val="20"/>
    </w:rPr>
  </w:style>
  <w:style w:type="character" w:customStyle="1" w:styleId="54">
    <w:name w:val="Char Char3"/>
    <w:uiPriority w:val="0"/>
    <w:rPr>
      <w:rFonts w:eastAsia="宋体"/>
      <w:kern w:val="2"/>
      <w:sz w:val="18"/>
      <w:lang w:val="en-US" w:eastAsia="zh-CN" w:bidi="ar-SA"/>
    </w:rPr>
  </w:style>
  <w:style w:type="character" w:customStyle="1" w:styleId="55">
    <w:name w:val="Texte Char"/>
    <w:aliases w:val="普通文字 Char Char,普通文字1 Char,普通文字2 Char,普通文字3 Char,普通文字4 Char,普通文字5 Char,普通文字6 Char,普通文字11 Char,普通文字21 Char,普通文字31 Char,普通文字41 Char,普通文字7 Char,小 Char,纯文本 Char Char Char Char,孙普文字 Char,普通文字 Char1,正文缩进两字符 Char Char"/>
    <w:uiPriority w:val="0"/>
    <w:rPr>
      <w:rFonts w:ascii="宋体" w:hAnsi="Courier New" w:eastAsia="宋体"/>
      <w:kern w:val="2"/>
      <w:sz w:val="21"/>
      <w:szCs w:val="21"/>
      <w:lang w:val="en-US" w:eastAsia="zh-CN" w:bidi="ar-SA"/>
    </w:rPr>
  </w:style>
  <w:style w:type="character" w:customStyle="1" w:styleId="56">
    <w:name w:val="unnamed11"/>
    <w:uiPriority w:val="0"/>
  </w:style>
  <w:style w:type="character" w:customStyle="1" w:styleId="57">
    <w:name w:val="页脚 Char2"/>
    <w:semiHidden/>
    <w:uiPriority w:val="99"/>
    <w:rPr>
      <w:rFonts w:ascii="Times New Roman" w:hAnsi="Times New Roman" w:eastAsia="宋体" w:cs="Times New Roman"/>
      <w:sz w:val="18"/>
      <w:szCs w:val="18"/>
    </w:rPr>
  </w:style>
  <w:style w:type="character" w:customStyle="1" w:styleId="58">
    <w:name w:val="apple-converted-space"/>
    <w:uiPriority w:val="0"/>
  </w:style>
  <w:style w:type="character" w:customStyle="1" w:styleId="59">
    <w:name w:val="base"/>
    <w:uiPriority w:val="0"/>
  </w:style>
  <w:style w:type="character" w:customStyle="1" w:styleId="60">
    <w:name w:val="页脚 Char"/>
    <w:uiPriority w:val="99"/>
    <w:rPr>
      <w:sz w:val="18"/>
      <w:szCs w:val="18"/>
    </w:rPr>
  </w:style>
  <w:style w:type="character" w:customStyle="1" w:styleId="61">
    <w:name w:val="列表段落 字符"/>
    <w:link w:val="62"/>
    <w:uiPriority w:val="0"/>
    <w:rPr>
      <w:rFonts w:ascii="Calibri" w:hAnsi="Calibri" w:eastAsia="宋体"/>
    </w:rPr>
  </w:style>
  <w:style w:type="paragraph" w:styleId="62">
    <w:name w:val="List Paragraph"/>
    <w:basedOn w:val="1"/>
    <w:link w:val="61"/>
    <w:qFormat/>
    <w:uiPriority w:val="0"/>
    <w:pPr>
      <w:ind w:firstLine="420" w:firstLineChars="200"/>
    </w:pPr>
    <w:rPr>
      <w:rFonts w:ascii="Calibri" w:hAnsi="Calibri"/>
      <w:kern w:val="0"/>
      <w:sz w:val="20"/>
    </w:rPr>
  </w:style>
  <w:style w:type="character" w:customStyle="1" w:styleId="63">
    <w:name w:val="font11"/>
    <w:uiPriority w:val="0"/>
    <w:rPr>
      <w:rFonts w:hint="eastAsia" w:ascii="宋体" w:hAnsi="宋体" w:eastAsia="宋体"/>
      <w:b/>
      <w:bCs/>
      <w:color w:val="000000"/>
      <w:sz w:val="22"/>
      <w:szCs w:val="22"/>
      <w:u w:val="none"/>
    </w:rPr>
  </w:style>
  <w:style w:type="character" w:customStyle="1" w:styleId="64">
    <w:name w:val="page number"/>
    <w:uiPriority w:val="0"/>
  </w:style>
  <w:style w:type="character" w:customStyle="1" w:styleId="65">
    <w:name w:val="纯文本 Char1"/>
    <w:semiHidden/>
    <w:uiPriority w:val="99"/>
    <w:rPr>
      <w:rFonts w:ascii="宋体" w:hAnsi="Courier New" w:eastAsia="宋体" w:cs="Courier New"/>
      <w:szCs w:val="21"/>
    </w:rPr>
  </w:style>
  <w:style w:type="character" w:customStyle="1" w:styleId="66">
    <w:name w:val="enfont"/>
    <w:uiPriority w:val="0"/>
  </w:style>
  <w:style w:type="character" w:customStyle="1" w:styleId="67">
    <w:name w:val="页眉 Char1"/>
    <w:semiHidden/>
    <w:uiPriority w:val="99"/>
    <w:rPr>
      <w:rFonts w:ascii="Times New Roman" w:hAnsi="Times New Roman" w:eastAsia="宋体" w:cs="Times New Roman"/>
      <w:sz w:val="18"/>
      <w:szCs w:val="18"/>
    </w:rPr>
  </w:style>
  <w:style w:type="character" w:customStyle="1" w:styleId="68">
    <w:name w:val="style4"/>
    <w:uiPriority w:val="0"/>
    <w:rPr>
      <w:rFonts w:hint="default" w:ascii="Arial" w:hAnsi="Arial" w:cs="Arial"/>
      <w:sz w:val="20"/>
      <w:szCs w:val="20"/>
    </w:rPr>
  </w:style>
  <w:style w:type="character" w:customStyle="1" w:styleId="69">
    <w:name w:val="font01"/>
    <w:uiPriority w:val="0"/>
    <w:rPr>
      <w:rFonts w:hint="default" w:ascii="Times New Roman" w:hAnsi="Times New Roman" w:cs="Times New Roman"/>
      <w:b/>
      <w:bCs/>
      <w:color w:val="000000"/>
      <w:sz w:val="22"/>
      <w:szCs w:val="22"/>
      <w:u w:val="none"/>
    </w:rPr>
  </w:style>
  <w:style w:type="paragraph" w:customStyle="1" w:styleId="70">
    <w:name w:val="t_indent"/>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1">
    <w:name w:val="p0"/>
    <w:basedOn w:val="1"/>
    <w:uiPriority w:val="0"/>
    <w:pPr>
      <w:widowControl/>
      <w:spacing w:before="100" w:beforeAutospacing="1" w:after="100" w:afterAutospacing="1"/>
      <w:jc w:val="left"/>
    </w:pPr>
    <w:rPr>
      <w:rFonts w:ascii="宋体" w:hAnsi="宋体" w:cs="宋体"/>
      <w:kern w:val="0"/>
      <w:sz w:val="24"/>
      <w:szCs w:val="24"/>
    </w:rPr>
  </w:style>
  <w:style w:type="paragraph" w:styleId="72">
    <w:name w:val="No Spacing"/>
    <w:qFormat/>
    <w:uiPriority w:val="1"/>
    <w:pPr>
      <w:widowControl w:val="0"/>
      <w:jc w:val="both"/>
    </w:pPr>
    <w:rPr>
      <w:rFonts w:ascii="Arial" w:hAnsi="Arial" w:cs="Arial"/>
      <w:color w:val="000000"/>
      <w:sz w:val="18"/>
      <w:szCs w:val="18"/>
      <w:lang w:val="en-US" w:eastAsia="zh-CN" w:bidi="ar-SA"/>
    </w:rPr>
  </w:style>
  <w:style w:type="paragraph" w:customStyle="1" w:styleId="73">
    <w:name w:val="?§?§?¨¤?§o????¨¤?"/>
    <w:basedOn w:val="1"/>
    <w:uiPriority w:val="0"/>
    <w:pPr>
      <w:autoSpaceDE w:val="0"/>
      <w:autoSpaceDN w:val="0"/>
      <w:adjustRightInd w:val="0"/>
      <w:jc w:val="left"/>
    </w:pPr>
    <w:rPr>
      <w:kern w:val="0"/>
      <w:sz w:val="24"/>
    </w:rPr>
  </w:style>
  <w:style w:type="paragraph" w:customStyle="1" w:styleId="74">
    <w:name w:val="图"/>
    <w:basedOn w:val="1"/>
    <w:next w:val="75"/>
    <w:uiPriority w:val="0"/>
    <w:pPr>
      <w:numPr>
        <w:ilvl w:val="0"/>
        <w:numId w:val="1"/>
      </w:numPr>
      <w:adjustRightInd w:val="0"/>
      <w:spacing w:before="60" w:after="60" w:line="360" w:lineRule="atLeast"/>
      <w:jc w:val="center"/>
      <w:textAlignment w:val="baseline"/>
    </w:pPr>
    <w:rPr>
      <w:rFonts w:eastAsia="黑体"/>
      <w:b/>
      <w:kern w:val="0"/>
      <w:sz w:val="24"/>
    </w:rPr>
  </w:style>
  <w:style w:type="paragraph" w:customStyle="1" w:styleId="75">
    <w:name w:val="文档正文"/>
    <w:basedOn w:val="1"/>
    <w:uiPriority w:val="0"/>
    <w:pPr>
      <w:adjustRightInd w:val="0"/>
      <w:snapToGrid w:val="0"/>
      <w:spacing w:line="440" w:lineRule="exact"/>
      <w:ind w:firstLine="567"/>
      <w:textAlignment w:val="baseline"/>
    </w:pPr>
    <w:rPr>
      <w:rFonts w:ascii="Arial Narrow" w:hAnsi="Arial Narrow"/>
      <w:kern w:val="0"/>
      <w:sz w:val="24"/>
    </w:rPr>
  </w:style>
  <w:style w:type="paragraph" w:customStyle="1" w:styleId="76">
    <w:name w:val="缺省文本"/>
    <w:basedOn w:val="1"/>
    <w:uiPriority w:val="0"/>
    <w:pPr>
      <w:autoSpaceDE w:val="0"/>
      <w:autoSpaceDN w:val="0"/>
      <w:adjustRightInd w:val="0"/>
      <w:jc w:val="left"/>
    </w:pPr>
    <w:rPr>
      <w:kern w:val="0"/>
      <w:sz w:val="24"/>
    </w:rPr>
  </w:style>
  <w:style w:type="paragraph" w:customStyle="1" w:styleId="77">
    <w:name w:val="样式1"/>
    <w:basedOn w:val="1"/>
    <w:qFormat/>
    <w:uiPriority w:val="99"/>
    <w:rPr>
      <w:rFonts w:ascii="宋体" w:hAnsi="宋体"/>
      <w:szCs w:val="21"/>
    </w:rPr>
  </w:style>
  <w:style w:type="paragraph" w:customStyle="1" w:styleId="78">
    <w:name w:val="Char1 Char Char Char"/>
    <w:basedOn w:val="1"/>
    <w:uiPriority w:val="0"/>
    <w:rPr>
      <w:rFonts w:ascii="Tahoma" w:hAnsi="Tahoma"/>
      <w:szCs w:val="24"/>
    </w:rPr>
  </w:style>
  <w:style w:type="paragraph" w:customStyle="1" w:styleId="79">
    <w:name w:val="??¨???¨????ì?¨¨??¨?o??????ì?¨¨?"/>
    <w:basedOn w:val="1"/>
    <w:uiPriority w:val="0"/>
    <w:pPr>
      <w:autoSpaceDE w:val="0"/>
      <w:autoSpaceDN w:val="0"/>
      <w:adjustRightInd w:val="0"/>
      <w:jc w:val="left"/>
    </w:pPr>
    <w:rPr>
      <w:kern w:val="0"/>
      <w:sz w:val="24"/>
    </w:rPr>
  </w:style>
  <w:style w:type="paragraph" w:customStyle="1" w:styleId="80">
    <w:name w:val="文档正文 Char Char Char Char Char"/>
    <w:basedOn w:val="1"/>
    <w:uiPriority w:val="0"/>
    <w:pPr>
      <w:adjustRightInd w:val="0"/>
      <w:spacing w:before="260" w:after="260" w:line="480" w:lineRule="exact"/>
      <w:ind w:firstLine="567"/>
      <w:textAlignment w:val="baseline"/>
    </w:pPr>
    <w:rPr>
      <w:rFonts w:ascii="仿宋_GB2312"/>
      <w:kern w:val="0"/>
      <w:szCs w:val="28"/>
    </w:rPr>
  </w:style>
  <w:style w:type="paragraph" w:customStyle="1" w:styleId="81">
    <w:name w:val="List Paragraph"/>
    <w:basedOn w:val="1"/>
    <w:uiPriority w:val="0"/>
    <w:pPr>
      <w:ind w:firstLine="420" w:firstLineChars="200"/>
    </w:pPr>
    <w:rPr>
      <w:rFonts w:ascii="Calibri" w:hAnsi="Calibri"/>
      <w:szCs w:val="22"/>
    </w:rPr>
  </w:style>
  <w:style w:type="paragraph" w:customStyle="1" w:styleId="82">
    <w:name w:val="Char Char Char Char Char Char"/>
    <w:basedOn w:val="1"/>
    <w:uiPriority w:val="0"/>
    <w:pPr>
      <w:widowControl/>
      <w:spacing w:after="160" w:line="240" w:lineRule="exact"/>
      <w:jc w:val="left"/>
    </w:pPr>
    <w:rPr>
      <w:rFonts w:ascii="Verdana" w:hAnsi="Verdana" w:eastAsia="仿宋_GB2312"/>
      <w:kern w:val="0"/>
      <w:sz w:val="24"/>
      <w:lang w:eastAsia="en-US"/>
    </w:rPr>
  </w:style>
  <w:style w:type="paragraph" w:customStyle="1" w:styleId="83">
    <w:name w:val="_Style 2"/>
    <w:basedOn w:val="1"/>
    <w:qFormat/>
    <w:uiPriority w:val="0"/>
    <w:pPr>
      <w:ind w:firstLine="420" w:firstLineChars="200"/>
    </w:pPr>
    <w:rPr>
      <w:rFonts w:ascii="Times New Roman" w:hAnsi="Times New Roman" w:eastAsia="宋体" w:cs="Times New Roman"/>
    </w:rPr>
  </w:style>
  <w:style w:type="paragraph" w:customStyle="1" w:styleId="84">
    <w:name w:val="Char"/>
    <w:basedOn w:val="1"/>
    <w:uiPriority w:val="0"/>
    <w:rPr>
      <w:rFonts w:ascii="Tahoma" w:hAnsi="Tahoma"/>
      <w:sz w:val="24"/>
    </w:rPr>
  </w:style>
  <w:style w:type="paragraph" w:customStyle="1" w:styleId="85">
    <w:name w:val="普通正文"/>
    <w:basedOn w:val="1"/>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86">
    <w:name w:val="Default"/>
    <w:qFormat/>
    <w:uiPriority w:val="0"/>
    <w:pPr>
      <w:widowControl w:val="0"/>
      <w:autoSpaceDE w:val="0"/>
      <w:autoSpaceDN w:val="0"/>
      <w:adjustRightInd w:val="0"/>
    </w:pPr>
    <w:rPr>
      <w:rFonts w:ascii="黑体" w:eastAsia="黑体" w:cs="黑体"/>
      <w:color w:val="000000"/>
      <w:sz w:val="24"/>
      <w:szCs w:val="24"/>
      <w:lang w:val="en-US" w:eastAsia="zh-CN" w:bidi="ar-SA"/>
    </w:rPr>
  </w:style>
  <w:style w:type="paragraph" w:customStyle="1" w:styleId="87">
    <w:name w:val="Char Char Char"/>
    <w:basedOn w:val="1"/>
    <w:uiPriority w:val="0"/>
  </w:style>
  <w:style w:type="paragraph" w:customStyle="1" w:styleId="88">
    <w:name w:val="Char1"/>
    <w:basedOn w:val="1"/>
    <w:uiPriority w:val="0"/>
    <w:pPr>
      <w:tabs>
        <w:tab w:val="left" w:pos="360"/>
      </w:tabs>
    </w:pPr>
    <w:rPr>
      <w:sz w:val="24"/>
      <w:szCs w:val="24"/>
    </w:rPr>
  </w:style>
  <w:style w:type="paragraph" w:customStyle="1" w:styleId="89">
    <w:name w:val="1册标题2"/>
    <w:basedOn w:val="1"/>
    <w:next w:val="1"/>
    <w:uiPriority w:val="0"/>
    <w:pPr>
      <w:adjustRightInd w:val="0"/>
      <w:spacing w:before="156" w:beforeLines="50" w:after="156" w:afterLines="50" w:line="300" w:lineRule="auto"/>
      <w:jc w:val="center"/>
      <w:textAlignment w:val="baseline"/>
      <w:outlineLvl w:val="1"/>
    </w:pPr>
    <w:rPr>
      <w:rFonts w:ascii="Arial" w:hAnsi="Arial" w:eastAsia="黑体"/>
      <w:bCs/>
      <w:kern w:val="0"/>
      <w:sz w:val="32"/>
      <w:szCs w:val="24"/>
    </w:rPr>
  </w:style>
  <w:style w:type="paragraph" w:customStyle="1" w:styleId="90">
    <w:name w:val="表格"/>
    <w:basedOn w:val="1"/>
    <w:qFormat/>
    <w:uiPriority w:val="0"/>
    <w:pPr>
      <w:spacing w:line="400" w:lineRule="exact"/>
    </w:pPr>
    <w:rPr>
      <w:rFonts w:ascii="Calibri" w:hAnsi="Calibri"/>
      <w:kern w:val="2"/>
      <w:sz w:val="24"/>
      <w:szCs w:val="24"/>
    </w:rPr>
  </w:style>
  <w:style w:type="paragraph" w:customStyle="1" w:styleId="91">
    <w:name w:val="正文段"/>
    <w:basedOn w:val="1"/>
    <w:uiPriority w:val="0"/>
    <w:pPr>
      <w:adjustRightInd w:val="0"/>
      <w:snapToGrid w:val="0"/>
      <w:spacing w:line="360" w:lineRule="auto"/>
    </w:pPr>
    <w:rPr>
      <w:rFonts w:eastAsia="仿宋_GB2312"/>
      <w:spacing w:val="-8"/>
      <w:sz w:val="24"/>
    </w:rPr>
  </w:style>
  <w:style w:type="paragraph" w:customStyle="1" w:styleId="92">
    <w:name w:val="Table Paragraph"/>
    <w:basedOn w:val="1"/>
    <w:qFormat/>
    <w:uiPriority w:val="1"/>
  </w:style>
  <w:style w:type="character" w:customStyle="1" w:styleId="93">
    <w:name w:val="批注主题 字符"/>
    <w:uiPriority w:val="0"/>
    <w:rPr>
      <w:rFonts w:ascii="Calibri" w:hAnsi="Calibri"/>
      <w:b/>
      <w:bCs/>
      <w:kern w:val="2"/>
      <w:sz w:val="21"/>
      <w:szCs w:val="24"/>
    </w:rPr>
  </w:style>
  <w:style w:type="paragraph" w:customStyle="1" w:styleId="94">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96">
    <w:name w:val="xl64"/>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color w:val="000000"/>
      <w:kern w:val="0"/>
      <w:sz w:val="24"/>
      <w:szCs w:val="24"/>
    </w:rPr>
  </w:style>
  <w:style w:type="paragraph" w:customStyle="1" w:styleId="97">
    <w:name w:val="xl65"/>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color w:val="000000"/>
      <w:kern w:val="0"/>
      <w:sz w:val="24"/>
      <w:szCs w:val="24"/>
    </w:rPr>
  </w:style>
  <w:style w:type="paragraph" w:customStyle="1" w:styleId="98">
    <w:name w:val="xl66"/>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right"/>
    </w:pPr>
    <w:rPr>
      <w:rFonts w:ascii="宋体" w:hAnsi="宋体" w:cs="宋体"/>
      <w:color w:val="000000"/>
      <w:kern w:val="0"/>
      <w:sz w:val="24"/>
      <w:szCs w:val="24"/>
    </w:rPr>
  </w:style>
  <w:style w:type="paragraph" w:customStyle="1" w:styleId="9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0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01">
    <w:name w:val="xl69"/>
    <w:basedOn w:val="1"/>
    <w:uiPriority w:val="0"/>
    <w:pPr>
      <w:widowControl/>
      <w:spacing w:before="100" w:beforeAutospacing="1" w:after="100" w:afterAutospacing="1"/>
      <w:jc w:val="center"/>
      <w:textAlignment w:val="center"/>
    </w:pPr>
    <w:rPr>
      <w:rFonts w:ascii="宋体" w:hAnsi="宋体" w:cs="宋体"/>
      <w:b/>
      <w:bCs/>
      <w:kern w:val="0"/>
      <w:sz w:val="36"/>
      <w:szCs w:val="36"/>
    </w:rPr>
  </w:style>
  <w:style w:type="paragraph" w:customStyle="1" w:styleId="102">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103">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szCs w:val="24"/>
    </w:rPr>
  </w:style>
  <w:style w:type="paragraph" w:customStyle="1" w:styleId="104">
    <w:name w:val="xl71"/>
    <w:basedOn w:val="1"/>
    <w:uiPriority w:val="0"/>
    <w:pPr>
      <w:widowControl/>
      <w:spacing w:before="100" w:beforeAutospacing="1" w:after="100" w:afterAutospacing="1"/>
      <w:jc w:val="center"/>
      <w:textAlignment w:val="center"/>
    </w:pPr>
    <w:rPr>
      <w:rFonts w:ascii="宋体" w:hAnsi="宋体" w:cs="宋体"/>
      <w:kern w:val="0"/>
      <w:sz w:val="24"/>
      <w:szCs w:val="24"/>
    </w:rPr>
  </w:style>
  <w:style w:type="paragraph" w:customStyle="1" w:styleId="105">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5600</Words>
  <Characters>5822</Characters>
  <Lines>43</Lines>
  <Paragraphs>12</Paragraphs>
  <TotalTime>0</TotalTime>
  <ScaleCrop>false</ScaleCrop>
  <LinksUpToDate>false</LinksUpToDate>
  <CharactersWithSpaces>6002</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2023-01-16T01:58:00Z</dcterms:created>
  <dc:creator>Administrator</dc:creator>
  <cp:lastModifiedBy>®</cp:lastModifiedBy>
  <cp:lastPrinted>2022-10-27T03:02:00Z</cp:lastPrinted>
  <dcterms:modified xsi:type="dcterms:W3CDTF">2024-07-24T06:32:41Z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F1175BEDC8AA441482C36F28F2A57AA2_13</vt:lpwstr>
  </property>
</Properties>
</file>