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A2255">
      <w:pPr>
        <w:jc w:val="right"/>
        <w:rPr>
          <w:rFonts w:ascii="宋体" w:hAnsi="宋体" w:cs="宋体"/>
          <w:b/>
          <w:sz w:val="44"/>
          <w:szCs w:val="44"/>
          <w:highlight w:val="none"/>
        </w:rPr>
      </w:pPr>
      <w:r>
        <w:rPr>
          <w:rFonts w:hint="eastAsia" w:ascii="宋体" w:hAnsi="宋体" w:cs="宋体"/>
          <w:highlight w:val="none"/>
        </w:rPr>
        <w:t xml:space="preserve"> </w:t>
      </w:r>
      <w:r>
        <w:rPr>
          <w:rFonts w:hint="eastAsia" w:ascii="宋体" w:hAnsi="宋体" w:cs="宋体"/>
          <w:highlight w:val="none"/>
        </w:rPr>
        <w:drawing>
          <wp:inline distT="0" distB="0" distL="114300" distR="114300">
            <wp:extent cx="971550" cy="971550"/>
            <wp:effectExtent l="0" t="0" r="0" b="0"/>
            <wp:docPr id="6" name="图片 2" descr="公司公众平台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公众平台二维码"/>
                    <pic:cNvPicPr>
                      <a:picLocks noChangeAspect="1"/>
                    </pic:cNvPicPr>
                  </pic:nvPicPr>
                  <pic:blipFill>
                    <a:blip r:embed="rId7"/>
                    <a:stretch>
                      <a:fillRect/>
                    </a:stretch>
                  </pic:blipFill>
                  <pic:spPr>
                    <a:xfrm>
                      <a:off x="0" y="0"/>
                      <a:ext cx="971550" cy="971550"/>
                    </a:xfrm>
                    <a:prstGeom prst="rect">
                      <a:avLst/>
                    </a:prstGeom>
                    <a:noFill/>
                    <a:ln>
                      <a:noFill/>
                    </a:ln>
                  </pic:spPr>
                </pic:pic>
              </a:graphicData>
            </a:graphic>
          </wp:inline>
        </w:drawing>
      </w:r>
    </w:p>
    <w:p w14:paraId="4A8573A3">
      <w:pPr>
        <w:jc w:val="center"/>
        <w:rPr>
          <w:rFonts w:ascii="宋体" w:hAnsi="宋体" w:cs="宋体"/>
          <w:b/>
          <w:sz w:val="44"/>
          <w:szCs w:val="44"/>
          <w:highlight w:val="none"/>
        </w:rPr>
      </w:pPr>
      <w:r>
        <w:rPr>
          <w:rFonts w:hint="eastAsia" w:ascii="宋体" w:hAnsi="宋体" w:cs="宋体"/>
          <w:b/>
          <w:sz w:val="44"/>
          <w:szCs w:val="44"/>
          <w:highlight w:val="none"/>
        </w:rPr>
        <w:t>政府采购服务项目</w:t>
      </w:r>
    </w:p>
    <w:p w14:paraId="4C1E0EC6">
      <w:pPr>
        <w:jc w:val="center"/>
        <w:rPr>
          <w:rFonts w:ascii="宋体" w:hAnsi="宋体" w:cs="宋体"/>
          <w:b/>
          <w:sz w:val="36"/>
          <w:szCs w:val="36"/>
          <w:highlight w:val="none"/>
        </w:rPr>
      </w:pPr>
    </w:p>
    <w:p w14:paraId="04E75B5A">
      <w:pPr>
        <w:pStyle w:val="9"/>
        <w:rPr>
          <w:rFonts w:ascii="宋体" w:hAnsi="宋体" w:cs="宋体"/>
          <w:b/>
          <w:sz w:val="36"/>
          <w:szCs w:val="36"/>
          <w:highlight w:val="none"/>
        </w:rPr>
      </w:pPr>
    </w:p>
    <w:p w14:paraId="788D50F6">
      <w:pPr>
        <w:rPr>
          <w:rFonts w:ascii="宋体" w:hAnsi="宋体" w:cs="宋体"/>
          <w:highlight w:val="none"/>
        </w:rPr>
      </w:pPr>
    </w:p>
    <w:p w14:paraId="7C07F965">
      <w:pPr>
        <w:jc w:val="center"/>
        <w:rPr>
          <w:rFonts w:ascii="宋体" w:hAnsi="宋体" w:cs="宋体"/>
          <w:b/>
          <w:sz w:val="84"/>
          <w:szCs w:val="84"/>
          <w:highlight w:val="none"/>
        </w:rPr>
      </w:pPr>
      <w:r>
        <w:rPr>
          <w:rFonts w:hint="eastAsia" w:ascii="宋体" w:hAnsi="宋体" w:cs="宋体"/>
          <w:b/>
          <w:sz w:val="84"/>
          <w:szCs w:val="84"/>
          <w:highlight w:val="none"/>
        </w:rPr>
        <w:t>招 标 文 件</w:t>
      </w:r>
    </w:p>
    <w:p w14:paraId="1EB5ECFA">
      <w:pPr>
        <w:rPr>
          <w:rFonts w:ascii="宋体" w:hAnsi="宋体" w:cs="宋体"/>
          <w:b/>
          <w:sz w:val="36"/>
          <w:szCs w:val="36"/>
          <w:highlight w:val="none"/>
        </w:rPr>
      </w:pPr>
    </w:p>
    <w:p w14:paraId="3FBA816C">
      <w:pPr>
        <w:pStyle w:val="9"/>
        <w:rPr>
          <w:rFonts w:ascii="宋体" w:hAnsi="宋体" w:cs="宋体"/>
          <w:highlight w:val="none"/>
        </w:rPr>
      </w:pPr>
    </w:p>
    <w:tbl>
      <w:tblPr>
        <w:tblStyle w:val="12"/>
        <w:tblW w:w="0" w:type="auto"/>
        <w:jc w:val="center"/>
        <w:tblLayout w:type="fixed"/>
        <w:tblCellMar>
          <w:top w:w="0" w:type="dxa"/>
          <w:left w:w="108" w:type="dxa"/>
          <w:bottom w:w="0" w:type="dxa"/>
          <w:right w:w="108" w:type="dxa"/>
        </w:tblCellMar>
      </w:tblPr>
      <w:tblGrid>
        <w:gridCol w:w="1607"/>
        <w:gridCol w:w="5697"/>
      </w:tblGrid>
      <w:tr w14:paraId="10A8FED2">
        <w:tblPrEx>
          <w:tblCellMar>
            <w:top w:w="0" w:type="dxa"/>
            <w:left w:w="108" w:type="dxa"/>
            <w:bottom w:w="0" w:type="dxa"/>
            <w:right w:w="108" w:type="dxa"/>
          </w:tblCellMar>
        </w:tblPrEx>
        <w:trPr>
          <w:trHeight w:val="703" w:hRule="atLeast"/>
          <w:jc w:val="center"/>
        </w:trPr>
        <w:tc>
          <w:tcPr>
            <w:tcW w:w="1607" w:type="dxa"/>
            <w:tcBorders>
              <w:top w:val="nil"/>
              <w:left w:val="nil"/>
              <w:bottom w:val="nil"/>
              <w:right w:val="nil"/>
            </w:tcBorders>
            <w:vAlign w:val="center"/>
          </w:tcPr>
          <w:p w14:paraId="175A35B5">
            <w:pPr>
              <w:widowControl/>
              <w:rPr>
                <w:rFonts w:ascii="宋体" w:hAnsi="宋体" w:cs="宋体"/>
                <w:b/>
                <w:kern w:val="0"/>
                <w:sz w:val="30"/>
                <w:szCs w:val="30"/>
                <w:highlight w:val="none"/>
              </w:rPr>
            </w:pPr>
            <w:r>
              <w:rPr>
                <w:rFonts w:hint="eastAsia" w:ascii="宋体" w:hAnsi="宋体" w:cs="宋体"/>
                <w:b/>
                <w:kern w:val="0"/>
                <w:sz w:val="30"/>
                <w:szCs w:val="30"/>
                <w:highlight w:val="none"/>
              </w:rPr>
              <w:t>项目名称：</w:t>
            </w:r>
          </w:p>
        </w:tc>
        <w:tc>
          <w:tcPr>
            <w:tcW w:w="5697" w:type="dxa"/>
            <w:tcBorders>
              <w:top w:val="nil"/>
              <w:left w:val="nil"/>
              <w:bottom w:val="nil"/>
              <w:right w:val="nil"/>
            </w:tcBorders>
            <w:vAlign w:val="center"/>
          </w:tcPr>
          <w:p w14:paraId="78E4A62C">
            <w:pPr>
              <w:widowControl/>
              <w:jc w:val="left"/>
              <w:rPr>
                <w:rFonts w:hint="default" w:ascii="宋体" w:hAnsi="宋体" w:eastAsia="宋体" w:cs="宋体"/>
                <w:kern w:val="0"/>
                <w:sz w:val="30"/>
                <w:szCs w:val="30"/>
                <w:highlight w:val="none"/>
                <w:lang w:val="en-US" w:eastAsia="zh-CN"/>
              </w:rPr>
            </w:pPr>
            <w:r>
              <w:rPr>
                <w:rFonts w:hint="eastAsia" w:ascii="宋体" w:hAnsi="宋体" w:cs="宋体"/>
                <w:b/>
                <w:bCs/>
                <w:kern w:val="0"/>
                <w:sz w:val="30"/>
                <w:szCs w:val="30"/>
                <w:highlight w:val="none"/>
              </w:rPr>
              <w:t>西安市公安局交通警察支队2024年违法停放车辆拖移转运社会化服务</w:t>
            </w:r>
            <w:r>
              <w:rPr>
                <w:rFonts w:hint="eastAsia" w:ascii="宋体" w:hAnsi="宋体" w:cs="宋体"/>
                <w:b/>
                <w:bCs/>
                <w:kern w:val="0"/>
                <w:sz w:val="30"/>
                <w:szCs w:val="30"/>
                <w:highlight w:val="none"/>
                <w:lang w:eastAsia="zh-CN"/>
              </w:rPr>
              <w:t>（</w:t>
            </w:r>
            <w:r>
              <w:rPr>
                <w:rFonts w:hint="eastAsia" w:ascii="宋体" w:hAnsi="宋体" w:cs="宋体"/>
                <w:b/>
                <w:bCs/>
                <w:kern w:val="0"/>
                <w:sz w:val="30"/>
                <w:szCs w:val="30"/>
                <w:highlight w:val="none"/>
                <w:lang w:val="en-US" w:eastAsia="zh-CN"/>
              </w:rPr>
              <w:t>二次）</w:t>
            </w:r>
          </w:p>
        </w:tc>
      </w:tr>
      <w:tr w14:paraId="1EB66267">
        <w:tblPrEx>
          <w:tblCellMar>
            <w:top w:w="0" w:type="dxa"/>
            <w:left w:w="108" w:type="dxa"/>
            <w:bottom w:w="0" w:type="dxa"/>
            <w:right w:w="108" w:type="dxa"/>
          </w:tblCellMar>
        </w:tblPrEx>
        <w:trPr>
          <w:trHeight w:val="703" w:hRule="atLeast"/>
          <w:jc w:val="center"/>
        </w:trPr>
        <w:tc>
          <w:tcPr>
            <w:tcW w:w="1607" w:type="dxa"/>
            <w:tcBorders>
              <w:top w:val="nil"/>
              <w:left w:val="nil"/>
              <w:bottom w:val="nil"/>
              <w:right w:val="nil"/>
            </w:tcBorders>
            <w:vAlign w:val="center"/>
          </w:tcPr>
          <w:p w14:paraId="6A35B51F">
            <w:pPr>
              <w:widowControl/>
              <w:jc w:val="left"/>
              <w:rPr>
                <w:rFonts w:ascii="宋体" w:hAnsi="宋体" w:cs="宋体"/>
                <w:b/>
                <w:kern w:val="0"/>
                <w:sz w:val="30"/>
                <w:szCs w:val="30"/>
                <w:highlight w:val="none"/>
              </w:rPr>
            </w:pPr>
            <w:r>
              <w:rPr>
                <w:rFonts w:hint="eastAsia" w:ascii="宋体" w:hAnsi="宋体" w:cs="宋体"/>
                <w:b/>
                <w:kern w:val="0"/>
                <w:sz w:val="30"/>
                <w:szCs w:val="30"/>
                <w:highlight w:val="none"/>
              </w:rPr>
              <w:t>项目编号：</w:t>
            </w:r>
          </w:p>
        </w:tc>
        <w:tc>
          <w:tcPr>
            <w:tcW w:w="5697" w:type="dxa"/>
            <w:tcBorders>
              <w:top w:val="nil"/>
              <w:left w:val="nil"/>
              <w:bottom w:val="nil"/>
              <w:right w:val="nil"/>
            </w:tcBorders>
            <w:vAlign w:val="center"/>
          </w:tcPr>
          <w:p w14:paraId="7FEA6B42">
            <w:pPr>
              <w:widowControl/>
              <w:jc w:val="left"/>
              <w:rPr>
                <w:rFonts w:hint="eastAsia" w:ascii="宋体" w:hAnsi="宋体" w:eastAsia="宋体" w:cs="宋体"/>
                <w:kern w:val="0"/>
                <w:sz w:val="30"/>
                <w:szCs w:val="30"/>
                <w:highlight w:val="none"/>
                <w:lang w:eastAsia="zh-CN"/>
              </w:rPr>
            </w:pPr>
            <w:r>
              <w:rPr>
                <w:rFonts w:hint="eastAsia" w:ascii="宋体" w:hAnsi="宋体" w:cs="宋体"/>
                <w:b/>
                <w:bCs/>
                <w:kern w:val="0"/>
                <w:sz w:val="30"/>
                <w:szCs w:val="30"/>
                <w:highlight w:val="none"/>
                <w:lang w:eastAsia="zh-CN"/>
              </w:rPr>
              <w:t>0617-2423FZ1573</w:t>
            </w:r>
          </w:p>
        </w:tc>
      </w:tr>
      <w:tr w14:paraId="7E1986E9">
        <w:tblPrEx>
          <w:tblCellMar>
            <w:top w:w="0" w:type="dxa"/>
            <w:left w:w="108" w:type="dxa"/>
            <w:bottom w:w="0" w:type="dxa"/>
            <w:right w:w="108" w:type="dxa"/>
          </w:tblCellMar>
        </w:tblPrEx>
        <w:trPr>
          <w:trHeight w:val="703" w:hRule="atLeast"/>
          <w:jc w:val="center"/>
        </w:trPr>
        <w:tc>
          <w:tcPr>
            <w:tcW w:w="1607" w:type="dxa"/>
            <w:tcBorders>
              <w:top w:val="nil"/>
              <w:left w:val="nil"/>
              <w:bottom w:val="nil"/>
              <w:right w:val="nil"/>
            </w:tcBorders>
            <w:vAlign w:val="center"/>
          </w:tcPr>
          <w:p w14:paraId="585C3EF4">
            <w:pPr>
              <w:widowControl/>
              <w:jc w:val="left"/>
              <w:rPr>
                <w:rFonts w:ascii="宋体" w:hAnsi="宋体" w:cs="宋体"/>
                <w:b/>
                <w:kern w:val="0"/>
                <w:sz w:val="30"/>
                <w:szCs w:val="30"/>
                <w:highlight w:val="none"/>
              </w:rPr>
            </w:pPr>
            <w:r>
              <w:rPr>
                <w:rFonts w:hint="eastAsia" w:ascii="宋体" w:hAnsi="宋体" w:cs="宋体"/>
                <w:b/>
                <w:kern w:val="0"/>
                <w:sz w:val="30"/>
                <w:szCs w:val="30"/>
                <w:highlight w:val="none"/>
              </w:rPr>
              <w:t>计划编号：</w:t>
            </w:r>
          </w:p>
        </w:tc>
        <w:tc>
          <w:tcPr>
            <w:tcW w:w="5697" w:type="dxa"/>
            <w:tcBorders>
              <w:top w:val="nil"/>
              <w:left w:val="nil"/>
              <w:bottom w:val="nil"/>
              <w:right w:val="nil"/>
            </w:tcBorders>
            <w:vAlign w:val="center"/>
          </w:tcPr>
          <w:p w14:paraId="5632707D">
            <w:pPr>
              <w:widowControl/>
              <w:jc w:val="left"/>
              <w:rPr>
                <w:rFonts w:hint="default" w:ascii="宋体" w:hAnsi="宋体" w:eastAsia="宋体" w:cs="宋体"/>
                <w:b/>
                <w:bCs/>
                <w:kern w:val="0"/>
                <w:sz w:val="30"/>
                <w:szCs w:val="30"/>
                <w:highlight w:val="none"/>
                <w:lang w:val="en-US" w:eastAsia="zh-CN"/>
              </w:rPr>
            </w:pPr>
            <w:r>
              <w:rPr>
                <w:rFonts w:hint="eastAsia" w:ascii="宋体" w:hAnsi="宋体" w:cs="宋体"/>
                <w:b/>
                <w:bCs/>
                <w:kern w:val="0"/>
                <w:sz w:val="30"/>
                <w:szCs w:val="30"/>
                <w:highlight w:val="none"/>
              </w:rPr>
              <w:t>政采-西安市-2024-</w:t>
            </w:r>
            <w:r>
              <w:rPr>
                <w:rFonts w:hint="eastAsia" w:ascii="宋体" w:hAnsi="宋体" w:cs="宋体"/>
                <w:b/>
                <w:bCs/>
                <w:kern w:val="0"/>
                <w:sz w:val="30"/>
                <w:szCs w:val="30"/>
                <w:highlight w:val="none"/>
                <w:lang w:val="en-US" w:eastAsia="zh-CN"/>
              </w:rPr>
              <w:t>02626</w:t>
            </w:r>
          </w:p>
        </w:tc>
      </w:tr>
      <w:tr w14:paraId="05A21AB5">
        <w:tblPrEx>
          <w:tblCellMar>
            <w:top w:w="0" w:type="dxa"/>
            <w:left w:w="108" w:type="dxa"/>
            <w:bottom w:w="0" w:type="dxa"/>
            <w:right w:w="108" w:type="dxa"/>
          </w:tblCellMar>
        </w:tblPrEx>
        <w:trPr>
          <w:trHeight w:val="703" w:hRule="atLeast"/>
          <w:jc w:val="center"/>
        </w:trPr>
        <w:tc>
          <w:tcPr>
            <w:tcW w:w="1607" w:type="dxa"/>
            <w:tcBorders>
              <w:top w:val="nil"/>
              <w:left w:val="nil"/>
              <w:bottom w:val="nil"/>
              <w:right w:val="nil"/>
            </w:tcBorders>
            <w:vAlign w:val="center"/>
          </w:tcPr>
          <w:p w14:paraId="0E42D370">
            <w:pPr>
              <w:widowControl/>
              <w:jc w:val="left"/>
              <w:rPr>
                <w:rFonts w:ascii="宋体" w:hAnsi="宋体" w:cs="宋体"/>
                <w:b/>
                <w:kern w:val="0"/>
                <w:sz w:val="30"/>
                <w:szCs w:val="30"/>
                <w:highlight w:val="none"/>
              </w:rPr>
            </w:pPr>
            <w:r>
              <w:rPr>
                <w:rFonts w:hint="eastAsia" w:ascii="宋体" w:hAnsi="宋体" w:cs="宋体"/>
                <w:b/>
                <w:kern w:val="0"/>
                <w:sz w:val="30"/>
                <w:szCs w:val="30"/>
                <w:highlight w:val="none"/>
              </w:rPr>
              <w:t>标包数量：</w:t>
            </w:r>
          </w:p>
        </w:tc>
        <w:tc>
          <w:tcPr>
            <w:tcW w:w="5697" w:type="dxa"/>
            <w:tcBorders>
              <w:top w:val="nil"/>
              <w:left w:val="nil"/>
              <w:bottom w:val="nil"/>
              <w:right w:val="nil"/>
            </w:tcBorders>
            <w:vAlign w:val="center"/>
          </w:tcPr>
          <w:p w14:paraId="2ED569F7">
            <w:pPr>
              <w:widowControl/>
              <w:jc w:val="left"/>
              <w:rPr>
                <w:rFonts w:ascii="宋体" w:hAnsi="宋体" w:cs="宋体"/>
                <w:b/>
                <w:bCs/>
                <w:kern w:val="0"/>
                <w:sz w:val="30"/>
                <w:szCs w:val="30"/>
                <w:highlight w:val="none"/>
              </w:rPr>
            </w:pPr>
            <w:r>
              <w:rPr>
                <w:rFonts w:hint="eastAsia" w:ascii="宋体" w:hAnsi="宋体" w:cs="宋体"/>
                <w:b/>
                <w:bCs/>
                <w:kern w:val="0"/>
                <w:sz w:val="30"/>
                <w:szCs w:val="30"/>
                <w:highlight w:val="none"/>
              </w:rPr>
              <w:t>共11包</w:t>
            </w:r>
          </w:p>
        </w:tc>
      </w:tr>
      <w:tr w14:paraId="64F3D4A4">
        <w:tblPrEx>
          <w:tblCellMar>
            <w:top w:w="0" w:type="dxa"/>
            <w:left w:w="108" w:type="dxa"/>
            <w:bottom w:w="0" w:type="dxa"/>
            <w:right w:w="108" w:type="dxa"/>
          </w:tblCellMar>
        </w:tblPrEx>
        <w:trPr>
          <w:trHeight w:val="703" w:hRule="atLeast"/>
          <w:jc w:val="center"/>
        </w:trPr>
        <w:tc>
          <w:tcPr>
            <w:tcW w:w="1607" w:type="dxa"/>
            <w:tcBorders>
              <w:top w:val="nil"/>
              <w:left w:val="nil"/>
              <w:bottom w:val="nil"/>
              <w:right w:val="nil"/>
            </w:tcBorders>
            <w:vAlign w:val="center"/>
          </w:tcPr>
          <w:p w14:paraId="0E1FC9CA">
            <w:pPr>
              <w:widowControl/>
              <w:jc w:val="left"/>
              <w:rPr>
                <w:rFonts w:ascii="宋体" w:hAnsi="宋体" w:cs="宋体"/>
                <w:b/>
                <w:kern w:val="0"/>
                <w:sz w:val="30"/>
                <w:szCs w:val="30"/>
                <w:highlight w:val="none"/>
              </w:rPr>
            </w:pPr>
            <w:r>
              <w:rPr>
                <w:rFonts w:hint="eastAsia" w:ascii="宋体" w:hAnsi="宋体" w:cs="宋体"/>
                <w:b/>
                <w:kern w:val="0"/>
                <w:sz w:val="30"/>
                <w:szCs w:val="30"/>
                <w:highlight w:val="none"/>
              </w:rPr>
              <w:t>包    号：</w:t>
            </w:r>
          </w:p>
        </w:tc>
        <w:tc>
          <w:tcPr>
            <w:tcW w:w="5697" w:type="dxa"/>
            <w:tcBorders>
              <w:top w:val="nil"/>
              <w:left w:val="nil"/>
              <w:bottom w:val="nil"/>
              <w:right w:val="nil"/>
            </w:tcBorders>
            <w:vAlign w:val="center"/>
          </w:tcPr>
          <w:p w14:paraId="78E09A78">
            <w:pPr>
              <w:widowControl/>
              <w:jc w:val="left"/>
              <w:rPr>
                <w:rFonts w:ascii="宋体" w:hAnsi="宋体" w:cs="宋体"/>
                <w:b/>
                <w:bCs/>
                <w:kern w:val="0"/>
                <w:sz w:val="30"/>
                <w:szCs w:val="30"/>
                <w:highlight w:val="none"/>
              </w:rPr>
            </w:pPr>
            <w:r>
              <w:rPr>
                <w:rFonts w:hint="eastAsia" w:ascii="宋体" w:hAnsi="宋体" w:cs="宋体"/>
                <w:b/>
                <w:bCs/>
                <w:kern w:val="0"/>
                <w:sz w:val="30"/>
                <w:szCs w:val="30"/>
                <w:highlight w:val="none"/>
              </w:rPr>
              <w:t>第11包</w:t>
            </w:r>
          </w:p>
        </w:tc>
      </w:tr>
      <w:tr w14:paraId="2F1318B6">
        <w:tblPrEx>
          <w:tblCellMar>
            <w:top w:w="0" w:type="dxa"/>
            <w:left w:w="108" w:type="dxa"/>
            <w:bottom w:w="0" w:type="dxa"/>
            <w:right w:w="108" w:type="dxa"/>
          </w:tblCellMar>
        </w:tblPrEx>
        <w:trPr>
          <w:trHeight w:val="703" w:hRule="atLeast"/>
          <w:jc w:val="center"/>
        </w:trPr>
        <w:tc>
          <w:tcPr>
            <w:tcW w:w="1607" w:type="dxa"/>
            <w:tcBorders>
              <w:top w:val="nil"/>
              <w:left w:val="nil"/>
              <w:bottom w:val="nil"/>
              <w:right w:val="nil"/>
            </w:tcBorders>
            <w:vAlign w:val="center"/>
          </w:tcPr>
          <w:p w14:paraId="68DC642A">
            <w:pPr>
              <w:widowControl/>
              <w:jc w:val="left"/>
              <w:rPr>
                <w:rFonts w:ascii="宋体" w:hAnsi="宋体" w:cs="宋体"/>
                <w:b/>
                <w:kern w:val="0"/>
                <w:sz w:val="30"/>
                <w:szCs w:val="30"/>
                <w:highlight w:val="none"/>
              </w:rPr>
            </w:pPr>
            <w:r>
              <w:rPr>
                <w:rFonts w:hint="eastAsia" w:ascii="宋体" w:hAnsi="宋体" w:cs="宋体"/>
                <w:b/>
                <w:kern w:val="0"/>
                <w:sz w:val="30"/>
                <w:szCs w:val="30"/>
                <w:highlight w:val="none"/>
              </w:rPr>
              <w:t>采购内容：</w:t>
            </w:r>
          </w:p>
        </w:tc>
        <w:tc>
          <w:tcPr>
            <w:tcW w:w="5697" w:type="dxa"/>
            <w:tcBorders>
              <w:top w:val="nil"/>
              <w:left w:val="nil"/>
              <w:bottom w:val="nil"/>
              <w:right w:val="nil"/>
            </w:tcBorders>
            <w:vAlign w:val="center"/>
          </w:tcPr>
          <w:p w14:paraId="1ADC7B56">
            <w:pPr>
              <w:widowControl/>
              <w:jc w:val="left"/>
              <w:rPr>
                <w:rFonts w:ascii="宋体" w:hAnsi="宋体" w:cs="宋体"/>
                <w:b/>
                <w:bCs/>
                <w:kern w:val="0"/>
                <w:sz w:val="30"/>
                <w:szCs w:val="30"/>
                <w:highlight w:val="none"/>
              </w:rPr>
            </w:pPr>
            <w:r>
              <w:rPr>
                <w:rFonts w:hint="eastAsia" w:ascii="宋体" w:hAnsi="宋体" w:cs="宋体"/>
                <w:b/>
                <w:bCs/>
                <w:kern w:val="0"/>
                <w:sz w:val="30"/>
                <w:szCs w:val="30"/>
                <w:highlight w:val="none"/>
              </w:rPr>
              <w:t>违法停放车辆拖移转运社会化服务</w:t>
            </w:r>
          </w:p>
        </w:tc>
      </w:tr>
    </w:tbl>
    <w:p w14:paraId="7255115F">
      <w:pPr>
        <w:rPr>
          <w:rFonts w:ascii="宋体" w:hAnsi="宋体" w:cs="宋体"/>
          <w:b/>
          <w:sz w:val="36"/>
          <w:szCs w:val="36"/>
          <w:highlight w:val="none"/>
        </w:rPr>
      </w:pPr>
    </w:p>
    <w:p w14:paraId="3C53777D">
      <w:pPr>
        <w:rPr>
          <w:rFonts w:ascii="宋体" w:hAnsi="宋体" w:cs="宋体"/>
          <w:b/>
          <w:bCs/>
          <w:sz w:val="36"/>
          <w:highlight w:val="none"/>
        </w:rPr>
      </w:pPr>
    </w:p>
    <w:p w14:paraId="539B0AD1">
      <w:pPr>
        <w:snapToGrid w:val="0"/>
        <w:jc w:val="center"/>
        <w:rPr>
          <w:rFonts w:ascii="宋体" w:hAnsi="宋体" w:cs="宋体"/>
          <w:b/>
          <w:bCs/>
          <w:sz w:val="36"/>
          <w:szCs w:val="36"/>
          <w:highlight w:val="none"/>
        </w:rPr>
      </w:pPr>
      <w:r>
        <w:rPr>
          <w:rFonts w:hint="eastAsia" w:ascii="宋体" w:hAnsi="宋体" w:cs="宋体"/>
          <w:b/>
          <w:bCs/>
          <w:sz w:val="36"/>
          <w:szCs w:val="36"/>
          <w:highlight w:val="none"/>
        </w:rPr>
        <w:t>西北（陕西）国际招标有限公司</w:t>
      </w:r>
    </w:p>
    <w:p w14:paraId="2D091B2F">
      <w:pPr>
        <w:tabs>
          <w:tab w:val="left" w:pos="525"/>
        </w:tabs>
        <w:snapToGrid w:val="0"/>
        <w:ind w:left="-2" w:leftChars="-1" w:firstLine="1"/>
        <w:jc w:val="center"/>
        <w:rPr>
          <w:rFonts w:ascii="宋体" w:hAnsi="宋体" w:cs="宋体"/>
          <w:b/>
          <w:bCs/>
          <w:sz w:val="36"/>
          <w:szCs w:val="36"/>
          <w:highlight w:val="none"/>
        </w:rPr>
      </w:pPr>
    </w:p>
    <w:p w14:paraId="48D231AC">
      <w:pPr>
        <w:tabs>
          <w:tab w:val="left" w:pos="525"/>
        </w:tabs>
        <w:snapToGrid w:val="0"/>
        <w:ind w:left="-2" w:leftChars="-1" w:firstLine="1"/>
        <w:jc w:val="center"/>
        <w:rPr>
          <w:rFonts w:ascii="宋体" w:hAnsi="宋体" w:cs="宋体"/>
          <w:b/>
          <w:bCs/>
          <w:sz w:val="36"/>
          <w:szCs w:val="36"/>
          <w:highlight w:val="none"/>
        </w:rPr>
      </w:pPr>
      <w:r>
        <w:rPr>
          <w:rFonts w:hint="eastAsia" w:ascii="宋体" w:hAnsi="宋体" w:cs="宋体"/>
          <w:b/>
          <w:bCs/>
          <w:sz w:val="36"/>
          <w:szCs w:val="36"/>
          <w:highlight w:val="none"/>
        </w:rPr>
        <w:t>二〇二四年</w:t>
      </w:r>
      <w:r>
        <w:rPr>
          <w:rFonts w:hint="eastAsia" w:ascii="宋体" w:hAnsi="宋体" w:cs="宋体"/>
          <w:b/>
          <w:bCs/>
          <w:sz w:val="36"/>
          <w:szCs w:val="36"/>
          <w:highlight w:val="none"/>
          <w:lang w:val="en-US" w:eastAsia="zh-CN"/>
        </w:rPr>
        <w:t>七</w:t>
      </w:r>
      <w:r>
        <w:rPr>
          <w:rFonts w:hint="eastAsia" w:ascii="宋体" w:hAnsi="宋体" w:cs="宋体"/>
          <w:b/>
          <w:bCs/>
          <w:sz w:val="36"/>
          <w:szCs w:val="36"/>
          <w:highlight w:val="none"/>
        </w:rPr>
        <w:t>月</w:t>
      </w:r>
    </w:p>
    <w:p w14:paraId="2C4970BC">
      <w:pPr>
        <w:pStyle w:val="9"/>
        <w:rPr>
          <w:rFonts w:ascii="宋体" w:hAnsi="宋体" w:cs="宋体"/>
          <w:highlight w:val="none"/>
        </w:rPr>
      </w:pPr>
    </w:p>
    <w:p w14:paraId="7DCBC574">
      <w:pPr>
        <w:spacing w:after="312" w:afterLines="100"/>
        <w:jc w:val="center"/>
        <w:rPr>
          <w:rFonts w:ascii="宋体" w:hAnsi="宋体" w:cs="宋体"/>
          <w:b/>
          <w:sz w:val="48"/>
          <w:szCs w:val="48"/>
          <w:highlight w:val="none"/>
        </w:rPr>
      </w:pPr>
      <w:r>
        <w:rPr>
          <w:rFonts w:hint="eastAsia" w:ascii="宋体" w:hAnsi="宋体" w:cs="宋体"/>
          <w:b/>
          <w:sz w:val="48"/>
          <w:szCs w:val="48"/>
          <w:highlight w:val="none"/>
        </w:rPr>
        <w:t>目   录</w:t>
      </w:r>
    </w:p>
    <w:p w14:paraId="739233C9">
      <w:pPr>
        <w:pStyle w:val="9"/>
        <w:tabs>
          <w:tab w:val="right" w:leader="dot" w:pos="8306"/>
        </w:tabs>
        <w:spacing w:line="360" w:lineRule="exact"/>
        <w:rPr>
          <w:rFonts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TOC \o "1-2" \h \u </w:instrText>
      </w:r>
      <w:r>
        <w:rPr>
          <w:rFonts w:hint="eastAsia" w:ascii="宋体" w:hAnsi="宋体" w:cs="宋体"/>
          <w:highlight w:val="none"/>
        </w:rPr>
        <w:fldChar w:fldCharType="separate"/>
      </w:r>
      <w:r>
        <w:rPr>
          <w:highlight w:val="none"/>
        </w:rPr>
        <w:fldChar w:fldCharType="begin"/>
      </w:r>
      <w:r>
        <w:rPr>
          <w:highlight w:val="none"/>
        </w:rPr>
        <w:instrText xml:space="preserve"> HYPERLINK \l "_Toc8840" </w:instrText>
      </w:r>
      <w:r>
        <w:rPr>
          <w:highlight w:val="none"/>
        </w:rPr>
        <w:fldChar w:fldCharType="separate"/>
      </w:r>
      <w:r>
        <w:rPr>
          <w:rFonts w:hint="eastAsia" w:ascii="宋体" w:hAnsi="宋体" w:cs="宋体"/>
          <w:b/>
          <w:bCs/>
          <w:szCs w:val="36"/>
          <w:highlight w:val="none"/>
        </w:rPr>
        <w:t>第一章 招标公告</w:t>
      </w:r>
      <w:r>
        <w:rPr>
          <w:rFonts w:hint="eastAsia" w:ascii="宋体" w:hAnsi="宋体" w:cs="宋体"/>
          <w:b/>
          <w:bCs/>
          <w:highlight w:val="none"/>
        </w:rPr>
        <w:tab/>
      </w:r>
      <w:r>
        <w:rPr>
          <w:rFonts w:hint="eastAsia" w:ascii="宋体" w:hAnsi="宋体" w:cs="宋体"/>
          <w:b/>
          <w:bCs/>
          <w:highlight w:val="none"/>
        </w:rPr>
        <w:fldChar w:fldCharType="begin"/>
      </w:r>
      <w:r>
        <w:rPr>
          <w:rFonts w:hint="eastAsia" w:ascii="宋体" w:hAnsi="宋体" w:cs="宋体"/>
          <w:b/>
          <w:bCs/>
          <w:highlight w:val="none"/>
        </w:rPr>
        <w:instrText xml:space="preserve"> PAGEREF _Toc8840 \h </w:instrText>
      </w:r>
      <w:r>
        <w:rPr>
          <w:rFonts w:hint="eastAsia" w:ascii="宋体" w:hAnsi="宋体" w:cs="宋体"/>
          <w:b/>
          <w:bCs/>
          <w:highlight w:val="none"/>
        </w:rPr>
        <w:fldChar w:fldCharType="separate"/>
      </w:r>
      <w:r>
        <w:rPr>
          <w:rFonts w:hint="eastAsia" w:ascii="宋体" w:hAnsi="宋体" w:cs="宋体"/>
          <w:b/>
          <w:bCs/>
          <w:highlight w:val="none"/>
        </w:rPr>
        <w:t>1</w:t>
      </w:r>
      <w:r>
        <w:rPr>
          <w:rFonts w:hint="eastAsia" w:ascii="宋体" w:hAnsi="宋体" w:cs="宋体"/>
          <w:b/>
          <w:bCs/>
          <w:highlight w:val="none"/>
        </w:rPr>
        <w:fldChar w:fldCharType="end"/>
      </w:r>
      <w:r>
        <w:rPr>
          <w:rFonts w:hint="eastAsia" w:ascii="宋体" w:hAnsi="宋体" w:cs="宋体"/>
          <w:b/>
          <w:bCs/>
          <w:highlight w:val="none"/>
        </w:rPr>
        <w:fldChar w:fldCharType="end"/>
      </w:r>
    </w:p>
    <w:p w14:paraId="7089A215">
      <w:pPr>
        <w:pStyle w:val="10"/>
        <w:tabs>
          <w:tab w:val="right" w:leader="dot" w:pos="8306"/>
        </w:tabs>
        <w:spacing w:line="360" w:lineRule="exact"/>
        <w:rPr>
          <w:rFonts w:ascii="宋体" w:hAnsi="宋体" w:cs="宋体"/>
          <w:highlight w:val="none"/>
        </w:rPr>
      </w:pPr>
      <w:r>
        <w:rPr>
          <w:highlight w:val="none"/>
        </w:rPr>
        <w:fldChar w:fldCharType="begin"/>
      </w:r>
      <w:r>
        <w:rPr>
          <w:highlight w:val="none"/>
        </w:rPr>
        <w:instrText xml:space="preserve"> HYPERLINK \l "_Toc16918" </w:instrText>
      </w:r>
      <w:r>
        <w:rPr>
          <w:highlight w:val="none"/>
        </w:rPr>
        <w:fldChar w:fldCharType="separate"/>
      </w:r>
      <w:r>
        <w:rPr>
          <w:rFonts w:hint="eastAsia" w:ascii="宋体" w:hAnsi="宋体" w:cs="宋体"/>
          <w:kern w:val="0"/>
          <w:szCs w:val="21"/>
          <w:highlight w:val="none"/>
        </w:rPr>
        <w:t>一、项目基本情况</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_Toc16918 \h </w:instrText>
      </w:r>
      <w:r>
        <w:rPr>
          <w:rFonts w:hint="eastAsia" w:ascii="宋体" w:hAnsi="宋体" w:cs="宋体"/>
          <w:highlight w:val="none"/>
        </w:rPr>
        <w:fldChar w:fldCharType="separate"/>
      </w:r>
      <w:r>
        <w:rPr>
          <w:rFonts w:hint="eastAsia" w:ascii="宋体" w:hAnsi="宋体" w:cs="宋体"/>
          <w:highlight w:val="none"/>
        </w:rPr>
        <w:t>1</w:t>
      </w:r>
      <w:r>
        <w:rPr>
          <w:rFonts w:hint="eastAsia" w:ascii="宋体" w:hAnsi="宋体" w:cs="宋体"/>
          <w:highlight w:val="none"/>
        </w:rPr>
        <w:fldChar w:fldCharType="end"/>
      </w:r>
      <w:r>
        <w:rPr>
          <w:rFonts w:hint="eastAsia" w:ascii="宋体" w:hAnsi="宋体" w:cs="宋体"/>
          <w:highlight w:val="none"/>
        </w:rPr>
        <w:fldChar w:fldCharType="end"/>
      </w:r>
    </w:p>
    <w:p w14:paraId="15434D6D">
      <w:pPr>
        <w:pStyle w:val="10"/>
        <w:tabs>
          <w:tab w:val="right" w:leader="dot" w:pos="8306"/>
        </w:tabs>
        <w:spacing w:line="360" w:lineRule="exact"/>
        <w:rPr>
          <w:rFonts w:ascii="宋体" w:hAnsi="宋体" w:cs="宋体"/>
          <w:highlight w:val="none"/>
        </w:rPr>
      </w:pPr>
      <w:r>
        <w:rPr>
          <w:highlight w:val="none"/>
        </w:rPr>
        <w:fldChar w:fldCharType="begin"/>
      </w:r>
      <w:r>
        <w:rPr>
          <w:highlight w:val="none"/>
        </w:rPr>
        <w:instrText xml:space="preserve"> HYPERLINK \l "_Toc24695" </w:instrText>
      </w:r>
      <w:r>
        <w:rPr>
          <w:highlight w:val="none"/>
        </w:rPr>
        <w:fldChar w:fldCharType="separate"/>
      </w:r>
      <w:r>
        <w:rPr>
          <w:rFonts w:hint="eastAsia" w:ascii="宋体" w:hAnsi="宋体" w:cs="宋体"/>
          <w:kern w:val="0"/>
          <w:szCs w:val="21"/>
          <w:highlight w:val="none"/>
        </w:rPr>
        <w:t>二、申请人的资格要求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_Toc24695 \h </w:instrText>
      </w:r>
      <w:r>
        <w:rPr>
          <w:rFonts w:hint="eastAsia" w:ascii="宋体" w:hAnsi="宋体" w:cs="宋体"/>
          <w:highlight w:val="none"/>
        </w:rPr>
        <w:fldChar w:fldCharType="separate"/>
      </w:r>
      <w:r>
        <w:rPr>
          <w:rFonts w:hint="eastAsia" w:ascii="宋体" w:hAnsi="宋体" w:cs="宋体"/>
          <w:highlight w:val="none"/>
        </w:rPr>
        <w:t>5</w:t>
      </w:r>
      <w:r>
        <w:rPr>
          <w:rFonts w:hint="eastAsia" w:ascii="宋体" w:hAnsi="宋体" w:cs="宋体"/>
          <w:highlight w:val="none"/>
        </w:rPr>
        <w:fldChar w:fldCharType="end"/>
      </w:r>
      <w:r>
        <w:rPr>
          <w:rFonts w:hint="eastAsia" w:ascii="宋体" w:hAnsi="宋体" w:cs="宋体"/>
          <w:highlight w:val="none"/>
        </w:rPr>
        <w:fldChar w:fldCharType="end"/>
      </w:r>
    </w:p>
    <w:p w14:paraId="47A2CE6B">
      <w:pPr>
        <w:pStyle w:val="10"/>
        <w:tabs>
          <w:tab w:val="right" w:leader="dot" w:pos="8306"/>
        </w:tabs>
        <w:spacing w:line="360" w:lineRule="exact"/>
        <w:rPr>
          <w:rFonts w:ascii="宋体" w:hAnsi="宋体" w:cs="宋体"/>
          <w:highlight w:val="none"/>
        </w:rPr>
      </w:pPr>
      <w:r>
        <w:rPr>
          <w:highlight w:val="none"/>
        </w:rPr>
        <w:fldChar w:fldCharType="begin"/>
      </w:r>
      <w:r>
        <w:rPr>
          <w:highlight w:val="none"/>
        </w:rPr>
        <w:instrText xml:space="preserve"> HYPERLINK \l "_Toc17850" </w:instrText>
      </w:r>
      <w:r>
        <w:rPr>
          <w:highlight w:val="none"/>
        </w:rPr>
        <w:fldChar w:fldCharType="separate"/>
      </w:r>
      <w:r>
        <w:rPr>
          <w:rFonts w:hint="eastAsia" w:ascii="宋体" w:hAnsi="宋体" w:cs="宋体"/>
          <w:kern w:val="0"/>
          <w:szCs w:val="21"/>
          <w:highlight w:val="none"/>
        </w:rPr>
        <w:t>三、获取招标文件</w:t>
      </w:r>
      <w:r>
        <w:rPr>
          <w:rFonts w:hint="eastAsia" w:ascii="宋体" w:hAnsi="宋体" w:cs="宋体"/>
          <w:highlight w:val="none"/>
        </w:rPr>
        <w:tab/>
      </w:r>
      <w:r>
        <w:rPr>
          <w:rFonts w:hint="eastAsia" w:ascii="宋体" w:hAnsi="宋体" w:cs="宋体"/>
          <w:highlight w:val="none"/>
        </w:rPr>
        <w:t>7</w:t>
      </w:r>
      <w:r>
        <w:rPr>
          <w:rFonts w:hint="eastAsia" w:ascii="宋体" w:hAnsi="宋体" w:cs="宋体"/>
          <w:highlight w:val="none"/>
        </w:rPr>
        <w:fldChar w:fldCharType="end"/>
      </w:r>
    </w:p>
    <w:p w14:paraId="76E326EC">
      <w:pPr>
        <w:pStyle w:val="10"/>
        <w:tabs>
          <w:tab w:val="right" w:leader="dot" w:pos="8306"/>
        </w:tabs>
        <w:spacing w:line="360" w:lineRule="exact"/>
        <w:rPr>
          <w:rFonts w:ascii="宋体" w:hAnsi="宋体" w:cs="宋体"/>
          <w:highlight w:val="none"/>
        </w:rPr>
      </w:pPr>
      <w:r>
        <w:rPr>
          <w:highlight w:val="none"/>
        </w:rPr>
        <w:fldChar w:fldCharType="begin"/>
      </w:r>
      <w:r>
        <w:rPr>
          <w:highlight w:val="none"/>
        </w:rPr>
        <w:instrText xml:space="preserve"> HYPERLINK \l "_Toc12830" </w:instrText>
      </w:r>
      <w:r>
        <w:rPr>
          <w:highlight w:val="none"/>
        </w:rPr>
        <w:fldChar w:fldCharType="separate"/>
      </w:r>
      <w:r>
        <w:rPr>
          <w:rFonts w:hint="eastAsia" w:ascii="宋体" w:hAnsi="宋体" w:cs="宋体"/>
          <w:kern w:val="0"/>
          <w:szCs w:val="21"/>
          <w:highlight w:val="none"/>
        </w:rPr>
        <w:t>四、提交投标文件截止时间、开标时间和地点</w:t>
      </w:r>
      <w:r>
        <w:rPr>
          <w:rFonts w:hint="eastAsia" w:ascii="宋体" w:hAnsi="宋体" w:cs="宋体"/>
          <w:highlight w:val="none"/>
        </w:rPr>
        <w:tab/>
      </w:r>
      <w:r>
        <w:rPr>
          <w:rFonts w:hint="eastAsia" w:ascii="宋体" w:hAnsi="宋体" w:cs="宋体"/>
          <w:highlight w:val="none"/>
        </w:rPr>
        <w:t>7</w:t>
      </w:r>
      <w:r>
        <w:rPr>
          <w:rFonts w:hint="eastAsia" w:ascii="宋体" w:hAnsi="宋体" w:cs="宋体"/>
          <w:highlight w:val="none"/>
        </w:rPr>
        <w:fldChar w:fldCharType="end"/>
      </w:r>
    </w:p>
    <w:p w14:paraId="688851A6">
      <w:pPr>
        <w:pStyle w:val="10"/>
        <w:tabs>
          <w:tab w:val="right" w:leader="dot" w:pos="8306"/>
        </w:tabs>
        <w:spacing w:line="360" w:lineRule="exact"/>
        <w:rPr>
          <w:rFonts w:ascii="宋体" w:hAnsi="宋体" w:cs="宋体"/>
          <w:highlight w:val="none"/>
        </w:rPr>
      </w:pPr>
      <w:r>
        <w:rPr>
          <w:highlight w:val="none"/>
        </w:rPr>
        <w:fldChar w:fldCharType="begin"/>
      </w:r>
      <w:r>
        <w:rPr>
          <w:highlight w:val="none"/>
        </w:rPr>
        <w:instrText xml:space="preserve"> HYPERLINK \l "_Toc29662" </w:instrText>
      </w:r>
      <w:r>
        <w:rPr>
          <w:highlight w:val="none"/>
        </w:rPr>
        <w:fldChar w:fldCharType="separate"/>
      </w:r>
      <w:r>
        <w:rPr>
          <w:rFonts w:hint="eastAsia" w:ascii="宋体" w:hAnsi="宋体" w:cs="宋体"/>
          <w:kern w:val="0"/>
          <w:szCs w:val="21"/>
          <w:highlight w:val="none"/>
        </w:rPr>
        <w:t>五、公告期限</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_Toc29662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fldChar w:fldCharType="end"/>
      </w:r>
    </w:p>
    <w:p w14:paraId="4CEB97C7">
      <w:pPr>
        <w:pStyle w:val="10"/>
        <w:tabs>
          <w:tab w:val="right" w:leader="dot" w:pos="8306"/>
        </w:tabs>
        <w:spacing w:line="360" w:lineRule="exact"/>
        <w:rPr>
          <w:rFonts w:ascii="宋体" w:hAnsi="宋体" w:cs="宋体"/>
          <w:highlight w:val="none"/>
        </w:rPr>
      </w:pPr>
      <w:r>
        <w:rPr>
          <w:highlight w:val="none"/>
        </w:rPr>
        <w:fldChar w:fldCharType="begin"/>
      </w:r>
      <w:r>
        <w:rPr>
          <w:highlight w:val="none"/>
        </w:rPr>
        <w:instrText xml:space="preserve"> HYPERLINK \l "_Toc1321" </w:instrText>
      </w:r>
      <w:r>
        <w:rPr>
          <w:highlight w:val="none"/>
        </w:rPr>
        <w:fldChar w:fldCharType="separate"/>
      </w:r>
      <w:r>
        <w:rPr>
          <w:rFonts w:hint="eastAsia" w:ascii="宋体" w:hAnsi="宋体" w:cs="宋体"/>
          <w:kern w:val="0"/>
          <w:szCs w:val="21"/>
          <w:highlight w:val="none"/>
        </w:rPr>
        <w:t>六、其他补充事宜</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_Toc1321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fldChar w:fldCharType="end"/>
      </w:r>
    </w:p>
    <w:p w14:paraId="0C5EF08B">
      <w:pPr>
        <w:pStyle w:val="10"/>
        <w:tabs>
          <w:tab w:val="right" w:leader="dot" w:pos="8306"/>
        </w:tabs>
        <w:spacing w:line="360" w:lineRule="exact"/>
        <w:rPr>
          <w:rFonts w:ascii="宋体" w:hAnsi="宋体" w:cs="宋体"/>
          <w:highlight w:val="none"/>
        </w:rPr>
      </w:pPr>
      <w:r>
        <w:rPr>
          <w:highlight w:val="none"/>
        </w:rPr>
        <w:fldChar w:fldCharType="begin"/>
      </w:r>
      <w:r>
        <w:rPr>
          <w:highlight w:val="none"/>
        </w:rPr>
        <w:instrText xml:space="preserve"> HYPERLINK \l "_Toc26582" </w:instrText>
      </w:r>
      <w:r>
        <w:rPr>
          <w:highlight w:val="none"/>
        </w:rPr>
        <w:fldChar w:fldCharType="separate"/>
      </w:r>
      <w:r>
        <w:rPr>
          <w:rFonts w:hint="eastAsia" w:ascii="宋体" w:hAnsi="宋体" w:cs="宋体"/>
          <w:kern w:val="0"/>
          <w:szCs w:val="21"/>
          <w:highlight w:val="none"/>
        </w:rPr>
        <w:t>七、凡对本次采购提出询问，请按以下方式联系</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_Toc26582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fldChar w:fldCharType="end"/>
      </w:r>
    </w:p>
    <w:p w14:paraId="795977EC">
      <w:pPr>
        <w:pStyle w:val="9"/>
        <w:tabs>
          <w:tab w:val="right" w:leader="dot" w:pos="8306"/>
        </w:tabs>
        <w:spacing w:line="360" w:lineRule="exact"/>
        <w:rPr>
          <w:rFonts w:ascii="宋体" w:hAnsi="宋体" w:cs="宋体"/>
          <w:b/>
          <w:bCs/>
          <w:highlight w:val="none"/>
        </w:rPr>
      </w:pPr>
      <w:r>
        <w:rPr>
          <w:highlight w:val="none"/>
        </w:rPr>
        <w:fldChar w:fldCharType="begin"/>
      </w:r>
      <w:r>
        <w:rPr>
          <w:highlight w:val="none"/>
        </w:rPr>
        <w:instrText xml:space="preserve"> HYPERLINK \l "_Toc3559" </w:instrText>
      </w:r>
      <w:r>
        <w:rPr>
          <w:highlight w:val="none"/>
        </w:rPr>
        <w:fldChar w:fldCharType="separate"/>
      </w:r>
      <w:r>
        <w:rPr>
          <w:rFonts w:hint="eastAsia" w:ascii="宋体" w:hAnsi="宋体" w:cs="宋体"/>
          <w:b/>
          <w:bCs/>
          <w:szCs w:val="36"/>
          <w:highlight w:val="none"/>
        </w:rPr>
        <w:t>第二章  供应商须知及前附表</w:t>
      </w:r>
      <w:r>
        <w:rPr>
          <w:rFonts w:hint="eastAsia" w:ascii="宋体" w:hAnsi="宋体" w:cs="宋体"/>
          <w:b/>
          <w:bCs/>
          <w:highlight w:val="none"/>
        </w:rPr>
        <w:tab/>
      </w:r>
      <w:r>
        <w:rPr>
          <w:rFonts w:hint="eastAsia" w:ascii="宋体" w:hAnsi="宋体" w:cs="宋体"/>
          <w:b/>
          <w:bCs/>
          <w:highlight w:val="none"/>
        </w:rPr>
        <w:fldChar w:fldCharType="begin"/>
      </w:r>
      <w:r>
        <w:rPr>
          <w:rFonts w:hint="eastAsia" w:ascii="宋体" w:hAnsi="宋体" w:cs="宋体"/>
          <w:b/>
          <w:bCs/>
          <w:highlight w:val="none"/>
        </w:rPr>
        <w:instrText xml:space="preserve"> PAGEREF _Toc3559 \h </w:instrText>
      </w:r>
      <w:r>
        <w:rPr>
          <w:rFonts w:hint="eastAsia" w:ascii="宋体" w:hAnsi="宋体" w:cs="宋体"/>
          <w:b/>
          <w:bCs/>
          <w:highlight w:val="none"/>
        </w:rPr>
        <w:fldChar w:fldCharType="separate"/>
      </w:r>
      <w:r>
        <w:rPr>
          <w:rFonts w:hint="eastAsia" w:ascii="宋体" w:hAnsi="宋体" w:cs="宋体"/>
          <w:b/>
          <w:bCs/>
          <w:highlight w:val="none"/>
        </w:rPr>
        <w:t>6</w:t>
      </w:r>
      <w:r>
        <w:rPr>
          <w:rFonts w:hint="eastAsia" w:ascii="宋体" w:hAnsi="宋体" w:cs="宋体"/>
          <w:b/>
          <w:bCs/>
          <w:highlight w:val="none"/>
        </w:rPr>
        <w:fldChar w:fldCharType="end"/>
      </w:r>
      <w:r>
        <w:rPr>
          <w:rFonts w:hint="eastAsia" w:ascii="宋体" w:hAnsi="宋体" w:cs="宋体"/>
          <w:b/>
          <w:bCs/>
          <w:highlight w:val="none"/>
        </w:rPr>
        <w:fldChar w:fldCharType="end"/>
      </w:r>
    </w:p>
    <w:p w14:paraId="6623126E">
      <w:pPr>
        <w:pStyle w:val="10"/>
        <w:tabs>
          <w:tab w:val="right" w:leader="dot" w:pos="8306"/>
        </w:tabs>
        <w:spacing w:line="360" w:lineRule="exact"/>
        <w:rPr>
          <w:rFonts w:ascii="宋体" w:hAnsi="宋体" w:cs="宋体"/>
          <w:highlight w:val="none"/>
        </w:rPr>
      </w:pPr>
      <w:r>
        <w:rPr>
          <w:highlight w:val="none"/>
        </w:rPr>
        <w:fldChar w:fldCharType="begin"/>
      </w:r>
      <w:r>
        <w:rPr>
          <w:highlight w:val="none"/>
        </w:rPr>
        <w:instrText xml:space="preserve"> HYPERLINK \l "_Toc29228" </w:instrText>
      </w:r>
      <w:r>
        <w:rPr>
          <w:highlight w:val="none"/>
        </w:rPr>
        <w:fldChar w:fldCharType="separate"/>
      </w:r>
      <w:r>
        <w:rPr>
          <w:rFonts w:hint="eastAsia" w:ascii="宋体" w:hAnsi="宋体" w:cs="宋体"/>
          <w:szCs w:val="30"/>
          <w:highlight w:val="none"/>
        </w:rPr>
        <w:t>供应商须知前附表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_Toc29228 \h </w:instrText>
      </w:r>
      <w:r>
        <w:rPr>
          <w:rFonts w:hint="eastAsia" w:ascii="宋体" w:hAnsi="宋体" w:cs="宋体"/>
          <w:highlight w:val="none"/>
        </w:rPr>
        <w:fldChar w:fldCharType="separate"/>
      </w:r>
      <w:r>
        <w:rPr>
          <w:rFonts w:hint="eastAsia" w:ascii="宋体" w:hAnsi="宋体" w:cs="宋体"/>
          <w:highlight w:val="none"/>
        </w:rPr>
        <w:t>13</w:t>
      </w:r>
      <w:r>
        <w:rPr>
          <w:rFonts w:hint="eastAsia" w:ascii="宋体" w:hAnsi="宋体" w:cs="宋体"/>
          <w:highlight w:val="none"/>
        </w:rPr>
        <w:fldChar w:fldCharType="end"/>
      </w:r>
      <w:r>
        <w:rPr>
          <w:rFonts w:hint="eastAsia" w:ascii="宋体" w:hAnsi="宋体" w:cs="宋体"/>
          <w:highlight w:val="none"/>
        </w:rPr>
        <w:fldChar w:fldCharType="end"/>
      </w:r>
    </w:p>
    <w:p w14:paraId="719559AE">
      <w:pPr>
        <w:pStyle w:val="10"/>
        <w:tabs>
          <w:tab w:val="right" w:leader="dot" w:pos="8306"/>
        </w:tabs>
        <w:spacing w:line="360" w:lineRule="exact"/>
        <w:rPr>
          <w:rFonts w:ascii="宋体" w:hAnsi="宋体" w:cs="宋体"/>
          <w:highlight w:val="none"/>
        </w:rPr>
      </w:pPr>
      <w:r>
        <w:rPr>
          <w:highlight w:val="none"/>
        </w:rPr>
        <w:fldChar w:fldCharType="begin"/>
      </w:r>
      <w:r>
        <w:rPr>
          <w:highlight w:val="none"/>
        </w:rPr>
        <w:instrText xml:space="preserve"> HYPERLINK \l "_Toc29842" </w:instrText>
      </w:r>
      <w:r>
        <w:rPr>
          <w:highlight w:val="none"/>
        </w:rPr>
        <w:fldChar w:fldCharType="separate"/>
      </w:r>
      <w:r>
        <w:rPr>
          <w:rFonts w:hint="eastAsia" w:ascii="宋体" w:hAnsi="宋体" w:cs="宋体"/>
          <w:szCs w:val="30"/>
          <w:highlight w:val="none"/>
        </w:rPr>
        <w:t>一、总  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_Toc29842 \h </w:instrText>
      </w:r>
      <w:r>
        <w:rPr>
          <w:rFonts w:hint="eastAsia" w:ascii="宋体" w:hAnsi="宋体" w:cs="宋体"/>
          <w:highlight w:val="none"/>
        </w:rPr>
        <w:fldChar w:fldCharType="separate"/>
      </w:r>
      <w:r>
        <w:rPr>
          <w:rFonts w:hint="eastAsia" w:ascii="宋体" w:hAnsi="宋体" w:cs="宋体"/>
          <w:highlight w:val="none"/>
        </w:rPr>
        <w:t>23</w:t>
      </w:r>
      <w:r>
        <w:rPr>
          <w:rFonts w:hint="eastAsia" w:ascii="宋体" w:hAnsi="宋体" w:cs="宋体"/>
          <w:highlight w:val="none"/>
        </w:rPr>
        <w:fldChar w:fldCharType="end"/>
      </w:r>
      <w:r>
        <w:rPr>
          <w:rFonts w:hint="eastAsia" w:ascii="宋体" w:hAnsi="宋体" w:cs="宋体"/>
          <w:highlight w:val="none"/>
        </w:rPr>
        <w:fldChar w:fldCharType="end"/>
      </w:r>
    </w:p>
    <w:p w14:paraId="3D895CD4">
      <w:pPr>
        <w:pStyle w:val="10"/>
        <w:tabs>
          <w:tab w:val="right" w:leader="dot" w:pos="8306"/>
        </w:tabs>
        <w:spacing w:line="360" w:lineRule="exact"/>
        <w:rPr>
          <w:rFonts w:ascii="宋体" w:hAnsi="宋体" w:cs="宋体"/>
          <w:highlight w:val="none"/>
        </w:rPr>
      </w:pPr>
      <w:r>
        <w:rPr>
          <w:highlight w:val="none"/>
        </w:rPr>
        <w:fldChar w:fldCharType="begin"/>
      </w:r>
      <w:r>
        <w:rPr>
          <w:highlight w:val="none"/>
        </w:rPr>
        <w:instrText xml:space="preserve"> HYPERLINK \l "_Toc2867" </w:instrText>
      </w:r>
      <w:r>
        <w:rPr>
          <w:highlight w:val="none"/>
        </w:rPr>
        <w:fldChar w:fldCharType="separate"/>
      </w:r>
      <w:r>
        <w:rPr>
          <w:rFonts w:hint="eastAsia" w:ascii="宋体" w:hAnsi="宋体" w:cs="宋体"/>
          <w:szCs w:val="30"/>
          <w:highlight w:val="none"/>
        </w:rPr>
        <w:t>二、招标文件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_Toc2867 \h </w:instrText>
      </w:r>
      <w:r>
        <w:rPr>
          <w:rFonts w:hint="eastAsia" w:ascii="宋体" w:hAnsi="宋体" w:cs="宋体"/>
          <w:highlight w:val="none"/>
        </w:rPr>
        <w:fldChar w:fldCharType="separate"/>
      </w:r>
      <w:r>
        <w:rPr>
          <w:rFonts w:hint="eastAsia" w:ascii="宋体" w:hAnsi="宋体" w:cs="宋体"/>
          <w:highlight w:val="none"/>
        </w:rPr>
        <w:t>27</w:t>
      </w:r>
      <w:r>
        <w:rPr>
          <w:rFonts w:hint="eastAsia" w:ascii="宋体" w:hAnsi="宋体" w:cs="宋体"/>
          <w:highlight w:val="none"/>
        </w:rPr>
        <w:fldChar w:fldCharType="end"/>
      </w:r>
      <w:r>
        <w:rPr>
          <w:rFonts w:hint="eastAsia" w:ascii="宋体" w:hAnsi="宋体" w:cs="宋体"/>
          <w:highlight w:val="none"/>
        </w:rPr>
        <w:fldChar w:fldCharType="end"/>
      </w:r>
    </w:p>
    <w:p w14:paraId="258C5945">
      <w:pPr>
        <w:pStyle w:val="10"/>
        <w:tabs>
          <w:tab w:val="right" w:leader="dot" w:pos="8306"/>
        </w:tabs>
        <w:spacing w:line="360" w:lineRule="exact"/>
        <w:rPr>
          <w:rFonts w:ascii="宋体" w:hAnsi="宋体" w:cs="宋体"/>
          <w:highlight w:val="none"/>
        </w:rPr>
      </w:pPr>
      <w:r>
        <w:rPr>
          <w:highlight w:val="none"/>
        </w:rPr>
        <w:fldChar w:fldCharType="begin"/>
      </w:r>
      <w:r>
        <w:rPr>
          <w:highlight w:val="none"/>
        </w:rPr>
        <w:instrText xml:space="preserve"> HYPERLINK \l "_Toc11140" </w:instrText>
      </w:r>
      <w:r>
        <w:rPr>
          <w:highlight w:val="none"/>
        </w:rPr>
        <w:fldChar w:fldCharType="separate"/>
      </w:r>
      <w:r>
        <w:rPr>
          <w:rFonts w:hint="eastAsia" w:ascii="宋体" w:hAnsi="宋体" w:cs="宋体"/>
          <w:szCs w:val="30"/>
          <w:highlight w:val="none"/>
        </w:rPr>
        <w:t>三、投标文件的编制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_Toc11140 \h </w:instrText>
      </w:r>
      <w:r>
        <w:rPr>
          <w:rFonts w:hint="eastAsia" w:ascii="宋体" w:hAnsi="宋体" w:cs="宋体"/>
          <w:highlight w:val="none"/>
        </w:rPr>
        <w:fldChar w:fldCharType="separate"/>
      </w:r>
      <w:r>
        <w:rPr>
          <w:rFonts w:hint="eastAsia" w:ascii="宋体" w:hAnsi="宋体" w:cs="宋体"/>
          <w:highlight w:val="none"/>
        </w:rPr>
        <w:t>28</w:t>
      </w:r>
      <w:r>
        <w:rPr>
          <w:rFonts w:hint="eastAsia" w:ascii="宋体" w:hAnsi="宋体" w:cs="宋体"/>
          <w:highlight w:val="none"/>
        </w:rPr>
        <w:fldChar w:fldCharType="end"/>
      </w:r>
      <w:r>
        <w:rPr>
          <w:rFonts w:hint="eastAsia" w:ascii="宋体" w:hAnsi="宋体" w:cs="宋体"/>
          <w:highlight w:val="none"/>
        </w:rPr>
        <w:fldChar w:fldCharType="end"/>
      </w:r>
    </w:p>
    <w:p w14:paraId="53ED5761">
      <w:pPr>
        <w:pStyle w:val="10"/>
        <w:tabs>
          <w:tab w:val="right" w:leader="dot" w:pos="8306"/>
        </w:tabs>
        <w:spacing w:line="360" w:lineRule="exact"/>
        <w:rPr>
          <w:rFonts w:ascii="宋体" w:hAnsi="宋体" w:cs="宋体"/>
          <w:highlight w:val="none"/>
        </w:rPr>
      </w:pPr>
      <w:r>
        <w:rPr>
          <w:highlight w:val="none"/>
        </w:rPr>
        <w:fldChar w:fldCharType="begin"/>
      </w:r>
      <w:r>
        <w:rPr>
          <w:highlight w:val="none"/>
        </w:rPr>
        <w:instrText xml:space="preserve"> HYPERLINK \l "_Toc9441" </w:instrText>
      </w:r>
      <w:r>
        <w:rPr>
          <w:highlight w:val="none"/>
        </w:rPr>
        <w:fldChar w:fldCharType="separate"/>
      </w:r>
      <w:r>
        <w:rPr>
          <w:rFonts w:hint="eastAsia" w:ascii="宋体" w:hAnsi="宋体" w:cs="宋体"/>
          <w:szCs w:val="30"/>
          <w:highlight w:val="none"/>
        </w:rPr>
        <w:t>四、投标文件的递交</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_Toc9441 \h </w:instrText>
      </w:r>
      <w:r>
        <w:rPr>
          <w:rFonts w:hint="eastAsia" w:ascii="宋体" w:hAnsi="宋体" w:cs="宋体"/>
          <w:highlight w:val="none"/>
        </w:rPr>
        <w:fldChar w:fldCharType="separate"/>
      </w:r>
      <w:r>
        <w:rPr>
          <w:rFonts w:hint="eastAsia" w:ascii="宋体" w:hAnsi="宋体" w:cs="宋体"/>
          <w:highlight w:val="none"/>
        </w:rPr>
        <w:t>31</w:t>
      </w:r>
      <w:r>
        <w:rPr>
          <w:rFonts w:hint="eastAsia" w:ascii="宋体" w:hAnsi="宋体" w:cs="宋体"/>
          <w:highlight w:val="none"/>
        </w:rPr>
        <w:fldChar w:fldCharType="end"/>
      </w:r>
      <w:r>
        <w:rPr>
          <w:rFonts w:hint="eastAsia" w:ascii="宋体" w:hAnsi="宋体" w:cs="宋体"/>
          <w:highlight w:val="none"/>
        </w:rPr>
        <w:fldChar w:fldCharType="end"/>
      </w:r>
    </w:p>
    <w:p w14:paraId="0B3E20B7">
      <w:pPr>
        <w:pStyle w:val="10"/>
        <w:tabs>
          <w:tab w:val="right" w:leader="dot" w:pos="8306"/>
        </w:tabs>
        <w:spacing w:line="360" w:lineRule="exact"/>
        <w:rPr>
          <w:rFonts w:ascii="宋体" w:hAnsi="宋体" w:cs="宋体"/>
          <w:highlight w:val="none"/>
        </w:rPr>
      </w:pPr>
      <w:r>
        <w:rPr>
          <w:highlight w:val="none"/>
        </w:rPr>
        <w:fldChar w:fldCharType="begin"/>
      </w:r>
      <w:r>
        <w:rPr>
          <w:highlight w:val="none"/>
        </w:rPr>
        <w:instrText xml:space="preserve"> HYPERLINK \l "_Toc21768" </w:instrText>
      </w:r>
      <w:r>
        <w:rPr>
          <w:highlight w:val="none"/>
        </w:rPr>
        <w:fldChar w:fldCharType="separate"/>
      </w:r>
      <w:r>
        <w:rPr>
          <w:rFonts w:hint="eastAsia" w:ascii="宋体" w:hAnsi="宋体" w:cs="宋体"/>
          <w:szCs w:val="30"/>
          <w:highlight w:val="none"/>
        </w:rPr>
        <w:t>五、开标、审查与评标</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_Toc21768 \h </w:instrText>
      </w:r>
      <w:r>
        <w:rPr>
          <w:rFonts w:hint="eastAsia" w:ascii="宋体" w:hAnsi="宋体" w:cs="宋体"/>
          <w:highlight w:val="none"/>
        </w:rPr>
        <w:fldChar w:fldCharType="separate"/>
      </w:r>
      <w:r>
        <w:rPr>
          <w:rFonts w:hint="eastAsia" w:ascii="宋体" w:hAnsi="宋体" w:cs="宋体"/>
          <w:highlight w:val="none"/>
        </w:rPr>
        <w:t>32</w:t>
      </w:r>
      <w:r>
        <w:rPr>
          <w:rFonts w:hint="eastAsia" w:ascii="宋体" w:hAnsi="宋体" w:cs="宋体"/>
          <w:highlight w:val="none"/>
        </w:rPr>
        <w:fldChar w:fldCharType="end"/>
      </w:r>
      <w:r>
        <w:rPr>
          <w:rFonts w:hint="eastAsia" w:ascii="宋体" w:hAnsi="宋体" w:cs="宋体"/>
          <w:highlight w:val="none"/>
        </w:rPr>
        <w:fldChar w:fldCharType="end"/>
      </w:r>
    </w:p>
    <w:p w14:paraId="03138423">
      <w:pPr>
        <w:pStyle w:val="10"/>
        <w:tabs>
          <w:tab w:val="right" w:leader="dot" w:pos="8306"/>
        </w:tabs>
        <w:spacing w:line="360" w:lineRule="exact"/>
        <w:rPr>
          <w:rFonts w:ascii="宋体" w:hAnsi="宋体" w:cs="宋体"/>
          <w:highlight w:val="none"/>
        </w:rPr>
      </w:pPr>
      <w:r>
        <w:rPr>
          <w:highlight w:val="none"/>
        </w:rPr>
        <w:fldChar w:fldCharType="begin"/>
      </w:r>
      <w:r>
        <w:rPr>
          <w:highlight w:val="none"/>
        </w:rPr>
        <w:instrText xml:space="preserve"> HYPERLINK \l "_Toc11854" </w:instrText>
      </w:r>
      <w:r>
        <w:rPr>
          <w:highlight w:val="none"/>
        </w:rPr>
        <w:fldChar w:fldCharType="separate"/>
      </w:r>
      <w:r>
        <w:rPr>
          <w:rFonts w:hint="eastAsia" w:ascii="宋体" w:hAnsi="宋体" w:cs="宋体"/>
          <w:szCs w:val="30"/>
          <w:highlight w:val="none"/>
        </w:rPr>
        <w:t>六、定标、中标通知与签约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_Toc11854 \h </w:instrText>
      </w:r>
      <w:r>
        <w:rPr>
          <w:rFonts w:hint="eastAsia" w:ascii="宋体" w:hAnsi="宋体" w:cs="宋体"/>
          <w:highlight w:val="none"/>
        </w:rPr>
        <w:fldChar w:fldCharType="separate"/>
      </w:r>
      <w:r>
        <w:rPr>
          <w:rFonts w:hint="eastAsia" w:ascii="宋体" w:hAnsi="宋体" w:cs="宋体"/>
          <w:highlight w:val="none"/>
        </w:rPr>
        <w:t>34</w:t>
      </w:r>
      <w:r>
        <w:rPr>
          <w:rFonts w:hint="eastAsia" w:ascii="宋体" w:hAnsi="宋体" w:cs="宋体"/>
          <w:highlight w:val="none"/>
        </w:rPr>
        <w:fldChar w:fldCharType="end"/>
      </w:r>
      <w:r>
        <w:rPr>
          <w:rFonts w:hint="eastAsia" w:ascii="宋体" w:hAnsi="宋体" w:cs="宋体"/>
          <w:highlight w:val="none"/>
        </w:rPr>
        <w:fldChar w:fldCharType="end"/>
      </w:r>
    </w:p>
    <w:p w14:paraId="19D6304F">
      <w:pPr>
        <w:pStyle w:val="9"/>
        <w:tabs>
          <w:tab w:val="right" w:leader="dot" w:pos="8306"/>
        </w:tabs>
        <w:spacing w:line="360" w:lineRule="exact"/>
        <w:rPr>
          <w:rFonts w:ascii="宋体" w:hAnsi="宋体" w:cs="宋体"/>
          <w:b/>
          <w:bCs/>
          <w:highlight w:val="none"/>
        </w:rPr>
      </w:pPr>
      <w:r>
        <w:rPr>
          <w:highlight w:val="none"/>
        </w:rPr>
        <w:fldChar w:fldCharType="begin"/>
      </w:r>
      <w:r>
        <w:rPr>
          <w:highlight w:val="none"/>
        </w:rPr>
        <w:instrText xml:space="preserve"> HYPERLINK \l "_Toc27135" </w:instrText>
      </w:r>
      <w:r>
        <w:rPr>
          <w:highlight w:val="none"/>
        </w:rPr>
        <w:fldChar w:fldCharType="separate"/>
      </w:r>
      <w:r>
        <w:rPr>
          <w:rFonts w:hint="eastAsia" w:ascii="宋体" w:hAnsi="宋体" w:cs="宋体"/>
          <w:b/>
          <w:bCs/>
          <w:szCs w:val="36"/>
          <w:highlight w:val="none"/>
        </w:rPr>
        <w:t>第三章 合同条款及格式</w:t>
      </w:r>
      <w:r>
        <w:rPr>
          <w:rFonts w:hint="eastAsia" w:ascii="宋体" w:hAnsi="宋体" w:cs="宋体"/>
          <w:b/>
          <w:bCs/>
          <w:highlight w:val="none"/>
        </w:rPr>
        <w:tab/>
      </w:r>
      <w:r>
        <w:rPr>
          <w:rFonts w:hint="eastAsia" w:ascii="宋体" w:hAnsi="宋体" w:cs="宋体"/>
          <w:b/>
          <w:bCs/>
          <w:highlight w:val="none"/>
        </w:rPr>
        <w:fldChar w:fldCharType="begin"/>
      </w:r>
      <w:r>
        <w:rPr>
          <w:rFonts w:hint="eastAsia" w:ascii="宋体" w:hAnsi="宋体" w:cs="宋体"/>
          <w:b/>
          <w:bCs/>
          <w:highlight w:val="none"/>
        </w:rPr>
        <w:instrText xml:space="preserve"> PAGEREF _Toc27135 \h </w:instrText>
      </w:r>
      <w:r>
        <w:rPr>
          <w:rFonts w:hint="eastAsia" w:ascii="宋体" w:hAnsi="宋体" w:cs="宋体"/>
          <w:b/>
          <w:bCs/>
          <w:highlight w:val="none"/>
        </w:rPr>
        <w:fldChar w:fldCharType="separate"/>
      </w:r>
      <w:r>
        <w:rPr>
          <w:rFonts w:hint="eastAsia" w:ascii="宋体" w:hAnsi="宋体" w:cs="宋体"/>
          <w:b/>
          <w:bCs/>
          <w:highlight w:val="none"/>
        </w:rPr>
        <w:t>37</w:t>
      </w:r>
      <w:r>
        <w:rPr>
          <w:rFonts w:hint="eastAsia" w:ascii="宋体" w:hAnsi="宋体" w:cs="宋体"/>
          <w:b/>
          <w:bCs/>
          <w:highlight w:val="none"/>
        </w:rPr>
        <w:fldChar w:fldCharType="end"/>
      </w:r>
      <w:r>
        <w:rPr>
          <w:rFonts w:hint="eastAsia" w:ascii="宋体" w:hAnsi="宋体" w:cs="宋体"/>
          <w:b/>
          <w:bCs/>
          <w:highlight w:val="none"/>
        </w:rPr>
        <w:fldChar w:fldCharType="end"/>
      </w:r>
    </w:p>
    <w:p w14:paraId="5A37474B">
      <w:pPr>
        <w:pStyle w:val="9"/>
        <w:tabs>
          <w:tab w:val="right" w:leader="dot" w:pos="8306"/>
        </w:tabs>
        <w:spacing w:line="360" w:lineRule="exact"/>
        <w:rPr>
          <w:rFonts w:ascii="宋体" w:hAnsi="宋体" w:cs="宋体"/>
          <w:b/>
          <w:bCs/>
          <w:highlight w:val="none"/>
        </w:rPr>
      </w:pPr>
      <w:r>
        <w:rPr>
          <w:highlight w:val="none"/>
        </w:rPr>
        <w:fldChar w:fldCharType="begin"/>
      </w:r>
      <w:r>
        <w:rPr>
          <w:highlight w:val="none"/>
        </w:rPr>
        <w:instrText xml:space="preserve"> HYPERLINK \l "_Toc4688" </w:instrText>
      </w:r>
      <w:r>
        <w:rPr>
          <w:highlight w:val="none"/>
        </w:rPr>
        <w:fldChar w:fldCharType="separate"/>
      </w:r>
      <w:r>
        <w:rPr>
          <w:rFonts w:hint="eastAsia" w:ascii="宋体" w:hAnsi="宋体" w:cs="宋体"/>
          <w:b/>
          <w:bCs/>
          <w:szCs w:val="36"/>
          <w:highlight w:val="none"/>
        </w:rPr>
        <w:t>第四章 招标内容及要求</w:t>
      </w:r>
      <w:r>
        <w:rPr>
          <w:rFonts w:hint="eastAsia" w:ascii="宋体" w:hAnsi="宋体" w:cs="宋体"/>
          <w:b/>
          <w:bCs/>
          <w:highlight w:val="none"/>
        </w:rPr>
        <w:tab/>
      </w:r>
      <w:r>
        <w:rPr>
          <w:rFonts w:hint="eastAsia" w:ascii="宋体" w:hAnsi="宋体" w:cs="宋体"/>
          <w:b/>
          <w:bCs/>
          <w:highlight w:val="none"/>
        </w:rPr>
        <w:t>4</w:t>
      </w:r>
      <w:r>
        <w:rPr>
          <w:rFonts w:hint="eastAsia" w:ascii="宋体" w:hAnsi="宋体" w:cs="宋体"/>
          <w:b/>
          <w:bCs/>
          <w:highlight w:val="none"/>
        </w:rPr>
        <w:fldChar w:fldCharType="end"/>
      </w:r>
      <w:r>
        <w:rPr>
          <w:rFonts w:hint="eastAsia" w:ascii="宋体" w:hAnsi="宋体" w:cs="宋体"/>
          <w:b/>
          <w:bCs/>
          <w:highlight w:val="none"/>
        </w:rPr>
        <w:t>4</w:t>
      </w:r>
    </w:p>
    <w:p w14:paraId="6391FE00">
      <w:pPr>
        <w:pStyle w:val="9"/>
        <w:tabs>
          <w:tab w:val="right" w:leader="dot" w:pos="8306"/>
        </w:tabs>
        <w:spacing w:line="360" w:lineRule="exact"/>
        <w:rPr>
          <w:rFonts w:ascii="宋体" w:hAnsi="宋体" w:cs="宋体"/>
          <w:highlight w:val="none"/>
        </w:rPr>
      </w:pPr>
      <w:r>
        <w:rPr>
          <w:rFonts w:hint="eastAsia" w:ascii="宋体" w:hAnsi="宋体" w:cs="宋体"/>
          <w:b/>
          <w:bCs/>
          <w:szCs w:val="36"/>
          <w:highlight w:val="none"/>
        </w:rPr>
        <w:t xml:space="preserve">第五章 </w:t>
      </w:r>
      <w:r>
        <w:rPr>
          <w:highlight w:val="none"/>
        </w:rPr>
        <w:fldChar w:fldCharType="begin"/>
      </w:r>
      <w:r>
        <w:rPr>
          <w:highlight w:val="none"/>
        </w:rPr>
        <w:instrText xml:space="preserve"> HYPERLINK \l "_Toc12638" </w:instrText>
      </w:r>
      <w:r>
        <w:rPr>
          <w:highlight w:val="none"/>
        </w:rPr>
        <w:fldChar w:fldCharType="separate"/>
      </w:r>
      <w:r>
        <w:rPr>
          <w:rFonts w:hint="eastAsia" w:ascii="宋体" w:hAnsi="宋体" w:cs="宋体"/>
          <w:b/>
          <w:bCs/>
          <w:szCs w:val="36"/>
          <w:highlight w:val="none"/>
        </w:rPr>
        <w:t>评标方法</w:t>
      </w:r>
      <w:r>
        <w:rPr>
          <w:rFonts w:hint="eastAsia" w:ascii="宋体" w:hAnsi="宋体" w:cs="宋体"/>
          <w:b/>
          <w:bCs/>
          <w:highlight w:val="none"/>
        </w:rPr>
        <w:tab/>
      </w:r>
      <w:r>
        <w:rPr>
          <w:rFonts w:hint="eastAsia" w:ascii="宋体" w:hAnsi="宋体" w:cs="宋体"/>
          <w:b/>
          <w:bCs/>
          <w:highlight w:val="none"/>
        </w:rPr>
        <w:t>6</w:t>
      </w:r>
      <w:r>
        <w:rPr>
          <w:rFonts w:hint="eastAsia" w:ascii="宋体" w:hAnsi="宋体" w:cs="宋体"/>
          <w:b/>
          <w:bCs/>
          <w:highlight w:val="none"/>
        </w:rPr>
        <w:fldChar w:fldCharType="end"/>
      </w:r>
      <w:r>
        <w:rPr>
          <w:rFonts w:hint="eastAsia" w:ascii="宋体" w:hAnsi="宋体" w:cs="宋体"/>
          <w:b/>
          <w:bCs/>
          <w:highlight w:val="none"/>
        </w:rPr>
        <w:t>1</w:t>
      </w:r>
    </w:p>
    <w:p w14:paraId="7517A089">
      <w:pPr>
        <w:pStyle w:val="10"/>
        <w:tabs>
          <w:tab w:val="right" w:leader="dot" w:pos="8306"/>
        </w:tabs>
        <w:spacing w:line="360" w:lineRule="exact"/>
        <w:rPr>
          <w:rFonts w:ascii="宋体" w:hAnsi="宋体" w:cs="宋体"/>
          <w:highlight w:val="none"/>
        </w:rPr>
      </w:pPr>
      <w:r>
        <w:rPr>
          <w:highlight w:val="none"/>
        </w:rPr>
        <w:fldChar w:fldCharType="begin"/>
      </w:r>
      <w:r>
        <w:rPr>
          <w:highlight w:val="none"/>
        </w:rPr>
        <w:instrText xml:space="preserve"> HYPERLINK \l "_Toc19873" </w:instrText>
      </w:r>
      <w:r>
        <w:rPr>
          <w:highlight w:val="none"/>
        </w:rPr>
        <w:fldChar w:fldCharType="separate"/>
      </w:r>
      <w:r>
        <w:rPr>
          <w:rFonts w:hint="eastAsia" w:ascii="宋体" w:hAnsi="宋体" w:cs="宋体"/>
          <w:szCs w:val="21"/>
          <w:highlight w:val="none"/>
        </w:rPr>
        <w:t>一、评标方法</w:t>
      </w:r>
      <w:r>
        <w:rPr>
          <w:rFonts w:hint="eastAsia" w:ascii="宋体" w:hAnsi="宋体" w:cs="宋体"/>
          <w:highlight w:val="none"/>
        </w:rPr>
        <w:tab/>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t>1</w:t>
      </w:r>
    </w:p>
    <w:p w14:paraId="53D1D485">
      <w:pPr>
        <w:pStyle w:val="10"/>
        <w:tabs>
          <w:tab w:val="right" w:leader="dot" w:pos="8306"/>
        </w:tabs>
        <w:spacing w:line="360" w:lineRule="exact"/>
        <w:rPr>
          <w:rFonts w:ascii="宋体" w:hAnsi="宋体" w:cs="宋体"/>
          <w:highlight w:val="none"/>
        </w:rPr>
      </w:pPr>
      <w:r>
        <w:rPr>
          <w:highlight w:val="none"/>
        </w:rPr>
        <w:fldChar w:fldCharType="begin"/>
      </w:r>
      <w:r>
        <w:rPr>
          <w:highlight w:val="none"/>
        </w:rPr>
        <w:instrText xml:space="preserve"> HYPERLINK \l "_Toc2117" </w:instrText>
      </w:r>
      <w:r>
        <w:rPr>
          <w:highlight w:val="none"/>
        </w:rPr>
        <w:fldChar w:fldCharType="separate"/>
      </w:r>
      <w:r>
        <w:rPr>
          <w:rFonts w:hint="eastAsia" w:ascii="宋体" w:hAnsi="宋体" w:cs="宋体"/>
          <w:bCs/>
          <w:szCs w:val="21"/>
          <w:highlight w:val="none"/>
        </w:rPr>
        <w:t>二、评标委员会负责具体评标事务，并独立履行下列职责：</w:t>
      </w:r>
      <w:r>
        <w:rPr>
          <w:rFonts w:hint="eastAsia" w:ascii="宋体" w:hAnsi="宋体" w:cs="宋体"/>
          <w:highlight w:val="none"/>
        </w:rPr>
        <w:tab/>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t>1</w:t>
      </w:r>
    </w:p>
    <w:p w14:paraId="3B460630">
      <w:pPr>
        <w:pStyle w:val="10"/>
        <w:tabs>
          <w:tab w:val="right" w:leader="dot" w:pos="8306"/>
        </w:tabs>
        <w:spacing w:line="360" w:lineRule="exact"/>
        <w:rPr>
          <w:rFonts w:ascii="宋体" w:hAnsi="宋体" w:cs="宋体"/>
          <w:highlight w:val="none"/>
        </w:rPr>
      </w:pPr>
      <w:r>
        <w:rPr>
          <w:highlight w:val="none"/>
        </w:rPr>
        <w:fldChar w:fldCharType="begin"/>
      </w:r>
      <w:r>
        <w:rPr>
          <w:highlight w:val="none"/>
        </w:rPr>
        <w:instrText xml:space="preserve"> HYPERLINK \l "_Toc30463" </w:instrText>
      </w:r>
      <w:r>
        <w:rPr>
          <w:highlight w:val="none"/>
        </w:rPr>
        <w:fldChar w:fldCharType="separate"/>
      </w:r>
      <w:r>
        <w:rPr>
          <w:rFonts w:hint="eastAsia" w:ascii="宋体" w:hAnsi="宋体" w:cs="宋体"/>
          <w:bCs/>
          <w:szCs w:val="21"/>
          <w:highlight w:val="none"/>
        </w:rPr>
        <w:t>三、供应商存在下列情况之一的，投标无效：</w:t>
      </w:r>
      <w:r>
        <w:rPr>
          <w:rFonts w:hint="eastAsia" w:ascii="宋体" w:hAnsi="宋体" w:cs="宋体"/>
          <w:highlight w:val="none"/>
        </w:rPr>
        <w:tab/>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t>1</w:t>
      </w:r>
    </w:p>
    <w:p w14:paraId="580D16A0">
      <w:pPr>
        <w:pStyle w:val="10"/>
        <w:tabs>
          <w:tab w:val="right" w:leader="dot" w:pos="8306"/>
        </w:tabs>
        <w:spacing w:line="360" w:lineRule="exact"/>
        <w:rPr>
          <w:rFonts w:ascii="宋体" w:hAnsi="宋体" w:cs="宋体"/>
          <w:highlight w:val="none"/>
        </w:rPr>
      </w:pPr>
      <w:r>
        <w:rPr>
          <w:highlight w:val="none"/>
        </w:rPr>
        <w:fldChar w:fldCharType="begin"/>
      </w:r>
      <w:r>
        <w:rPr>
          <w:highlight w:val="none"/>
        </w:rPr>
        <w:instrText xml:space="preserve"> HYPERLINK \l "_Toc10258" </w:instrText>
      </w:r>
      <w:r>
        <w:rPr>
          <w:highlight w:val="none"/>
        </w:rPr>
        <w:fldChar w:fldCharType="separate"/>
      </w:r>
      <w:r>
        <w:rPr>
          <w:rFonts w:hint="eastAsia" w:ascii="宋体" w:hAnsi="宋体" w:cs="宋体"/>
          <w:bCs/>
          <w:szCs w:val="21"/>
          <w:highlight w:val="none"/>
        </w:rPr>
        <w:t>四、供应商有下列情形之一的，视为供应商串通投标，其投标无效：</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rPr>
        <w:t>61</w:t>
      </w:r>
    </w:p>
    <w:p w14:paraId="374C6EBB">
      <w:pPr>
        <w:pStyle w:val="9"/>
        <w:tabs>
          <w:tab w:val="right" w:leader="dot" w:pos="8306"/>
        </w:tabs>
        <w:spacing w:line="360" w:lineRule="exact"/>
        <w:ind w:firstLine="420" w:firstLineChars="200"/>
        <w:rPr>
          <w:rFonts w:ascii="宋体" w:hAnsi="宋体" w:cs="宋体"/>
          <w:b/>
          <w:bCs/>
          <w:highlight w:val="none"/>
        </w:rPr>
      </w:pPr>
      <w:r>
        <w:rPr>
          <w:highlight w:val="none"/>
        </w:rPr>
        <w:fldChar w:fldCharType="begin"/>
      </w:r>
      <w:r>
        <w:rPr>
          <w:highlight w:val="none"/>
        </w:rPr>
        <w:instrText xml:space="preserve"> HYPERLINK \l "_Toc20865" </w:instrText>
      </w:r>
      <w:r>
        <w:rPr>
          <w:highlight w:val="none"/>
        </w:rPr>
        <w:fldChar w:fldCharType="separate"/>
      </w:r>
      <w:r>
        <w:rPr>
          <w:rFonts w:hint="eastAsia" w:ascii="宋体" w:hAnsi="宋体" w:cs="宋体"/>
          <w:bCs/>
          <w:szCs w:val="21"/>
          <w:highlight w:val="none"/>
        </w:rPr>
        <w:t>五、评标程序</w:t>
      </w:r>
      <w:r>
        <w:rPr>
          <w:rFonts w:hint="eastAsia" w:ascii="宋体" w:hAnsi="宋体" w:cs="宋体"/>
          <w:highlight w:val="none"/>
        </w:rPr>
        <w:tab/>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t>2</w:t>
      </w:r>
    </w:p>
    <w:p w14:paraId="3B6F3002">
      <w:pPr>
        <w:pStyle w:val="9"/>
        <w:tabs>
          <w:tab w:val="right" w:leader="dot" w:pos="8306"/>
        </w:tabs>
        <w:spacing w:line="360" w:lineRule="exact"/>
        <w:rPr>
          <w:rFonts w:ascii="宋体" w:hAnsi="宋体" w:cs="宋体"/>
          <w:b/>
          <w:bCs/>
          <w:highlight w:val="none"/>
        </w:rPr>
      </w:pPr>
      <w:r>
        <w:rPr>
          <w:highlight w:val="none"/>
        </w:rPr>
        <w:fldChar w:fldCharType="begin"/>
      </w:r>
      <w:r>
        <w:rPr>
          <w:highlight w:val="none"/>
        </w:rPr>
        <w:instrText xml:space="preserve"> HYPERLINK \l "_Toc16874" </w:instrText>
      </w:r>
      <w:r>
        <w:rPr>
          <w:highlight w:val="none"/>
        </w:rPr>
        <w:fldChar w:fldCharType="separate"/>
      </w:r>
      <w:r>
        <w:rPr>
          <w:rFonts w:hint="eastAsia" w:ascii="宋体" w:hAnsi="宋体" w:cs="宋体"/>
          <w:b/>
          <w:bCs/>
          <w:szCs w:val="36"/>
          <w:highlight w:val="none"/>
        </w:rPr>
        <w:t>第六章 投标文件格式</w:t>
      </w:r>
      <w:r>
        <w:rPr>
          <w:rFonts w:hint="eastAsia" w:ascii="宋体" w:hAnsi="宋体" w:cs="宋体"/>
          <w:b/>
          <w:bCs/>
          <w:highlight w:val="none"/>
        </w:rPr>
        <w:tab/>
      </w:r>
      <w:r>
        <w:rPr>
          <w:rFonts w:hint="eastAsia" w:ascii="宋体" w:hAnsi="宋体" w:cs="宋体"/>
          <w:b/>
          <w:bCs/>
          <w:highlight w:val="none"/>
        </w:rPr>
        <w:fldChar w:fldCharType="begin"/>
      </w:r>
      <w:r>
        <w:rPr>
          <w:rFonts w:hint="eastAsia" w:ascii="宋体" w:hAnsi="宋体" w:cs="宋体"/>
          <w:b/>
          <w:bCs/>
          <w:highlight w:val="none"/>
        </w:rPr>
        <w:instrText xml:space="preserve"> PAGEREF _Toc16874 \h </w:instrText>
      </w:r>
      <w:r>
        <w:rPr>
          <w:rFonts w:hint="eastAsia" w:ascii="宋体" w:hAnsi="宋体" w:cs="宋体"/>
          <w:b/>
          <w:bCs/>
          <w:highlight w:val="none"/>
        </w:rPr>
        <w:fldChar w:fldCharType="separate"/>
      </w:r>
      <w:r>
        <w:rPr>
          <w:rFonts w:hint="eastAsia" w:ascii="宋体" w:hAnsi="宋体" w:cs="宋体"/>
          <w:b/>
          <w:bCs/>
          <w:highlight w:val="none"/>
        </w:rPr>
        <w:t>59</w:t>
      </w:r>
      <w:r>
        <w:rPr>
          <w:rFonts w:hint="eastAsia" w:ascii="宋体" w:hAnsi="宋体" w:cs="宋体"/>
          <w:b/>
          <w:bCs/>
          <w:highlight w:val="none"/>
        </w:rPr>
        <w:fldChar w:fldCharType="end"/>
      </w:r>
      <w:r>
        <w:rPr>
          <w:rFonts w:hint="eastAsia" w:ascii="宋体" w:hAnsi="宋体" w:cs="宋体"/>
          <w:b/>
          <w:bCs/>
          <w:highlight w:val="none"/>
        </w:rPr>
        <w:fldChar w:fldCharType="end"/>
      </w:r>
    </w:p>
    <w:p w14:paraId="54335665">
      <w:pPr>
        <w:pStyle w:val="9"/>
        <w:tabs>
          <w:tab w:val="right" w:leader="dot" w:pos="8306"/>
        </w:tabs>
        <w:spacing w:line="360" w:lineRule="exact"/>
        <w:ind w:firstLine="420" w:firstLineChars="200"/>
        <w:rPr>
          <w:rFonts w:ascii="宋体" w:hAnsi="宋体" w:cs="宋体"/>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宋体" w:hAnsi="宋体" w:cs="宋体"/>
          <w:b/>
          <w:bCs/>
          <w:szCs w:val="44"/>
          <w:highlight w:val="none"/>
        </w:rPr>
        <w:t>政府采购服务项目</w:t>
      </w:r>
      <w:r>
        <w:rPr>
          <w:rFonts w:hint="eastAsia" w:ascii="宋体" w:hAnsi="宋体" w:cs="宋体"/>
          <w:b/>
          <w:bCs/>
          <w:highlight w:val="none"/>
        </w:rPr>
        <w:tab/>
      </w:r>
      <w:r>
        <w:rPr>
          <w:rFonts w:hint="eastAsia" w:ascii="宋体" w:hAnsi="宋体" w:cs="宋体"/>
          <w:b/>
          <w:bCs/>
          <w:highlight w:val="none"/>
        </w:rPr>
        <w:fldChar w:fldCharType="begin"/>
      </w:r>
      <w:r>
        <w:rPr>
          <w:rFonts w:hint="eastAsia" w:ascii="宋体" w:hAnsi="宋体" w:cs="宋体"/>
          <w:b/>
          <w:bCs/>
          <w:highlight w:val="none"/>
        </w:rPr>
        <w:instrText xml:space="preserve"> PAGEREF _Toc640 \h </w:instrText>
      </w:r>
      <w:r>
        <w:rPr>
          <w:rFonts w:hint="eastAsia" w:ascii="宋体" w:hAnsi="宋体" w:cs="宋体"/>
          <w:b/>
          <w:bCs/>
          <w:highlight w:val="none"/>
        </w:rPr>
        <w:fldChar w:fldCharType="separate"/>
      </w:r>
      <w:r>
        <w:rPr>
          <w:rFonts w:hint="eastAsia" w:ascii="宋体" w:hAnsi="宋体" w:cs="宋体"/>
          <w:b/>
          <w:bCs/>
          <w:highlight w:val="none"/>
        </w:rPr>
        <w:t>60</w:t>
      </w:r>
      <w:r>
        <w:rPr>
          <w:rFonts w:hint="eastAsia" w:ascii="宋体" w:hAnsi="宋体" w:cs="宋体"/>
          <w:b/>
          <w:bCs/>
          <w:highlight w:val="none"/>
        </w:rPr>
        <w:fldChar w:fldCharType="end"/>
      </w:r>
      <w:r>
        <w:rPr>
          <w:rFonts w:hint="eastAsia" w:ascii="宋体" w:hAnsi="宋体" w:cs="宋体"/>
          <w:b/>
          <w:bCs/>
          <w:highlight w:val="none"/>
        </w:rPr>
        <w:fldChar w:fldCharType="end"/>
      </w:r>
    </w:p>
    <w:p w14:paraId="00DED3F3">
      <w:pPr>
        <w:pStyle w:val="10"/>
        <w:tabs>
          <w:tab w:val="right" w:leader="dot" w:pos="8306"/>
        </w:tabs>
        <w:spacing w:line="360" w:lineRule="exact"/>
        <w:rPr>
          <w:rFonts w:ascii="宋体" w:hAnsi="宋体" w:cs="宋体"/>
          <w:highlight w:val="none"/>
        </w:rPr>
      </w:pPr>
      <w:r>
        <w:rPr>
          <w:highlight w:val="none"/>
        </w:rPr>
        <w:fldChar w:fldCharType="begin"/>
      </w:r>
      <w:r>
        <w:rPr>
          <w:highlight w:val="none"/>
        </w:rPr>
        <w:instrText xml:space="preserve"> HYPERLINK \l "_Toc17277" </w:instrText>
      </w:r>
      <w:r>
        <w:rPr>
          <w:highlight w:val="none"/>
        </w:rPr>
        <w:fldChar w:fldCharType="separate"/>
      </w:r>
      <w:r>
        <w:rPr>
          <w:rFonts w:hint="eastAsia" w:ascii="宋体" w:hAnsi="宋体" w:cs="宋体"/>
          <w:highlight w:val="none"/>
        </w:rPr>
        <w:t>（资格部分）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_Toc17277 \h </w:instrText>
      </w:r>
      <w:r>
        <w:rPr>
          <w:rFonts w:hint="eastAsia" w:ascii="宋体" w:hAnsi="宋体" w:cs="宋体"/>
          <w:highlight w:val="none"/>
        </w:rPr>
        <w:fldChar w:fldCharType="separate"/>
      </w:r>
      <w:r>
        <w:rPr>
          <w:rFonts w:hint="eastAsia" w:ascii="宋体" w:hAnsi="宋体" w:cs="宋体"/>
          <w:highlight w:val="none"/>
        </w:rPr>
        <w:t>60</w:t>
      </w:r>
      <w:r>
        <w:rPr>
          <w:rFonts w:hint="eastAsia" w:ascii="宋体" w:hAnsi="宋体" w:cs="宋体"/>
          <w:highlight w:val="none"/>
        </w:rPr>
        <w:fldChar w:fldCharType="end"/>
      </w:r>
      <w:r>
        <w:rPr>
          <w:rFonts w:hint="eastAsia" w:ascii="宋体" w:hAnsi="宋体" w:cs="宋体"/>
          <w:highlight w:val="none"/>
        </w:rPr>
        <w:fldChar w:fldCharType="end"/>
      </w:r>
    </w:p>
    <w:p w14:paraId="70E3BC30">
      <w:pPr>
        <w:pStyle w:val="10"/>
        <w:tabs>
          <w:tab w:val="right" w:leader="dot" w:pos="8306"/>
        </w:tabs>
        <w:spacing w:line="360" w:lineRule="exact"/>
        <w:rPr>
          <w:rFonts w:ascii="宋体" w:hAnsi="宋体" w:cs="宋体"/>
          <w:highlight w:val="none"/>
        </w:rPr>
      </w:pPr>
      <w:r>
        <w:rPr>
          <w:highlight w:val="none"/>
        </w:rPr>
        <w:fldChar w:fldCharType="begin"/>
      </w:r>
      <w:r>
        <w:rPr>
          <w:highlight w:val="none"/>
        </w:rPr>
        <w:instrText xml:space="preserve"> HYPERLINK \l "_Toc4025" </w:instrText>
      </w:r>
      <w:r>
        <w:rPr>
          <w:highlight w:val="none"/>
        </w:rPr>
        <w:fldChar w:fldCharType="separate"/>
      </w:r>
      <w:r>
        <w:rPr>
          <w:rFonts w:hint="eastAsia" w:ascii="宋体" w:hAnsi="宋体" w:cs="宋体"/>
          <w:spacing w:val="4"/>
          <w:szCs w:val="36"/>
          <w:highlight w:val="none"/>
        </w:rPr>
        <w:t>一、法人代表授权书</w:t>
      </w:r>
      <w:r>
        <w:rPr>
          <w:rFonts w:hint="eastAsia" w:ascii="宋体" w:hAnsi="宋体" w:cs="宋体"/>
          <w:highlight w:val="none"/>
        </w:rPr>
        <w:tab/>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cs="宋体"/>
          <w:highlight w:val="none"/>
        </w:rPr>
        <w:t>2</w:t>
      </w:r>
    </w:p>
    <w:p w14:paraId="5A9905F0">
      <w:pPr>
        <w:pStyle w:val="10"/>
        <w:tabs>
          <w:tab w:val="right" w:leader="dot" w:pos="8306"/>
        </w:tabs>
        <w:spacing w:line="360" w:lineRule="exact"/>
        <w:rPr>
          <w:rFonts w:ascii="宋体" w:hAnsi="宋体" w:cs="宋体"/>
          <w:highlight w:val="none"/>
        </w:rPr>
      </w:pPr>
      <w:r>
        <w:rPr>
          <w:highlight w:val="none"/>
        </w:rPr>
        <w:fldChar w:fldCharType="begin"/>
      </w:r>
      <w:r>
        <w:rPr>
          <w:highlight w:val="none"/>
        </w:rPr>
        <w:instrText xml:space="preserve"> HYPERLINK \l "_Toc30493" </w:instrText>
      </w:r>
      <w:r>
        <w:rPr>
          <w:highlight w:val="none"/>
        </w:rPr>
        <w:fldChar w:fldCharType="separate"/>
      </w:r>
      <w:r>
        <w:rPr>
          <w:rFonts w:hint="eastAsia" w:ascii="宋体" w:hAnsi="宋体" w:cs="宋体"/>
          <w:szCs w:val="36"/>
          <w:highlight w:val="none"/>
        </w:rPr>
        <w:t>二、陕西省政府采购供应商拒绝政府采购领域商业贿赂承诺书</w:t>
      </w:r>
      <w:r>
        <w:rPr>
          <w:rFonts w:hint="eastAsia" w:ascii="宋体" w:hAnsi="宋体" w:cs="宋体"/>
          <w:highlight w:val="none"/>
        </w:rPr>
        <w:tab/>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cs="宋体"/>
          <w:highlight w:val="none"/>
        </w:rPr>
        <w:t>4</w:t>
      </w:r>
    </w:p>
    <w:p w14:paraId="413DEC24">
      <w:pPr>
        <w:pStyle w:val="10"/>
        <w:tabs>
          <w:tab w:val="right" w:leader="dot" w:pos="8306"/>
        </w:tabs>
        <w:spacing w:line="360" w:lineRule="exact"/>
        <w:rPr>
          <w:rFonts w:ascii="宋体" w:hAnsi="宋体" w:cs="宋体"/>
          <w:highlight w:val="none"/>
        </w:rPr>
      </w:pPr>
      <w:r>
        <w:rPr>
          <w:highlight w:val="none"/>
        </w:rPr>
        <w:fldChar w:fldCharType="begin"/>
      </w:r>
      <w:r>
        <w:rPr>
          <w:highlight w:val="none"/>
        </w:rPr>
        <w:instrText xml:space="preserve"> HYPERLINK \l "_Toc12184" </w:instrText>
      </w:r>
      <w:r>
        <w:rPr>
          <w:highlight w:val="none"/>
        </w:rPr>
        <w:fldChar w:fldCharType="separate"/>
      </w:r>
      <w:r>
        <w:rPr>
          <w:rFonts w:hint="eastAsia" w:ascii="宋体" w:hAnsi="宋体" w:cs="宋体"/>
          <w:szCs w:val="36"/>
          <w:highlight w:val="none"/>
        </w:rPr>
        <w:t>三、资格证明文件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_Toc12184 \h </w:instrText>
      </w:r>
      <w:r>
        <w:rPr>
          <w:rFonts w:hint="eastAsia" w:ascii="宋体" w:hAnsi="宋体" w:cs="宋体"/>
          <w:highlight w:val="none"/>
        </w:rPr>
        <w:fldChar w:fldCharType="separate"/>
      </w:r>
      <w:r>
        <w:rPr>
          <w:rFonts w:hint="eastAsia" w:ascii="宋体" w:hAnsi="宋体" w:cs="宋体"/>
          <w:highlight w:val="none"/>
        </w:rPr>
        <w:t>64</w:t>
      </w:r>
      <w:r>
        <w:rPr>
          <w:rFonts w:hint="eastAsia" w:ascii="宋体" w:hAnsi="宋体" w:cs="宋体"/>
          <w:highlight w:val="none"/>
        </w:rPr>
        <w:fldChar w:fldCharType="end"/>
      </w:r>
      <w:r>
        <w:rPr>
          <w:rFonts w:hint="eastAsia" w:ascii="宋体" w:hAnsi="宋体" w:cs="宋体"/>
          <w:highlight w:val="none"/>
        </w:rPr>
        <w:fldChar w:fldCharType="end"/>
      </w:r>
    </w:p>
    <w:p w14:paraId="7175EA02">
      <w:pPr>
        <w:pStyle w:val="10"/>
        <w:tabs>
          <w:tab w:val="right" w:leader="dot" w:pos="8306"/>
        </w:tabs>
        <w:spacing w:line="360" w:lineRule="exact"/>
        <w:rPr>
          <w:rFonts w:ascii="宋体" w:hAnsi="宋体" w:cs="宋体"/>
          <w:highlight w:val="none"/>
        </w:rPr>
      </w:pPr>
      <w:r>
        <w:rPr>
          <w:highlight w:val="none"/>
        </w:rPr>
        <w:fldChar w:fldCharType="begin"/>
      </w:r>
      <w:r>
        <w:rPr>
          <w:highlight w:val="none"/>
        </w:rPr>
        <w:instrText xml:space="preserve"> HYPERLINK \l "_Toc30913" </w:instrText>
      </w:r>
      <w:r>
        <w:rPr>
          <w:highlight w:val="none"/>
        </w:rPr>
        <w:fldChar w:fldCharType="separate"/>
      </w:r>
      <w:r>
        <w:rPr>
          <w:rFonts w:hint="eastAsia" w:ascii="宋体" w:hAnsi="宋体" w:cs="宋体"/>
          <w:szCs w:val="36"/>
          <w:highlight w:val="none"/>
        </w:rPr>
        <w:t>（技术和商务部分）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_Toc30913 \h </w:instrText>
      </w:r>
      <w:r>
        <w:rPr>
          <w:rFonts w:hint="eastAsia" w:ascii="宋体" w:hAnsi="宋体" w:cs="宋体"/>
          <w:highlight w:val="none"/>
        </w:rPr>
        <w:fldChar w:fldCharType="separate"/>
      </w:r>
      <w:r>
        <w:rPr>
          <w:rFonts w:hint="eastAsia" w:ascii="宋体" w:hAnsi="宋体" w:cs="宋体"/>
          <w:highlight w:val="none"/>
        </w:rPr>
        <w:t>69</w:t>
      </w:r>
      <w:r>
        <w:rPr>
          <w:rFonts w:hint="eastAsia" w:ascii="宋体" w:hAnsi="宋体" w:cs="宋体"/>
          <w:highlight w:val="none"/>
        </w:rPr>
        <w:fldChar w:fldCharType="end"/>
      </w:r>
      <w:r>
        <w:rPr>
          <w:rFonts w:hint="eastAsia" w:ascii="宋体" w:hAnsi="宋体" w:cs="宋体"/>
          <w:highlight w:val="none"/>
        </w:rPr>
        <w:fldChar w:fldCharType="end"/>
      </w:r>
      <w:r>
        <w:rPr>
          <w:rFonts w:hint="eastAsia" w:ascii="宋体" w:hAnsi="宋体" w:cs="宋体"/>
          <w:highlight w:val="none"/>
        </w:rPr>
        <w:fldChar w:fldCharType="end"/>
      </w:r>
    </w:p>
    <w:p w14:paraId="33F5A6AD">
      <w:pPr>
        <w:pStyle w:val="3"/>
        <w:spacing w:line="400" w:lineRule="exact"/>
        <w:rPr>
          <w:rStyle w:val="28"/>
          <w:rFonts w:ascii="宋体" w:hAnsi="宋体" w:cs="宋体"/>
          <w:b/>
          <w:bCs/>
          <w:sz w:val="36"/>
          <w:szCs w:val="36"/>
          <w:highlight w:val="none"/>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p>
    <w:p w14:paraId="3BF7851E">
      <w:pPr>
        <w:pStyle w:val="3"/>
        <w:spacing w:before="312" w:beforeLines="100" w:after="312" w:afterLines="100" w:line="360" w:lineRule="auto"/>
        <w:rPr>
          <w:rFonts w:ascii="宋体" w:hAnsi="宋体" w:cs="宋体"/>
          <w:b/>
          <w:sz w:val="36"/>
          <w:szCs w:val="36"/>
          <w:highlight w:val="none"/>
        </w:rPr>
      </w:pPr>
      <w:bookmarkStart w:id="0" w:name="_Toc8840"/>
      <w:r>
        <w:rPr>
          <w:rStyle w:val="28"/>
          <w:rFonts w:hint="eastAsia" w:ascii="宋体" w:hAnsi="宋体" w:cs="宋体"/>
          <w:b/>
          <w:bCs/>
          <w:sz w:val="36"/>
          <w:szCs w:val="36"/>
          <w:highlight w:val="none"/>
        </w:rPr>
        <w:t>第一章 招标公告</w:t>
      </w:r>
      <w:bookmarkEnd w:id="0"/>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17"/>
      </w:tblGrid>
      <w:tr w14:paraId="197F18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317" w:type="dxa"/>
            <w:tcBorders>
              <w:tl2br w:val="nil"/>
              <w:tr2bl w:val="nil"/>
            </w:tcBorders>
            <w:vAlign w:val="center"/>
          </w:tcPr>
          <w:p w14:paraId="085E173A">
            <w:pPr>
              <w:spacing w:line="360" w:lineRule="auto"/>
              <w:rPr>
                <w:rFonts w:ascii="宋体" w:hAnsi="宋体" w:cs="宋体"/>
                <w:b/>
                <w:bCs/>
                <w:highlight w:val="none"/>
              </w:rPr>
            </w:pPr>
            <w:r>
              <w:rPr>
                <w:rFonts w:hint="eastAsia" w:ascii="宋体" w:hAnsi="宋体" w:cs="宋体"/>
                <w:b/>
                <w:bCs/>
                <w:highlight w:val="none"/>
              </w:rPr>
              <w:t>项目概况</w:t>
            </w:r>
          </w:p>
          <w:p w14:paraId="340F8088">
            <w:pPr>
              <w:spacing w:line="360" w:lineRule="auto"/>
              <w:ind w:firstLine="420" w:firstLineChars="200"/>
              <w:rPr>
                <w:rFonts w:ascii="宋体" w:hAnsi="宋体" w:cs="宋体"/>
                <w:kern w:val="0"/>
                <w:sz w:val="30"/>
                <w:szCs w:val="30"/>
                <w:highlight w:val="none"/>
              </w:rPr>
            </w:pPr>
            <w:r>
              <w:rPr>
                <w:rFonts w:hint="eastAsia" w:ascii="宋体" w:hAnsi="宋体" w:cs="宋体"/>
                <w:szCs w:val="21"/>
                <w:highlight w:val="none"/>
              </w:rPr>
              <w:t>2024年违法停放车辆拖移转运社会化服务</w:t>
            </w:r>
            <w:r>
              <w:rPr>
                <w:rFonts w:hint="eastAsia" w:ascii="宋体" w:hAnsi="宋体" w:cs="宋体"/>
                <w:szCs w:val="21"/>
                <w:highlight w:val="none"/>
                <w:lang w:eastAsia="zh-CN"/>
              </w:rPr>
              <w:t>（</w:t>
            </w:r>
            <w:r>
              <w:rPr>
                <w:rFonts w:hint="eastAsia" w:ascii="宋体" w:hAnsi="宋体" w:cs="宋体"/>
                <w:szCs w:val="21"/>
                <w:highlight w:val="none"/>
                <w:lang w:val="en-US" w:eastAsia="zh-CN"/>
              </w:rPr>
              <w:t>二次）</w:t>
            </w:r>
            <w:r>
              <w:rPr>
                <w:rFonts w:hint="eastAsia" w:ascii="宋体" w:hAnsi="宋体" w:cs="宋体"/>
                <w:szCs w:val="21"/>
                <w:highlight w:val="none"/>
              </w:rPr>
              <w:t>招标项目的潜在投标人应在</w:t>
            </w:r>
            <w:r>
              <w:rPr>
                <w:rFonts w:hint="eastAsia" w:ascii="宋体" w:hAnsi="宋体" w:cs="宋体"/>
                <w:szCs w:val="21"/>
                <w:highlight w:val="none"/>
                <w:lang w:bidi="ar"/>
              </w:rPr>
              <w:t>全国公共资源交易平台（陕西省·西安市）网站〖首页〉电子交易平台〉陕西政府采购交易系统〉企业端〗</w:t>
            </w:r>
            <w:r>
              <w:rPr>
                <w:rFonts w:hint="eastAsia" w:ascii="宋体" w:hAnsi="宋体" w:cs="宋体"/>
                <w:szCs w:val="21"/>
                <w:highlight w:val="none"/>
              </w:rPr>
              <w:t>获取招标文件，并于2024年</w:t>
            </w:r>
            <w:r>
              <w:rPr>
                <w:rFonts w:hint="eastAsia" w:ascii="宋体" w:hAnsi="宋体" w:cs="宋体"/>
                <w:szCs w:val="21"/>
                <w:highlight w:val="none"/>
                <w:lang w:val="en-US" w:eastAsia="zh-CN"/>
              </w:rPr>
              <w:t>08</w:t>
            </w:r>
            <w:r>
              <w:rPr>
                <w:rFonts w:hint="eastAsia" w:ascii="宋体" w:hAnsi="宋体" w:cs="宋体"/>
                <w:szCs w:val="21"/>
                <w:highlight w:val="none"/>
              </w:rPr>
              <w:t>月</w:t>
            </w:r>
            <w:r>
              <w:rPr>
                <w:rFonts w:hint="eastAsia" w:ascii="宋体" w:hAnsi="宋体" w:cs="宋体"/>
                <w:szCs w:val="21"/>
                <w:highlight w:val="none"/>
                <w:lang w:val="en-US" w:eastAsia="zh-CN"/>
              </w:rPr>
              <w:t>14</w:t>
            </w:r>
            <w:r>
              <w:rPr>
                <w:rFonts w:hint="eastAsia" w:ascii="宋体" w:hAnsi="宋体" w:cs="宋体"/>
                <w:szCs w:val="21"/>
                <w:highlight w:val="none"/>
              </w:rPr>
              <w:t>日9时30分（北京时间）前递交投标文件。</w:t>
            </w:r>
          </w:p>
        </w:tc>
      </w:tr>
    </w:tbl>
    <w:p w14:paraId="179ECFED">
      <w:pPr>
        <w:spacing w:before="156" w:beforeLines="50" w:line="360" w:lineRule="auto"/>
        <w:outlineLvl w:val="1"/>
        <w:rPr>
          <w:rFonts w:ascii="宋体" w:hAnsi="宋体" w:cs="宋体"/>
          <w:b/>
          <w:kern w:val="0"/>
          <w:szCs w:val="21"/>
          <w:highlight w:val="none"/>
        </w:rPr>
      </w:pPr>
      <w:bookmarkStart w:id="1" w:name="_Toc16918"/>
      <w:bookmarkStart w:id="2" w:name="_Toc20186"/>
      <w:bookmarkStart w:id="3" w:name="_Toc3854"/>
      <w:r>
        <w:rPr>
          <w:rFonts w:hint="eastAsia" w:ascii="宋体" w:hAnsi="宋体" w:cs="宋体"/>
          <w:b/>
          <w:kern w:val="0"/>
          <w:szCs w:val="21"/>
          <w:highlight w:val="none"/>
        </w:rPr>
        <w:t>一、项目基本情况：</w:t>
      </w:r>
      <w:bookmarkEnd w:id="1"/>
    </w:p>
    <w:p w14:paraId="2FA3FF48">
      <w:pPr>
        <w:spacing w:line="360" w:lineRule="auto"/>
        <w:ind w:firstLine="420" w:firstLineChars="200"/>
        <w:outlineLvl w:val="1"/>
        <w:rPr>
          <w:rFonts w:hint="eastAsia" w:ascii="宋体" w:hAnsi="宋体" w:eastAsia="宋体" w:cs="宋体"/>
          <w:bCs/>
          <w:kern w:val="0"/>
          <w:szCs w:val="21"/>
          <w:highlight w:val="none"/>
          <w:lang w:eastAsia="zh-CN"/>
        </w:rPr>
      </w:pPr>
      <w:bookmarkStart w:id="4" w:name="_Toc4282"/>
      <w:r>
        <w:rPr>
          <w:rFonts w:hint="eastAsia" w:ascii="宋体" w:hAnsi="宋体" w:cs="宋体"/>
          <w:bCs/>
          <w:kern w:val="0"/>
          <w:szCs w:val="21"/>
          <w:highlight w:val="none"/>
        </w:rPr>
        <w:t>项目编号：</w:t>
      </w:r>
      <w:bookmarkEnd w:id="4"/>
      <w:r>
        <w:rPr>
          <w:rFonts w:hint="eastAsia" w:ascii="宋体" w:hAnsi="宋体" w:cs="宋体"/>
          <w:bCs/>
          <w:kern w:val="0"/>
          <w:szCs w:val="21"/>
          <w:highlight w:val="none"/>
          <w:lang w:eastAsia="zh-CN"/>
        </w:rPr>
        <w:t>0617-2423FZ1573</w:t>
      </w:r>
    </w:p>
    <w:p w14:paraId="1EA8AEAE">
      <w:pPr>
        <w:spacing w:line="360" w:lineRule="auto"/>
        <w:ind w:firstLine="420" w:firstLineChars="200"/>
        <w:outlineLvl w:val="1"/>
        <w:rPr>
          <w:rFonts w:hint="default" w:ascii="宋体" w:hAnsi="宋体" w:eastAsia="宋体" w:cs="宋体"/>
          <w:bCs/>
          <w:szCs w:val="21"/>
          <w:highlight w:val="none"/>
          <w:lang w:val="en-US" w:eastAsia="zh-CN"/>
        </w:rPr>
      </w:pPr>
      <w:bookmarkStart w:id="5" w:name="_Toc13071"/>
      <w:r>
        <w:rPr>
          <w:rFonts w:hint="eastAsia" w:ascii="宋体" w:hAnsi="宋体" w:cs="宋体"/>
          <w:bCs/>
          <w:kern w:val="0"/>
          <w:szCs w:val="21"/>
          <w:highlight w:val="none"/>
        </w:rPr>
        <w:t>项目名称</w:t>
      </w:r>
      <w:bookmarkEnd w:id="2"/>
      <w:bookmarkEnd w:id="3"/>
      <w:bookmarkEnd w:id="5"/>
      <w:r>
        <w:rPr>
          <w:rFonts w:hint="eastAsia" w:ascii="宋体" w:hAnsi="宋体" w:cs="宋体"/>
          <w:bCs/>
          <w:kern w:val="0"/>
          <w:szCs w:val="21"/>
          <w:highlight w:val="none"/>
        </w:rPr>
        <w:t>：</w:t>
      </w:r>
      <w:r>
        <w:rPr>
          <w:rFonts w:hint="eastAsia" w:ascii="宋体" w:hAnsi="宋体" w:cs="宋体"/>
          <w:highlight w:val="none"/>
        </w:rPr>
        <w:t>2024年违法停放车辆拖移转运社会化服务</w:t>
      </w:r>
      <w:r>
        <w:rPr>
          <w:rFonts w:hint="eastAsia" w:ascii="宋体" w:hAnsi="宋体" w:cs="宋体"/>
          <w:highlight w:val="none"/>
          <w:lang w:eastAsia="zh-CN"/>
        </w:rPr>
        <w:t>（</w:t>
      </w:r>
      <w:r>
        <w:rPr>
          <w:rFonts w:hint="eastAsia" w:ascii="宋体" w:hAnsi="宋体" w:cs="宋体"/>
          <w:highlight w:val="none"/>
          <w:lang w:val="en-US" w:eastAsia="zh-CN"/>
        </w:rPr>
        <w:t>二次）</w:t>
      </w:r>
    </w:p>
    <w:p w14:paraId="1377C18C">
      <w:pPr>
        <w:spacing w:line="360" w:lineRule="auto"/>
        <w:ind w:firstLine="420" w:firstLineChars="200"/>
        <w:outlineLvl w:val="1"/>
        <w:rPr>
          <w:rFonts w:ascii="宋体" w:hAnsi="宋体" w:cs="宋体"/>
          <w:bCs/>
          <w:kern w:val="0"/>
          <w:szCs w:val="21"/>
          <w:highlight w:val="none"/>
        </w:rPr>
      </w:pPr>
      <w:bookmarkStart w:id="6" w:name="_Toc7871"/>
      <w:r>
        <w:rPr>
          <w:rFonts w:hint="eastAsia" w:ascii="宋体" w:hAnsi="宋体" w:cs="宋体"/>
          <w:bCs/>
          <w:kern w:val="0"/>
          <w:szCs w:val="21"/>
          <w:highlight w:val="none"/>
        </w:rPr>
        <w:t>采购方式：公开招标</w:t>
      </w:r>
    </w:p>
    <w:p w14:paraId="5A65AD06">
      <w:pPr>
        <w:spacing w:line="360" w:lineRule="auto"/>
        <w:ind w:firstLine="420" w:firstLineChars="200"/>
        <w:outlineLvl w:val="1"/>
        <w:rPr>
          <w:rFonts w:ascii="宋体" w:hAnsi="宋体" w:cs="宋体"/>
          <w:bCs/>
          <w:kern w:val="0"/>
          <w:szCs w:val="21"/>
          <w:highlight w:val="none"/>
        </w:rPr>
      </w:pPr>
      <w:r>
        <w:rPr>
          <w:rFonts w:hint="eastAsia" w:ascii="宋体" w:hAnsi="宋体" w:cs="宋体"/>
          <w:bCs/>
          <w:kern w:val="0"/>
          <w:szCs w:val="21"/>
          <w:highlight w:val="none"/>
        </w:rPr>
        <w:t>预算金额：</w:t>
      </w:r>
      <w:r>
        <w:rPr>
          <w:rFonts w:hint="eastAsia" w:ascii="宋体" w:hAnsi="宋体" w:cs="宋体"/>
          <w:bCs/>
          <w:kern w:val="0"/>
          <w:szCs w:val="21"/>
          <w:highlight w:val="none"/>
          <w:lang w:val="en-US" w:eastAsia="zh-CN"/>
        </w:rPr>
        <w:t>500000</w:t>
      </w:r>
      <w:r>
        <w:rPr>
          <w:rFonts w:hint="eastAsia" w:ascii="宋体" w:hAnsi="宋体" w:cs="宋体"/>
          <w:bCs/>
          <w:kern w:val="0"/>
          <w:szCs w:val="21"/>
          <w:highlight w:val="none"/>
        </w:rPr>
        <w:t>.00元</w:t>
      </w:r>
      <w:bookmarkEnd w:id="6"/>
    </w:p>
    <w:p w14:paraId="730B6ABE">
      <w:pPr>
        <w:spacing w:line="360" w:lineRule="auto"/>
        <w:ind w:firstLine="420" w:firstLineChars="200"/>
        <w:outlineLvl w:val="1"/>
        <w:rPr>
          <w:rFonts w:ascii="宋体" w:hAnsi="宋体" w:cs="宋体"/>
          <w:bCs/>
          <w:kern w:val="0"/>
          <w:szCs w:val="21"/>
          <w:highlight w:val="none"/>
        </w:rPr>
      </w:pPr>
      <w:r>
        <w:rPr>
          <w:rFonts w:hint="eastAsia" w:ascii="宋体" w:hAnsi="宋体" w:cs="宋体"/>
          <w:bCs/>
          <w:kern w:val="0"/>
          <w:szCs w:val="21"/>
          <w:highlight w:val="none"/>
        </w:rPr>
        <w:t>采购需求：</w:t>
      </w:r>
    </w:p>
    <w:p w14:paraId="4B5A2A8C">
      <w:pPr>
        <w:spacing w:before="156" w:beforeLines="50" w:line="360" w:lineRule="auto"/>
        <w:ind w:firstLine="422" w:firstLineChars="200"/>
        <w:outlineLvl w:val="1"/>
        <w:rPr>
          <w:rFonts w:ascii="宋体" w:hAnsi="宋体" w:cs="宋体"/>
          <w:b/>
          <w:kern w:val="0"/>
          <w:szCs w:val="21"/>
          <w:highlight w:val="none"/>
        </w:rPr>
      </w:pPr>
      <w:bookmarkStart w:id="7" w:name="_Toc24695"/>
      <w:bookmarkStart w:id="8" w:name="_Toc20647"/>
      <w:bookmarkStart w:id="9" w:name="_Toc25416"/>
      <w:bookmarkStart w:id="10" w:name="_Toc21276"/>
      <w:bookmarkStart w:id="11" w:name="_Toc18869"/>
      <w:r>
        <w:rPr>
          <w:rFonts w:hint="eastAsia" w:ascii="宋体" w:hAnsi="宋体" w:cs="宋体"/>
          <w:b/>
          <w:kern w:val="0"/>
          <w:szCs w:val="21"/>
          <w:highlight w:val="none"/>
        </w:rPr>
        <w:t>合同包11(全市范围):</w:t>
      </w:r>
    </w:p>
    <w:p w14:paraId="319AC806">
      <w:pPr>
        <w:spacing w:line="360" w:lineRule="auto"/>
        <w:ind w:firstLine="422" w:firstLineChars="200"/>
        <w:outlineLvl w:val="1"/>
        <w:rPr>
          <w:rFonts w:ascii="宋体" w:hAnsi="宋体" w:cs="宋体"/>
          <w:b/>
          <w:kern w:val="0"/>
          <w:szCs w:val="21"/>
          <w:highlight w:val="none"/>
        </w:rPr>
      </w:pPr>
      <w:r>
        <w:rPr>
          <w:rFonts w:hint="eastAsia" w:ascii="宋体" w:hAnsi="宋体" w:cs="宋体"/>
          <w:b/>
          <w:kern w:val="0"/>
          <w:szCs w:val="21"/>
          <w:highlight w:val="none"/>
        </w:rPr>
        <w:t>合同包预算金额：500000.00元</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088"/>
        <w:gridCol w:w="1425"/>
        <w:gridCol w:w="1000"/>
        <w:gridCol w:w="1362"/>
        <w:gridCol w:w="1300"/>
        <w:gridCol w:w="1299"/>
      </w:tblGrid>
      <w:tr w14:paraId="338DC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tcBorders>
              <w:top w:val="single" w:color="auto" w:sz="12" w:space="0"/>
              <w:left w:val="single" w:color="auto" w:sz="12" w:space="0"/>
              <w:bottom w:val="single" w:color="auto" w:sz="4" w:space="0"/>
              <w:right w:val="single" w:color="auto" w:sz="4" w:space="0"/>
              <w:tl2br w:val="nil"/>
              <w:tr2bl w:val="nil"/>
            </w:tcBorders>
            <w:vAlign w:val="center"/>
          </w:tcPr>
          <w:p w14:paraId="0C08B308">
            <w:pPr>
              <w:spacing w:line="360" w:lineRule="auto"/>
              <w:jc w:val="center"/>
              <w:outlineLvl w:val="1"/>
              <w:rPr>
                <w:rFonts w:ascii="宋体" w:hAnsi="宋体" w:cs="宋体"/>
                <w:bCs/>
                <w:kern w:val="0"/>
                <w:szCs w:val="21"/>
                <w:highlight w:val="none"/>
              </w:rPr>
            </w:pPr>
            <w:r>
              <w:rPr>
                <w:rFonts w:hint="eastAsia" w:ascii="宋体" w:hAnsi="宋体" w:cs="宋体"/>
                <w:bCs/>
                <w:kern w:val="0"/>
                <w:szCs w:val="21"/>
                <w:highlight w:val="none"/>
              </w:rPr>
              <w:t>品目号</w:t>
            </w:r>
          </w:p>
        </w:tc>
        <w:tc>
          <w:tcPr>
            <w:tcW w:w="1088" w:type="dxa"/>
            <w:tcBorders>
              <w:top w:val="single" w:color="auto" w:sz="12" w:space="0"/>
              <w:left w:val="single" w:color="auto" w:sz="4" w:space="0"/>
              <w:bottom w:val="single" w:color="auto" w:sz="4" w:space="0"/>
              <w:right w:val="single" w:color="auto" w:sz="4" w:space="0"/>
              <w:tl2br w:val="nil"/>
              <w:tr2bl w:val="nil"/>
            </w:tcBorders>
            <w:vAlign w:val="center"/>
          </w:tcPr>
          <w:p w14:paraId="05622183">
            <w:pPr>
              <w:spacing w:line="360" w:lineRule="auto"/>
              <w:jc w:val="center"/>
              <w:outlineLvl w:val="1"/>
              <w:rPr>
                <w:rFonts w:ascii="宋体" w:hAnsi="宋体" w:cs="宋体"/>
                <w:bCs/>
                <w:kern w:val="0"/>
                <w:szCs w:val="21"/>
                <w:highlight w:val="none"/>
              </w:rPr>
            </w:pPr>
            <w:r>
              <w:rPr>
                <w:rFonts w:hint="eastAsia" w:ascii="宋体" w:hAnsi="宋体" w:cs="宋体"/>
                <w:bCs/>
                <w:kern w:val="0"/>
                <w:szCs w:val="21"/>
                <w:highlight w:val="none"/>
              </w:rPr>
              <w:t>品目名称</w:t>
            </w:r>
          </w:p>
        </w:tc>
        <w:tc>
          <w:tcPr>
            <w:tcW w:w="1425" w:type="dxa"/>
            <w:tcBorders>
              <w:top w:val="single" w:color="auto" w:sz="12" w:space="0"/>
              <w:left w:val="single" w:color="auto" w:sz="4" w:space="0"/>
              <w:bottom w:val="single" w:color="auto" w:sz="4" w:space="0"/>
              <w:right w:val="single" w:color="auto" w:sz="4" w:space="0"/>
              <w:tl2br w:val="nil"/>
              <w:tr2bl w:val="nil"/>
            </w:tcBorders>
            <w:vAlign w:val="center"/>
          </w:tcPr>
          <w:p w14:paraId="33C1019C">
            <w:pPr>
              <w:spacing w:line="360" w:lineRule="auto"/>
              <w:jc w:val="center"/>
              <w:outlineLvl w:val="1"/>
              <w:rPr>
                <w:rFonts w:ascii="宋体" w:hAnsi="宋体" w:cs="宋体"/>
                <w:bCs/>
                <w:kern w:val="0"/>
                <w:szCs w:val="21"/>
                <w:highlight w:val="none"/>
              </w:rPr>
            </w:pPr>
            <w:r>
              <w:rPr>
                <w:rFonts w:hint="eastAsia" w:ascii="宋体" w:hAnsi="宋体" w:cs="宋体"/>
                <w:bCs/>
                <w:kern w:val="0"/>
                <w:szCs w:val="21"/>
                <w:highlight w:val="none"/>
              </w:rPr>
              <w:t>采购标的</w:t>
            </w:r>
          </w:p>
        </w:tc>
        <w:tc>
          <w:tcPr>
            <w:tcW w:w="1000" w:type="dxa"/>
            <w:tcBorders>
              <w:top w:val="single" w:color="auto" w:sz="12" w:space="0"/>
              <w:left w:val="single" w:color="auto" w:sz="4" w:space="0"/>
              <w:bottom w:val="single" w:color="auto" w:sz="4" w:space="0"/>
              <w:right w:val="single" w:color="auto" w:sz="4" w:space="0"/>
              <w:tl2br w:val="nil"/>
              <w:tr2bl w:val="nil"/>
            </w:tcBorders>
            <w:vAlign w:val="center"/>
          </w:tcPr>
          <w:p w14:paraId="71AF07C7">
            <w:pPr>
              <w:spacing w:line="360" w:lineRule="auto"/>
              <w:jc w:val="center"/>
              <w:outlineLvl w:val="1"/>
              <w:rPr>
                <w:rFonts w:ascii="宋体" w:hAnsi="宋体" w:cs="宋体"/>
                <w:bCs/>
                <w:kern w:val="0"/>
                <w:szCs w:val="21"/>
                <w:highlight w:val="none"/>
              </w:rPr>
            </w:pPr>
            <w:r>
              <w:rPr>
                <w:rFonts w:hint="eastAsia" w:ascii="宋体" w:hAnsi="宋体" w:cs="宋体"/>
                <w:bCs/>
                <w:kern w:val="0"/>
                <w:szCs w:val="21"/>
                <w:highlight w:val="none"/>
              </w:rPr>
              <w:t>数量</w:t>
            </w:r>
          </w:p>
          <w:p w14:paraId="1968C2B8">
            <w:pPr>
              <w:spacing w:line="360" w:lineRule="auto"/>
              <w:jc w:val="center"/>
              <w:outlineLvl w:val="1"/>
              <w:rPr>
                <w:rFonts w:ascii="宋体" w:hAnsi="宋体" w:cs="宋体"/>
                <w:bCs/>
                <w:kern w:val="0"/>
                <w:szCs w:val="21"/>
                <w:highlight w:val="none"/>
              </w:rPr>
            </w:pPr>
            <w:r>
              <w:rPr>
                <w:rFonts w:hint="eastAsia" w:ascii="宋体" w:hAnsi="宋体" w:cs="宋体"/>
                <w:bCs/>
                <w:kern w:val="0"/>
                <w:szCs w:val="21"/>
                <w:highlight w:val="none"/>
              </w:rPr>
              <w:t>（单位）</w:t>
            </w:r>
          </w:p>
        </w:tc>
        <w:tc>
          <w:tcPr>
            <w:tcW w:w="1362" w:type="dxa"/>
            <w:tcBorders>
              <w:top w:val="single" w:color="auto" w:sz="12" w:space="0"/>
              <w:left w:val="single" w:color="auto" w:sz="4" w:space="0"/>
              <w:bottom w:val="single" w:color="auto" w:sz="4" w:space="0"/>
              <w:right w:val="single" w:color="auto" w:sz="4" w:space="0"/>
              <w:tl2br w:val="nil"/>
              <w:tr2bl w:val="nil"/>
            </w:tcBorders>
            <w:vAlign w:val="center"/>
          </w:tcPr>
          <w:p w14:paraId="1771E12C">
            <w:pPr>
              <w:spacing w:line="360" w:lineRule="auto"/>
              <w:jc w:val="center"/>
              <w:outlineLvl w:val="1"/>
              <w:rPr>
                <w:rFonts w:ascii="宋体" w:hAnsi="宋体" w:cs="宋体"/>
                <w:bCs/>
                <w:kern w:val="0"/>
                <w:szCs w:val="21"/>
                <w:highlight w:val="none"/>
              </w:rPr>
            </w:pPr>
            <w:r>
              <w:rPr>
                <w:rFonts w:hint="eastAsia" w:ascii="宋体" w:hAnsi="宋体" w:cs="宋体"/>
                <w:bCs/>
                <w:kern w:val="0"/>
                <w:szCs w:val="21"/>
                <w:highlight w:val="none"/>
              </w:rPr>
              <w:t>技术规格、参数及要求</w:t>
            </w:r>
          </w:p>
        </w:tc>
        <w:tc>
          <w:tcPr>
            <w:tcW w:w="1300" w:type="dxa"/>
            <w:tcBorders>
              <w:top w:val="single" w:color="auto" w:sz="12" w:space="0"/>
              <w:left w:val="single" w:color="auto" w:sz="4" w:space="0"/>
              <w:bottom w:val="single" w:color="auto" w:sz="4" w:space="0"/>
              <w:right w:val="single" w:color="auto" w:sz="4" w:space="0"/>
              <w:tl2br w:val="nil"/>
              <w:tr2bl w:val="nil"/>
            </w:tcBorders>
            <w:vAlign w:val="center"/>
          </w:tcPr>
          <w:p w14:paraId="32ED0995">
            <w:pPr>
              <w:spacing w:line="360" w:lineRule="auto"/>
              <w:jc w:val="center"/>
              <w:outlineLvl w:val="1"/>
              <w:rPr>
                <w:rFonts w:ascii="宋体" w:hAnsi="宋体" w:cs="宋体"/>
                <w:bCs/>
                <w:kern w:val="0"/>
                <w:szCs w:val="21"/>
                <w:highlight w:val="none"/>
              </w:rPr>
            </w:pPr>
            <w:r>
              <w:rPr>
                <w:rFonts w:hint="eastAsia" w:ascii="宋体" w:hAnsi="宋体" w:cs="宋体"/>
                <w:bCs/>
                <w:kern w:val="0"/>
                <w:szCs w:val="21"/>
                <w:highlight w:val="none"/>
              </w:rPr>
              <w:t>品目预算(元)</w:t>
            </w:r>
          </w:p>
        </w:tc>
        <w:tc>
          <w:tcPr>
            <w:tcW w:w="1299" w:type="dxa"/>
            <w:tcBorders>
              <w:top w:val="single" w:color="auto" w:sz="12" w:space="0"/>
              <w:left w:val="single" w:color="auto" w:sz="4" w:space="0"/>
              <w:bottom w:val="single" w:color="auto" w:sz="4" w:space="0"/>
              <w:right w:val="single" w:color="auto" w:sz="12" w:space="0"/>
              <w:tl2br w:val="nil"/>
              <w:tr2bl w:val="nil"/>
            </w:tcBorders>
            <w:vAlign w:val="center"/>
          </w:tcPr>
          <w:p w14:paraId="7C55E15A">
            <w:pPr>
              <w:spacing w:line="360" w:lineRule="auto"/>
              <w:jc w:val="center"/>
              <w:outlineLvl w:val="1"/>
              <w:rPr>
                <w:rFonts w:ascii="宋体" w:hAnsi="宋体" w:cs="宋体"/>
                <w:bCs/>
                <w:kern w:val="0"/>
                <w:szCs w:val="21"/>
                <w:highlight w:val="none"/>
              </w:rPr>
            </w:pPr>
            <w:r>
              <w:rPr>
                <w:rFonts w:hint="eastAsia" w:ascii="宋体" w:hAnsi="宋体" w:cs="宋体"/>
                <w:bCs/>
                <w:kern w:val="0"/>
                <w:szCs w:val="21"/>
                <w:highlight w:val="none"/>
              </w:rPr>
              <w:t>最高限价(元)</w:t>
            </w:r>
          </w:p>
        </w:tc>
      </w:tr>
      <w:tr w14:paraId="2F249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 w:type="dxa"/>
            <w:tcBorders>
              <w:top w:val="single" w:color="auto" w:sz="4" w:space="0"/>
              <w:left w:val="single" w:color="auto" w:sz="12" w:space="0"/>
              <w:bottom w:val="single" w:color="auto" w:sz="12" w:space="0"/>
              <w:right w:val="single" w:color="auto" w:sz="4" w:space="0"/>
              <w:tl2br w:val="nil"/>
              <w:tr2bl w:val="nil"/>
            </w:tcBorders>
            <w:vAlign w:val="center"/>
          </w:tcPr>
          <w:p w14:paraId="55E12D05">
            <w:pPr>
              <w:spacing w:line="360" w:lineRule="auto"/>
              <w:jc w:val="center"/>
              <w:outlineLvl w:val="1"/>
              <w:rPr>
                <w:rFonts w:ascii="宋体" w:hAnsi="宋体" w:cs="宋体"/>
                <w:bCs/>
                <w:kern w:val="0"/>
                <w:szCs w:val="21"/>
                <w:highlight w:val="none"/>
              </w:rPr>
            </w:pPr>
            <w:r>
              <w:rPr>
                <w:rFonts w:hint="eastAsia" w:ascii="宋体" w:hAnsi="宋体" w:cs="宋体"/>
                <w:bCs/>
                <w:kern w:val="0"/>
                <w:szCs w:val="21"/>
                <w:highlight w:val="none"/>
              </w:rPr>
              <w:t>10-1</w:t>
            </w:r>
          </w:p>
        </w:tc>
        <w:tc>
          <w:tcPr>
            <w:tcW w:w="1088" w:type="dxa"/>
            <w:tcBorders>
              <w:top w:val="single" w:color="auto" w:sz="4" w:space="0"/>
              <w:left w:val="single" w:color="auto" w:sz="4" w:space="0"/>
              <w:bottom w:val="single" w:color="auto" w:sz="12" w:space="0"/>
              <w:right w:val="single" w:color="auto" w:sz="4" w:space="0"/>
              <w:tl2br w:val="nil"/>
              <w:tr2bl w:val="nil"/>
            </w:tcBorders>
            <w:vAlign w:val="center"/>
          </w:tcPr>
          <w:p w14:paraId="60FBA7E7">
            <w:pPr>
              <w:spacing w:line="360" w:lineRule="auto"/>
              <w:jc w:val="center"/>
              <w:outlineLvl w:val="1"/>
              <w:rPr>
                <w:rFonts w:ascii="宋体" w:hAnsi="宋体" w:cs="宋体"/>
                <w:bCs/>
                <w:kern w:val="0"/>
                <w:szCs w:val="21"/>
                <w:highlight w:val="none"/>
              </w:rPr>
            </w:pPr>
            <w:r>
              <w:rPr>
                <w:rFonts w:hint="eastAsia" w:ascii="宋体" w:hAnsi="宋体" w:cs="宋体"/>
                <w:bCs/>
                <w:kern w:val="0"/>
                <w:szCs w:val="21"/>
                <w:highlight w:val="none"/>
              </w:rPr>
              <w:t>道路交通协管服务</w:t>
            </w:r>
          </w:p>
        </w:tc>
        <w:tc>
          <w:tcPr>
            <w:tcW w:w="1425" w:type="dxa"/>
            <w:tcBorders>
              <w:top w:val="single" w:color="auto" w:sz="4" w:space="0"/>
              <w:left w:val="single" w:color="auto" w:sz="4" w:space="0"/>
              <w:bottom w:val="single" w:color="auto" w:sz="12" w:space="0"/>
              <w:right w:val="single" w:color="auto" w:sz="4" w:space="0"/>
              <w:tl2br w:val="nil"/>
              <w:tr2bl w:val="nil"/>
            </w:tcBorders>
            <w:vAlign w:val="center"/>
          </w:tcPr>
          <w:p w14:paraId="207D94A7">
            <w:pPr>
              <w:spacing w:line="360" w:lineRule="auto"/>
              <w:jc w:val="center"/>
              <w:outlineLvl w:val="1"/>
              <w:rPr>
                <w:rFonts w:ascii="宋体" w:hAnsi="宋体" w:cs="宋体"/>
                <w:bCs/>
                <w:kern w:val="0"/>
                <w:szCs w:val="21"/>
                <w:highlight w:val="none"/>
              </w:rPr>
            </w:pPr>
            <w:r>
              <w:rPr>
                <w:rFonts w:hint="eastAsia" w:ascii="宋体" w:hAnsi="宋体" w:cs="宋体"/>
                <w:bCs/>
                <w:kern w:val="0"/>
                <w:szCs w:val="21"/>
                <w:highlight w:val="none"/>
              </w:rPr>
              <w:t>拖车社会化服务</w:t>
            </w:r>
          </w:p>
        </w:tc>
        <w:tc>
          <w:tcPr>
            <w:tcW w:w="1000" w:type="dxa"/>
            <w:tcBorders>
              <w:top w:val="single" w:color="auto" w:sz="4" w:space="0"/>
              <w:left w:val="single" w:color="auto" w:sz="4" w:space="0"/>
              <w:bottom w:val="single" w:color="auto" w:sz="12" w:space="0"/>
              <w:right w:val="single" w:color="auto" w:sz="4" w:space="0"/>
              <w:tl2br w:val="nil"/>
              <w:tr2bl w:val="nil"/>
            </w:tcBorders>
            <w:vAlign w:val="center"/>
          </w:tcPr>
          <w:p w14:paraId="582ACCFA">
            <w:pPr>
              <w:spacing w:line="360" w:lineRule="auto"/>
              <w:jc w:val="center"/>
              <w:outlineLvl w:val="1"/>
              <w:rPr>
                <w:rFonts w:ascii="宋体" w:hAnsi="宋体" w:cs="宋体"/>
                <w:bCs/>
                <w:kern w:val="0"/>
                <w:szCs w:val="21"/>
                <w:highlight w:val="none"/>
              </w:rPr>
            </w:pPr>
            <w:r>
              <w:rPr>
                <w:rFonts w:hint="eastAsia" w:ascii="宋体" w:hAnsi="宋体" w:cs="宋体"/>
                <w:bCs/>
                <w:kern w:val="0"/>
                <w:szCs w:val="21"/>
                <w:highlight w:val="none"/>
              </w:rPr>
              <w:t>1（批）</w:t>
            </w:r>
          </w:p>
        </w:tc>
        <w:tc>
          <w:tcPr>
            <w:tcW w:w="1362" w:type="dxa"/>
            <w:tcBorders>
              <w:top w:val="single" w:color="auto" w:sz="4" w:space="0"/>
              <w:left w:val="single" w:color="auto" w:sz="4" w:space="0"/>
              <w:bottom w:val="single" w:color="auto" w:sz="12" w:space="0"/>
              <w:right w:val="single" w:color="auto" w:sz="4" w:space="0"/>
              <w:tl2br w:val="nil"/>
              <w:tr2bl w:val="nil"/>
            </w:tcBorders>
            <w:vAlign w:val="center"/>
          </w:tcPr>
          <w:p w14:paraId="5A3B7C02">
            <w:pPr>
              <w:spacing w:line="360" w:lineRule="auto"/>
              <w:jc w:val="center"/>
              <w:outlineLvl w:val="1"/>
              <w:rPr>
                <w:rFonts w:ascii="宋体" w:hAnsi="宋体" w:cs="宋体"/>
                <w:bCs/>
                <w:kern w:val="0"/>
                <w:szCs w:val="21"/>
                <w:highlight w:val="none"/>
              </w:rPr>
            </w:pPr>
            <w:r>
              <w:rPr>
                <w:rFonts w:hint="eastAsia" w:ascii="宋体" w:hAnsi="宋体" w:cs="宋体"/>
                <w:bCs/>
                <w:kern w:val="0"/>
                <w:szCs w:val="21"/>
                <w:highlight w:val="none"/>
              </w:rPr>
              <w:t>详见采购</w:t>
            </w:r>
          </w:p>
          <w:p w14:paraId="714CE9A1">
            <w:pPr>
              <w:spacing w:line="360" w:lineRule="auto"/>
              <w:jc w:val="center"/>
              <w:outlineLvl w:val="1"/>
              <w:rPr>
                <w:rFonts w:ascii="宋体" w:hAnsi="宋体" w:cs="宋体"/>
                <w:bCs/>
                <w:kern w:val="0"/>
                <w:szCs w:val="21"/>
                <w:highlight w:val="none"/>
              </w:rPr>
            </w:pPr>
            <w:r>
              <w:rPr>
                <w:rFonts w:hint="eastAsia" w:ascii="宋体" w:hAnsi="宋体" w:cs="宋体"/>
                <w:bCs/>
                <w:kern w:val="0"/>
                <w:szCs w:val="21"/>
                <w:highlight w:val="none"/>
              </w:rPr>
              <w:t>文件</w:t>
            </w:r>
          </w:p>
        </w:tc>
        <w:tc>
          <w:tcPr>
            <w:tcW w:w="1300" w:type="dxa"/>
            <w:tcBorders>
              <w:top w:val="single" w:color="auto" w:sz="4" w:space="0"/>
              <w:left w:val="single" w:color="auto" w:sz="4" w:space="0"/>
              <w:bottom w:val="single" w:color="auto" w:sz="12" w:space="0"/>
              <w:right w:val="single" w:color="auto" w:sz="4" w:space="0"/>
              <w:tl2br w:val="nil"/>
              <w:tr2bl w:val="nil"/>
            </w:tcBorders>
            <w:vAlign w:val="center"/>
          </w:tcPr>
          <w:p w14:paraId="086EA5D0">
            <w:pPr>
              <w:spacing w:line="360" w:lineRule="auto"/>
              <w:jc w:val="center"/>
              <w:outlineLvl w:val="1"/>
              <w:rPr>
                <w:rFonts w:ascii="宋体" w:hAnsi="宋体" w:cs="宋体"/>
                <w:bCs/>
                <w:kern w:val="0"/>
                <w:szCs w:val="21"/>
                <w:highlight w:val="none"/>
              </w:rPr>
            </w:pPr>
            <w:r>
              <w:rPr>
                <w:rFonts w:hint="eastAsia" w:ascii="宋体" w:hAnsi="宋体" w:cs="宋体"/>
                <w:bCs/>
                <w:kern w:val="0"/>
                <w:szCs w:val="21"/>
                <w:highlight w:val="none"/>
              </w:rPr>
              <w:t>500000.00</w:t>
            </w:r>
          </w:p>
        </w:tc>
        <w:tc>
          <w:tcPr>
            <w:tcW w:w="1299" w:type="dxa"/>
            <w:tcBorders>
              <w:top w:val="single" w:color="auto" w:sz="4" w:space="0"/>
              <w:left w:val="single" w:color="auto" w:sz="4" w:space="0"/>
              <w:bottom w:val="single" w:color="auto" w:sz="12" w:space="0"/>
              <w:right w:val="single" w:color="auto" w:sz="12" w:space="0"/>
              <w:tl2br w:val="nil"/>
              <w:tr2bl w:val="nil"/>
            </w:tcBorders>
            <w:vAlign w:val="center"/>
          </w:tcPr>
          <w:p w14:paraId="49A45305">
            <w:pPr>
              <w:spacing w:line="360" w:lineRule="auto"/>
              <w:jc w:val="center"/>
              <w:outlineLvl w:val="1"/>
              <w:rPr>
                <w:rFonts w:ascii="宋体" w:hAnsi="宋体" w:cs="宋体"/>
                <w:bCs/>
                <w:kern w:val="0"/>
                <w:szCs w:val="21"/>
                <w:highlight w:val="none"/>
              </w:rPr>
            </w:pPr>
            <w:r>
              <w:rPr>
                <w:rFonts w:hint="eastAsia" w:ascii="宋体" w:hAnsi="宋体" w:cs="宋体"/>
                <w:szCs w:val="21"/>
                <w:highlight w:val="none"/>
                <w:lang w:bidi="zh-CN"/>
              </w:rPr>
              <w:t>-</w:t>
            </w:r>
          </w:p>
        </w:tc>
      </w:tr>
    </w:tbl>
    <w:p w14:paraId="185944BA">
      <w:pPr>
        <w:spacing w:line="360" w:lineRule="auto"/>
        <w:ind w:firstLine="420" w:firstLineChars="200"/>
        <w:outlineLvl w:val="1"/>
        <w:rPr>
          <w:rFonts w:ascii="宋体" w:hAnsi="宋体" w:cs="宋体"/>
          <w:bCs/>
          <w:kern w:val="0"/>
          <w:szCs w:val="21"/>
          <w:highlight w:val="none"/>
        </w:rPr>
      </w:pPr>
      <w:r>
        <w:rPr>
          <w:rFonts w:hint="eastAsia" w:ascii="宋体" w:hAnsi="宋体" w:cs="宋体"/>
          <w:bCs/>
          <w:kern w:val="0"/>
          <w:szCs w:val="21"/>
          <w:highlight w:val="none"/>
        </w:rPr>
        <w:t>本合同包不接受联合体投标</w:t>
      </w:r>
    </w:p>
    <w:p w14:paraId="25390292">
      <w:pPr>
        <w:spacing w:line="360" w:lineRule="auto"/>
        <w:ind w:firstLine="420" w:firstLineChars="200"/>
        <w:outlineLvl w:val="1"/>
        <w:rPr>
          <w:rFonts w:ascii="宋体" w:hAnsi="宋体" w:cs="宋体"/>
          <w:bCs/>
          <w:kern w:val="0"/>
          <w:szCs w:val="21"/>
          <w:highlight w:val="none"/>
        </w:rPr>
      </w:pPr>
      <w:r>
        <w:rPr>
          <w:rFonts w:hint="eastAsia" w:ascii="宋体" w:hAnsi="宋体" w:cs="宋体"/>
          <w:bCs/>
          <w:kern w:val="0"/>
          <w:szCs w:val="21"/>
          <w:highlight w:val="none"/>
        </w:rPr>
        <w:t>合同履行期限：按招标文件要求执行；</w:t>
      </w:r>
    </w:p>
    <w:p w14:paraId="6E169F87">
      <w:pPr>
        <w:pStyle w:val="5"/>
        <w:keepNext w:val="0"/>
        <w:keepLines w:val="0"/>
        <w:widowControl/>
        <w:shd w:val="clear" w:color="auto" w:fill="FFFFFF"/>
        <w:spacing w:before="0" w:after="0" w:line="360" w:lineRule="auto"/>
        <w:jc w:val="left"/>
        <w:textAlignment w:val="baseline"/>
        <w:rPr>
          <w:rFonts w:ascii="宋体" w:hAnsi="宋体" w:cs="宋体"/>
          <w:bCs w:val="0"/>
          <w:kern w:val="0"/>
          <w:sz w:val="21"/>
          <w:szCs w:val="21"/>
          <w:highlight w:val="none"/>
        </w:rPr>
      </w:pPr>
      <w:r>
        <w:rPr>
          <w:rFonts w:hint="eastAsia" w:ascii="宋体" w:hAnsi="宋体" w:cs="宋体"/>
          <w:bCs w:val="0"/>
          <w:kern w:val="0"/>
          <w:sz w:val="21"/>
          <w:szCs w:val="21"/>
          <w:highlight w:val="none"/>
        </w:rPr>
        <w:t>二、</w:t>
      </w:r>
      <w:bookmarkEnd w:id="7"/>
      <w:bookmarkEnd w:id="8"/>
      <w:bookmarkEnd w:id="9"/>
      <w:r>
        <w:rPr>
          <w:rFonts w:hint="eastAsia" w:ascii="宋体" w:hAnsi="宋体" w:cs="宋体"/>
          <w:bCs w:val="0"/>
          <w:kern w:val="0"/>
          <w:sz w:val="21"/>
          <w:szCs w:val="21"/>
          <w:highlight w:val="none"/>
        </w:rPr>
        <w:t>申请人的资格要求</w:t>
      </w:r>
    </w:p>
    <w:p w14:paraId="0075CA1D">
      <w:pPr>
        <w:spacing w:line="360" w:lineRule="auto"/>
        <w:ind w:firstLine="420" w:firstLineChars="200"/>
        <w:rPr>
          <w:rFonts w:ascii="宋体" w:hAnsi="宋体" w:cs="宋体"/>
          <w:szCs w:val="21"/>
          <w:highlight w:val="none"/>
        </w:rPr>
      </w:pPr>
      <w:r>
        <w:rPr>
          <w:rFonts w:hint="eastAsia" w:ascii="宋体" w:hAnsi="宋体" w:cs="宋体"/>
          <w:szCs w:val="21"/>
          <w:highlight w:val="none"/>
        </w:rPr>
        <w:t>1.满足《中华人民共和国政府采购法》第二十二条规定；</w:t>
      </w:r>
    </w:p>
    <w:p w14:paraId="13929834">
      <w:pPr>
        <w:spacing w:line="360" w:lineRule="auto"/>
        <w:ind w:firstLine="420" w:firstLineChars="200"/>
        <w:rPr>
          <w:rFonts w:ascii="宋体" w:hAnsi="宋体" w:cs="宋体"/>
          <w:szCs w:val="21"/>
          <w:highlight w:val="none"/>
        </w:rPr>
      </w:pPr>
      <w:r>
        <w:rPr>
          <w:rFonts w:hint="eastAsia" w:ascii="宋体" w:hAnsi="宋体" w:cs="宋体"/>
          <w:szCs w:val="21"/>
          <w:highlight w:val="none"/>
        </w:rPr>
        <w:t>2.落实政府采购政策需满足的资格要求：/</w:t>
      </w:r>
    </w:p>
    <w:p w14:paraId="33A4B75B">
      <w:pPr>
        <w:spacing w:line="360" w:lineRule="auto"/>
        <w:ind w:firstLine="420" w:firstLineChars="200"/>
        <w:rPr>
          <w:rFonts w:ascii="宋体" w:hAnsi="宋体" w:cs="宋体"/>
          <w:szCs w:val="21"/>
          <w:highlight w:val="none"/>
        </w:rPr>
      </w:pPr>
      <w:r>
        <w:rPr>
          <w:rFonts w:hint="eastAsia" w:ascii="宋体" w:hAnsi="宋体" w:cs="宋体"/>
          <w:szCs w:val="21"/>
          <w:highlight w:val="none"/>
        </w:rPr>
        <w:t>3.本项目的特定资格要求：</w:t>
      </w:r>
    </w:p>
    <w:p w14:paraId="2087B6EC">
      <w:pPr>
        <w:pStyle w:val="11"/>
        <w:spacing w:before="0" w:beforeAutospacing="0" w:after="0" w:afterAutospacing="0" w:line="360" w:lineRule="auto"/>
        <w:ind w:firstLine="422" w:firstLineChars="200"/>
        <w:jc w:val="both"/>
        <w:rPr>
          <w:b/>
          <w:bCs/>
          <w:kern w:val="2"/>
          <w:sz w:val="21"/>
          <w:szCs w:val="21"/>
          <w:highlight w:val="none"/>
        </w:rPr>
      </w:pPr>
      <w:r>
        <w:rPr>
          <w:rFonts w:hint="eastAsia"/>
          <w:b/>
          <w:bCs/>
          <w:kern w:val="2"/>
          <w:sz w:val="21"/>
          <w:szCs w:val="21"/>
          <w:highlight w:val="none"/>
        </w:rPr>
        <w:t>合同包11(全市范围)特定资格要求如下:/</w:t>
      </w:r>
    </w:p>
    <w:bookmarkEnd w:id="10"/>
    <w:bookmarkEnd w:id="11"/>
    <w:p w14:paraId="70D867C2">
      <w:pPr>
        <w:widowControl/>
        <w:tabs>
          <w:tab w:val="left" w:pos="1620"/>
        </w:tabs>
        <w:spacing w:line="360" w:lineRule="auto"/>
        <w:jc w:val="left"/>
        <w:outlineLvl w:val="1"/>
        <w:rPr>
          <w:rFonts w:ascii="宋体" w:hAnsi="宋体" w:cs="宋体"/>
          <w:b/>
          <w:kern w:val="0"/>
          <w:szCs w:val="21"/>
          <w:highlight w:val="none"/>
        </w:rPr>
      </w:pPr>
      <w:bookmarkStart w:id="12" w:name="_Toc17055"/>
      <w:bookmarkStart w:id="13" w:name="_Toc23719"/>
      <w:bookmarkStart w:id="14" w:name="_Toc13748"/>
      <w:bookmarkStart w:id="15" w:name="_Toc14790"/>
      <w:r>
        <w:rPr>
          <w:rFonts w:hint="eastAsia" w:ascii="宋体" w:hAnsi="宋体" w:cs="宋体"/>
          <w:b/>
          <w:kern w:val="0"/>
          <w:szCs w:val="21"/>
          <w:highlight w:val="none"/>
        </w:rPr>
        <w:t>三、获取招标文件</w:t>
      </w:r>
    </w:p>
    <w:p w14:paraId="298254FF">
      <w:pPr>
        <w:spacing w:line="360" w:lineRule="auto"/>
        <w:ind w:firstLine="420" w:firstLineChars="200"/>
        <w:rPr>
          <w:rFonts w:ascii="宋体" w:hAnsi="宋体" w:cs="宋体"/>
          <w:bCs/>
          <w:szCs w:val="21"/>
          <w:highlight w:val="none"/>
          <w:lang w:bidi="ar"/>
        </w:rPr>
      </w:pPr>
      <w:r>
        <w:rPr>
          <w:rFonts w:hint="eastAsia" w:ascii="宋体" w:hAnsi="宋体" w:cs="宋体"/>
          <w:bCs/>
          <w:szCs w:val="21"/>
          <w:highlight w:val="none"/>
          <w:lang w:bidi="ar"/>
        </w:rPr>
        <w:t>时间：2024年</w:t>
      </w:r>
      <w:r>
        <w:rPr>
          <w:rFonts w:hint="eastAsia" w:ascii="宋体" w:hAnsi="宋体" w:cs="宋体"/>
          <w:bCs/>
          <w:szCs w:val="21"/>
          <w:highlight w:val="none"/>
          <w:lang w:val="en-US" w:eastAsia="zh-CN" w:bidi="ar"/>
        </w:rPr>
        <w:t>07</w:t>
      </w:r>
      <w:r>
        <w:rPr>
          <w:rFonts w:hint="eastAsia" w:ascii="宋体" w:hAnsi="宋体" w:cs="宋体"/>
          <w:bCs/>
          <w:szCs w:val="21"/>
          <w:highlight w:val="none"/>
          <w:lang w:bidi="ar"/>
        </w:rPr>
        <w:t>月</w:t>
      </w:r>
      <w:r>
        <w:rPr>
          <w:rFonts w:hint="eastAsia" w:ascii="宋体" w:hAnsi="宋体" w:cs="宋体"/>
          <w:bCs/>
          <w:szCs w:val="21"/>
          <w:highlight w:val="none"/>
          <w:lang w:val="en-US" w:eastAsia="zh-CN" w:bidi="ar"/>
        </w:rPr>
        <w:t>24</w:t>
      </w:r>
      <w:r>
        <w:rPr>
          <w:rFonts w:hint="eastAsia" w:ascii="宋体" w:hAnsi="宋体" w:cs="宋体"/>
          <w:bCs/>
          <w:szCs w:val="21"/>
          <w:highlight w:val="none"/>
          <w:lang w:bidi="ar"/>
        </w:rPr>
        <w:t>日至2024年</w:t>
      </w:r>
      <w:r>
        <w:rPr>
          <w:rFonts w:hint="eastAsia" w:ascii="宋体" w:hAnsi="宋体" w:cs="宋体"/>
          <w:bCs/>
          <w:szCs w:val="21"/>
          <w:highlight w:val="none"/>
          <w:lang w:val="en-US" w:eastAsia="zh-CN" w:bidi="ar"/>
        </w:rPr>
        <w:t>07</w:t>
      </w:r>
      <w:r>
        <w:rPr>
          <w:rFonts w:hint="eastAsia" w:ascii="宋体" w:hAnsi="宋体" w:cs="宋体"/>
          <w:bCs/>
          <w:szCs w:val="21"/>
          <w:highlight w:val="none"/>
          <w:lang w:bidi="ar"/>
        </w:rPr>
        <w:t>月</w:t>
      </w:r>
      <w:r>
        <w:rPr>
          <w:rFonts w:hint="eastAsia" w:ascii="宋体" w:hAnsi="宋体" w:cs="宋体"/>
          <w:bCs/>
          <w:szCs w:val="21"/>
          <w:highlight w:val="none"/>
          <w:lang w:val="en-US" w:eastAsia="zh-CN" w:bidi="ar"/>
        </w:rPr>
        <w:t>31</w:t>
      </w:r>
      <w:r>
        <w:rPr>
          <w:rFonts w:hint="eastAsia" w:ascii="宋体" w:hAnsi="宋体" w:cs="宋体"/>
          <w:bCs/>
          <w:szCs w:val="21"/>
          <w:highlight w:val="none"/>
          <w:lang w:bidi="ar"/>
        </w:rPr>
        <w:t>日，每天上午00:00:00至12:00:00，下午12:00:00至23:59:59（北京时间）</w:t>
      </w:r>
    </w:p>
    <w:p w14:paraId="558B8FE9">
      <w:pPr>
        <w:spacing w:line="360" w:lineRule="auto"/>
        <w:ind w:firstLine="420" w:firstLineChars="200"/>
        <w:rPr>
          <w:rFonts w:ascii="宋体" w:hAnsi="宋体" w:cs="宋体"/>
          <w:bCs/>
          <w:szCs w:val="21"/>
          <w:highlight w:val="none"/>
          <w:lang w:bidi="ar"/>
        </w:rPr>
      </w:pPr>
      <w:r>
        <w:rPr>
          <w:rFonts w:hint="eastAsia" w:ascii="宋体" w:hAnsi="宋体" w:cs="宋体"/>
          <w:bCs/>
          <w:szCs w:val="21"/>
          <w:highlight w:val="none"/>
          <w:lang w:bidi="ar"/>
        </w:rPr>
        <w:t>途径：全国公共资源交易平台（陕西省·西安市）网站〖首页〉电子交易平台〉陕西政府采购交易系统〉企业端〗</w:t>
      </w:r>
    </w:p>
    <w:p w14:paraId="0DE3690F">
      <w:pPr>
        <w:spacing w:line="360" w:lineRule="auto"/>
        <w:ind w:firstLine="420" w:firstLineChars="200"/>
        <w:rPr>
          <w:rFonts w:ascii="宋体" w:hAnsi="宋体" w:cs="宋体"/>
          <w:bCs/>
          <w:szCs w:val="21"/>
          <w:highlight w:val="none"/>
          <w:lang w:bidi="ar"/>
        </w:rPr>
      </w:pPr>
      <w:r>
        <w:rPr>
          <w:rFonts w:hint="eastAsia" w:ascii="宋体" w:hAnsi="宋体" w:cs="宋体"/>
          <w:bCs/>
          <w:szCs w:val="21"/>
          <w:highlight w:val="none"/>
          <w:lang w:bidi="ar"/>
        </w:rPr>
        <w:t>方式：在线获取</w:t>
      </w:r>
    </w:p>
    <w:p w14:paraId="7B3B5CBA">
      <w:pPr>
        <w:widowControl/>
        <w:tabs>
          <w:tab w:val="left" w:pos="1620"/>
        </w:tabs>
        <w:spacing w:line="360" w:lineRule="auto"/>
        <w:ind w:right="-197" w:rightChars="-94"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售价：免费获取</w:t>
      </w:r>
    </w:p>
    <w:p w14:paraId="546EBC48">
      <w:pPr>
        <w:widowControl/>
        <w:tabs>
          <w:tab w:val="left" w:pos="1620"/>
        </w:tabs>
        <w:spacing w:line="360" w:lineRule="auto"/>
        <w:jc w:val="left"/>
        <w:outlineLvl w:val="1"/>
        <w:rPr>
          <w:rFonts w:ascii="宋体" w:hAnsi="宋体" w:cs="宋体"/>
          <w:b/>
          <w:kern w:val="0"/>
          <w:szCs w:val="21"/>
          <w:highlight w:val="none"/>
        </w:rPr>
      </w:pPr>
      <w:bookmarkStart w:id="16" w:name="_Toc7194"/>
      <w:bookmarkStart w:id="17" w:name="_Toc20986"/>
      <w:bookmarkStart w:id="18" w:name="_Toc6020"/>
      <w:bookmarkStart w:id="19" w:name="_Toc29193"/>
      <w:bookmarkStart w:id="20" w:name="_Toc20058"/>
      <w:bookmarkStart w:id="21" w:name="_Toc42794544"/>
      <w:bookmarkStart w:id="22" w:name="_Toc42518089"/>
      <w:r>
        <w:rPr>
          <w:rFonts w:hint="eastAsia" w:ascii="宋体" w:hAnsi="宋体" w:cs="宋体"/>
          <w:b/>
          <w:kern w:val="0"/>
          <w:szCs w:val="21"/>
          <w:highlight w:val="none"/>
        </w:rPr>
        <w:t>四、提交投标文件截止时间、开标时间和地点</w:t>
      </w:r>
    </w:p>
    <w:bookmarkEnd w:id="16"/>
    <w:p w14:paraId="2EDC7F8A">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时间：2024年</w:t>
      </w:r>
      <w:r>
        <w:rPr>
          <w:rFonts w:hint="eastAsia" w:ascii="宋体" w:hAnsi="宋体" w:cs="宋体"/>
          <w:bCs/>
          <w:szCs w:val="21"/>
          <w:highlight w:val="none"/>
          <w:lang w:val="en-US" w:eastAsia="zh-CN" w:bidi="ar"/>
        </w:rPr>
        <w:t>08</w:t>
      </w:r>
      <w:r>
        <w:rPr>
          <w:rFonts w:hint="eastAsia" w:ascii="宋体" w:hAnsi="宋体" w:cs="宋体"/>
          <w:bCs/>
          <w:szCs w:val="21"/>
          <w:highlight w:val="none"/>
          <w:lang w:bidi="ar"/>
        </w:rPr>
        <w:t>月</w:t>
      </w:r>
      <w:r>
        <w:rPr>
          <w:rFonts w:hint="eastAsia" w:ascii="宋体" w:hAnsi="宋体" w:cs="宋体"/>
          <w:bCs/>
          <w:szCs w:val="21"/>
          <w:highlight w:val="none"/>
          <w:lang w:val="en-US" w:eastAsia="zh-CN" w:bidi="ar"/>
        </w:rPr>
        <w:t>14</w:t>
      </w:r>
      <w:r>
        <w:rPr>
          <w:rFonts w:hint="eastAsia" w:ascii="宋体" w:hAnsi="宋体" w:cs="宋体"/>
          <w:bCs/>
          <w:szCs w:val="21"/>
          <w:highlight w:val="none"/>
          <w:lang w:bidi="ar"/>
        </w:rPr>
        <w:t>日9时30分00秒（北京时间）</w:t>
      </w:r>
      <w:bookmarkStart w:id="23" w:name="_Toc1438"/>
    </w:p>
    <w:p w14:paraId="1A321352">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提交投标文件地点：全国公共资源交易平台（陕西省·西安市）（http：//sxggzyjy.xa.gov.cn/）</w:t>
      </w:r>
    </w:p>
    <w:p w14:paraId="1BEC2C23">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开标地点：</w:t>
      </w:r>
      <w:bookmarkEnd w:id="23"/>
      <w:r>
        <w:rPr>
          <w:rFonts w:hint="eastAsia" w:ascii="宋体" w:hAnsi="宋体" w:cs="宋体"/>
          <w:bCs/>
          <w:szCs w:val="21"/>
          <w:highlight w:val="none"/>
          <w:lang w:bidi="ar"/>
        </w:rPr>
        <w:t>全国公共资源交易平台（陕西省·西安市）不见面开标大厅</w:t>
      </w:r>
    </w:p>
    <w:bookmarkEnd w:id="17"/>
    <w:bookmarkEnd w:id="18"/>
    <w:bookmarkEnd w:id="19"/>
    <w:bookmarkEnd w:id="20"/>
    <w:bookmarkEnd w:id="21"/>
    <w:bookmarkEnd w:id="22"/>
    <w:p w14:paraId="772A87E3">
      <w:pPr>
        <w:spacing w:line="360" w:lineRule="auto"/>
        <w:rPr>
          <w:rFonts w:ascii="宋体" w:hAnsi="宋体" w:cs="宋体"/>
          <w:szCs w:val="21"/>
          <w:highlight w:val="none"/>
        </w:rPr>
      </w:pPr>
      <w:bookmarkStart w:id="24" w:name="_Toc5572"/>
      <w:bookmarkStart w:id="25" w:name="_Toc4404"/>
      <w:bookmarkStart w:id="26" w:name="_Toc29662"/>
      <w:r>
        <w:rPr>
          <w:rFonts w:hint="eastAsia" w:ascii="宋体" w:hAnsi="宋体" w:cs="宋体"/>
          <w:b/>
          <w:kern w:val="0"/>
          <w:szCs w:val="21"/>
          <w:highlight w:val="none"/>
        </w:rPr>
        <w:t>五、</w:t>
      </w:r>
      <w:bookmarkEnd w:id="24"/>
      <w:bookmarkEnd w:id="25"/>
      <w:r>
        <w:rPr>
          <w:rFonts w:hint="eastAsia" w:ascii="宋体" w:hAnsi="宋体" w:cs="宋体"/>
          <w:b/>
          <w:kern w:val="0"/>
          <w:szCs w:val="21"/>
          <w:highlight w:val="none"/>
        </w:rPr>
        <w:t>公告期限</w:t>
      </w:r>
      <w:bookmarkEnd w:id="26"/>
    </w:p>
    <w:p w14:paraId="4566DC36">
      <w:pPr>
        <w:spacing w:line="360" w:lineRule="auto"/>
        <w:ind w:firstLine="420" w:firstLineChars="200"/>
        <w:rPr>
          <w:rFonts w:ascii="宋体" w:hAnsi="宋体" w:cs="宋体"/>
          <w:bCs/>
          <w:szCs w:val="21"/>
          <w:highlight w:val="none"/>
          <w:lang w:bidi="ar"/>
        </w:rPr>
      </w:pPr>
      <w:r>
        <w:rPr>
          <w:rFonts w:hint="eastAsia" w:ascii="宋体" w:hAnsi="宋体" w:cs="宋体"/>
          <w:bCs/>
          <w:szCs w:val="21"/>
          <w:highlight w:val="none"/>
          <w:lang w:bidi="ar"/>
        </w:rPr>
        <w:t>自本公告发布之日起5个工作日。</w:t>
      </w:r>
    </w:p>
    <w:p w14:paraId="31C45280">
      <w:pPr>
        <w:spacing w:line="360" w:lineRule="auto"/>
        <w:outlineLvl w:val="1"/>
        <w:rPr>
          <w:rFonts w:ascii="宋体" w:hAnsi="宋体" w:cs="宋体"/>
          <w:b/>
          <w:kern w:val="0"/>
          <w:szCs w:val="21"/>
          <w:highlight w:val="none"/>
        </w:rPr>
      </w:pPr>
      <w:bookmarkStart w:id="27" w:name="_Toc1321"/>
      <w:r>
        <w:rPr>
          <w:rFonts w:hint="eastAsia" w:ascii="宋体" w:hAnsi="宋体" w:cs="宋体"/>
          <w:b/>
          <w:kern w:val="0"/>
          <w:szCs w:val="21"/>
          <w:highlight w:val="none"/>
        </w:rPr>
        <w:t>六、其他补充事宜</w:t>
      </w:r>
      <w:bookmarkEnd w:id="27"/>
    </w:p>
    <w:bookmarkEnd w:id="12"/>
    <w:bookmarkEnd w:id="13"/>
    <w:bookmarkEnd w:id="14"/>
    <w:bookmarkEnd w:id="15"/>
    <w:p w14:paraId="3DBD711D">
      <w:pPr>
        <w:spacing w:line="360" w:lineRule="auto"/>
        <w:ind w:firstLine="422" w:firstLineChars="200"/>
        <w:rPr>
          <w:rFonts w:ascii="宋体" w:hAnsi="宋体" w:cs="宋体"/>
          <w:b/>
          <w:bCs/>
          <w:szCs w:val="21"/>
          <w:highlight w:val="none"/>
          <w:lang w:bidi="ar"/>
        </w:rPr>
      </w:pPr>
      <w:bookmarkStart w:id="28" w:name="_Toc26582"/>
      <w:bookmarkStart w:id="29" w:name="_Toc26490"/>
      <w:bookmarkStart w:id="30" w:name="_Toc3559"/>
      <w:r>
        <w:rPr>
          <w:rFonts w:hint="eastAsia" w:ascii="宋体" w:hAnsi="宋体" w:cs="宋体"/>
          <w:b/>
          <w:bCs/>
          <w:szCs w:val="21"/>
          <w:highlight w:val="none"/>
        </w:rPr>
        <w:t>本项目专门面向中小企业采购，仅限符合《政府采购促进中小企业发展暂行办法》（财库〔2020〕46号）条件的中小企业参与，供应商应填写中小企业声明函并对真实性负责。（残疾人福利性单位及监狱企业视同为小型、微型企业）</w:t>
      </w:r>
    </w:p>
    <w:p w14:paraId="7A31E172">
      <w:pPr>
        <w:pStyle w:val="11"/>
        <w:shd w:val="clear" w:color="auto" w:fill="FFFFFF"/>
        <w:spacing w:before="0" w:beforeAutospacing="0" w:after="0" w:afterAutospacing="0" w:line="360" w:lineRule="auto"/>
        <w:ind w:firstLine="422" w:firstLineChars="200"/>
        <w:jc w:val="both"/>
        <w:rPr>
          <w:bCs/>
          <w:kern w:val="2"/>
          <w:sz w:val="21"/>
          <w:szCs w:val="21"/>
          <w:highlight w:val="none"/>
          <w:lang w:bidi="ar"/>
        </w:rPr>
      </w:pPr>
      <w:r>
        <w:rPr>
          <w:rFonts w:hint="eastAsia"/>
          <w:b/>
          <w:kern w:val="2"/>
          <w:sz w:val="21"/>
          <w:szCs w:val="21"/>
          <w:highlight w:val="none"/>
          <w:lang w:bidi="ar"/>
        </w:rPr>
        <w:t>请务必在采购文件获取期限内及时下载电子招标文件并做好备份，逾期下载通道将关闭，未及时下载招标文件将会影响投标文件编制及后续投标活动；</w:t>
      </w:r>
    </w:p>
    <w:p w14:paraId="7FECE1E0">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1.本项目采购标的对应的中小企业划分标准所属行业为其他未列明行业。</w:t>
      </w:r>
    </w:p>
    <w:p w14:paraId="14121F0E">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2.供应商须按照陕西省财政厅《关于政府采购供应商注册登记有关事项的通知》中的要求，通过陕西省政府采购网（http://www.ccgp-shaanxi.gov.cn/） 注册登记加入陕西省政府采购供应商库。</w:t>
      </w:r>
    </w:p>
    <w:p w14:paraId="0AA646E8">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3.供应商初次使用电子交易平台时，请先阅读 【全国公共资源交易平台 (陕西省·西安市)】（http://sxggzyjy.xa.gov.cn/）网站 〖首页〉服务指南〉下载专区〗中的 《西安市市级单位电子化政府采购项目投标指南》,并按要求完成诚信入库登记 、CA认证及企业信息绑定。</w:t>
      </w:r>
    </w:p>
    <w:p w14:paraId="4B106ABD">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4.办理CA认证:电子交易平台现已接入陕西CA、深圳CA、西部 CA、北京CA四家数字证书公司,各供应商在交易过程中登录系统、加密/解密投标文件、文件签章等均可使用上述四家CA公司签发的数字证书。办理须知及所需资料详见：http://www.sxggzyjy.cn/fwzn/004003/20220701/6972fe02-f996-4928-951e-545dab02e53c.htm1</w:t>
      </w:r>
    </w:p>
    <w:p w14:paraId="2ABC4270">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5.供应商于文件发售时间内登录全国公共资源交易平台（陕西省·西安市）系统（http://sxggzyjy.xa.gov.cn/），选择本项目点击“我要投标”，参与投标活动；网上报名成功后，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下载通道将关闭，未及时下载招标文件将会影响投标文件编制及后续投标活动；</w:t>
      </w:r>
    </w:p>
    <w:p w14:paraId="7AFEC6AE">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 xml:space="preserve">6.制作电子投标文件（*.SXSTF）需要使用专用制作工具进行编制，编制完成后使用CA锁对电子投标文件进行签章、加密递交电子投标文件。软件下载及操作说明详见西安市公共资源交易平台〖首页·〉服务指南·〉下载专区〗中的《政府采购项目投标文件制作软件及操作手册》。提交电子投标文件：在提交投标文件截止时间前及时提交加密后电子投标文件，逾期提交的，系统将会拒收。 </w:t>
      </w:r>
    </w:p>
    <w:p w14:paraId="44CEBAB1">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7.提交投标文件截止时间前，供应商应随时留意【陕西省政府采购网】、【全国公共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14:paraId="2DA40DF2">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8.本项目采用“不见面开标”方式，供应商无须到达开标现场，即可在网上直接参与开标活动。不见面开标大厅登录方式为：全国公共资源交易平台（陕西省·西安市）→不见面开标系统。相关操作流程详见全国公共资源交易平台（西安市）网站〖首页·〉服务指南·〉下载专区〗中的《西安公共资源交易不见面开标大厅供应商操作手册》。</w:t>
      </w:r>
    </w:p>
    <w:p w14:paraId="16DAE923">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9.因供应商自身设施故障或自身原因导致无法完成签到、解密或投标的，由供应商自行承担后果。</w:t>
      </w:r>
    </w:p>
    <w:p w14:paraId="0D77D522">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10.本项目采购活动执行下列政府采购政策（具体办法详见招标文件）：</w:t>
      </w:r>
    </w:p>
    <w:p w14:paraId="61E54CA4">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（1）《国务院办公厅关于建立政府强制采购节能产品制度的通知》（国办发〔2007〕51号）；</w:t>
      </w:r>
    </w:p>
    <w:p w14:paraId="381130F9">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（2）《关于印发环境标志产品政府采购品目清单的通知》（财库〔2019〕18号）</w:t>
      </w:r>
    </w:p>
    <w:p w14:paraId="17F7125C">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（3）《关于印发节能产品政府采购品目清单的通知》（财库〔2019〕19号）</w:t>
      </w:r>
    </w:p>
    <w:p w14:paraId="03DA905F">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（4）《财政部 司法部关于政府采购支持监狱企业发展有关问题的通知》（财库〔2014〕68号）；</w:t>
      </w:r>
    </w:p>
    <w:p w14:paraId="445AF9D4">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（5）《关于促进残疾人就业政府采购政策的通知》（财库〔2017〕141号）；</w:t>
      </w:r>
    </w:p>
    <w:p w14:paraId="1A9FD6F0">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（6）《关于调整优化节能产品、环境标志产品政府采购执行机制的通知》（财库〔2019〕9号）；</w:t>
      </w:r>
    </w:p>
    <w:p w14:paraId="2AA98BFE">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（7）《关于运用政府采购政策支持乡村产业振兴的通知》（财库〔2021〕19号）；</w:t>
      </w:r>
    </w:p>
    <w:p w14:paraId="14484144">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（8）《政府采购促进中小企业发展管理办法》（财库〔2020〕46号）；</w:t>
      </w:r>
    </w:p>
    <w:p w14:paraId="7CCA1B37">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（9）《陕西省财政厅关于印发&lt;陕西省中小企业政府采购信用融资办法&gt;的通知》（陕财办采〔2018〕23 号）；</w:t>
      </w:r>
    </w:p>
    <w:p w14:paraId="44AB54BD">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（10）陕西省财政厅《关于进一步加强政府绿色采购有关问题的通知》（陕财办采〔2021〕29号）；</w:t>
      </w:r>
    </w:p>
    <w:p w14:paraId="24151680">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（11）《关于进一步加大政府采购支持中小企业力度的通知》（财库〔2022〕19号）；</w:t>
      </w:r>
    </w:p>
    <w:p w14:paraId="40E900BA">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（12）《关于扩大政府采购支持绿色建材促进建筑品质提升政策实施范围的通知》（财库〔2022〕35号）;</w:t>
      </w:r>
    </w:p>
    <w:p w14:paraId="5D6B6F7B">
      <w:pPr>
        <w:widowControl/>
        <w:tabs>
          <w:tab w:val="left" w:pos="1620"/>
        </w:tabs>
        <w:spacing w:line="360" w:lineRule="auto"/>
        <w:ind w:firstLine="420" w:firstLineChars="200"/>
        <w:jc w:val="left"/>
        <w:outlineLvl w:val="1"/>
        <w:rPr>
          <w:rFonts w:ascii="宋体" w:hAnsi="宋体" w:cs="宋体"/>
          <w:bCs/>
          <w:szCs w:val="21"/>
          <w:highlight w:val="none"/>
          <w:lang w:bidi="ar"/>
        </w:rPr>
      </w:pPr>
      <w:r>
        <w:rPr>
          <w:rFonts w:hint="eastAsia" w:ascii="宋体" w:hAnsi="宋体" w:cs="宋体"/>
          <w:bCs/>
          <w:szCs w:val="21"/>
          <w:highlight w:val="none"/>
          <w:lang w:bidi="ar"/>
        </w:rPr>
        <w:t>（13）其他需执行的政府采购政策。</w:t>
      </w:r>
    </w:p>
    <w:p w14:paraId="34A43359">
      <w:pPr>
        <w:spacing w:before="156" w:beforeLines="50" w:line="360" w:lineRule="auto"/>
        <w:outlineLvl w:val="1"/>
        <w:rPr>
          <w:rFonts w:ascii="宋体" w:hAnsi="宋体" w:cs="宋体"/>
          <w:b/>
          <w:kern w:val="0"/>
          <w:szCs w:val="21"/>
          <w:highlight w:val="none"/>
        </w:rPr>
      </w:pPr>
      <w:r>
        <w:rPr>
          <w:rFonts w:hint="eastAsia" w:ascii="宋体" w:hAnsi="宋体" w:cs="宋体"/>
          <w:b/>
          <w:kern w:val="0"/>
          <w:szCs w:val="21"/>
          <w:highlight w:val="none"/>
        </w:rPr>
        <w:t>七、</w:t>
      </w:r>
      <w:bookmarkEnd w:id="28"/>
      <w:r>
        <w:rPr>
          <w:rFonts w:hint="eastAsia" w:ascii="宋体" w:hAnsi="宋体" w:cs="宋体"/>
          <w:b/>
          <w:kern w:val="0"/>
          <w:szCs w:val="21"/>
          <w:highlight w:val="none"/>
        </w:rPr>
        <w:t>凡对本次采购提出询问，请按以下方式联系</w:t>
      </w:r>
    </w:p>
    <w:p w14:paraId="1881D5F2">
      <w:pPr>
        <w:widowControl/>
        <w:spacing w:line="360" w:lineRule="auto"/>
        <w:ind w:firstLine="420" w:firstLineChars="200"/>
        <w:jc w:val="left"/>
        <w:outlineLvl w:val="1"/>
        <w:rPr>
          <w:rFonts w:ascii="宋体" w:hAnsi="宋体" w:cs="宋体"/>
          <w:szCs w:val="21"/>
          <w:highlight w:val="none"/>
        </w:rPr>
      </w:pPr>
      <w:bookmarkStart w:id="31" w:name="_Toc15378"/>
      <w:r>
        <w:rPr>
          <w:rFonts w:hint="eastAsia" w:ascii="宋体" w:hAnsi="宋体" w:cs="宋体"/>
          <w:szCs w:val="21"/>
          <w:highlight w:val="none"/>
        </w:rPr>
        <w:t>1.采购人信息：</w:t>
      </w:r>
    </w:p>
    <w:p w14:paraId="72108A48">
      <w:pPr>
        <w:widowControl/>
        <w:spacing w:line="360" w:lineRule="auto"/>
        <w:ind w:firstLine="420" w:firstLineChars="200"/>
        <w:jc w:val="left"/>
        <w:outlineLvl w:val="1"/>
        <w:rPr>
          <w:rFonts w:ascii="宋体" w:hAnsi="宋体" w:cs="宋体"/>
          <w:szCs w:val="21"/>
          <w:highlight w:val="none"/>
        </w:rPr>
      </w:pPr>
      <w:r>
        <w:rPr>
          <w:rFonts w:hint="eastAsia" w:ascii="宋体" w:hAnsi="宋体" w:cs="宋体"/>
          <w:szCs w:val="21"/>
          <w:highlight w:val="none"/>
        </w:rPr>
        <w:t>名称：西安市公安局交通警察支队</w:t>
      </w:r>
      <w:bookmarkEnd w:id="31"/>
    </w:p>
    <w:p w14:paraId="0826B9D9">
      <w:pPr>
        <w:widowControl/>
        <w:spacing w:line="360" w:lineRule="auto"/>
        <w:ind w:firstLine="420" w:firstLineChars="200"/>
        <w:jc w:val="left"/>
        <w:outlineLvl w:val="1"/>
        <w:rPr>
          <w:rFonts w:ascii="宋体" w:hAnsi="宋体" w:cs="宋体"/>
          <w:szCs w:val="21"/>
          <w:highlight w:val="none"/>
        </w:rPr>
      </w:pPr>
      <w:bookmarkStart w:id="32" w:name="_Toc19143"/>
      <w:r>
        <w:rPr>
          <w:rFonts w:hint="eastAsia" w:ascii="宋体" w:hAnsi="宋体" w:cs="宋体"/>
          <w:szCs w:val="21"/>
          <w:highlight w:val="none"/>
        </w:rPr>
        <w:t>地址：太白南路222号</w:t>
      </w:r>
      <w:bookmarkEnd w:id="32"/>
    </w:p>
    <w:p w14:paraId="7422D64B">
      <w:pPr>
        <w:widowControl/>
        <w:spacing w:line="360" w:lineRule="auto"/>
        <w:ind w:firstLine="420" w:firstLineChars="200"/>
        <w:jc w:val="left"/>
        <w:outlineLvl w:val="1"/>
        <w:rPr>
          <w:rFonts w:ascii="宋体" w:hAnsi="宋体" w:cs="宋体"/>
          <w:kern w:val="0"/>
          <w:szCs w:val="21"/>
          <w:highlight w:val="none"/>
        </w:rPr>
      </w:pPr>
      <w:bookmarkStart w:id="33" w:name="_Toc4779"/>
      <w:r>
        <w:rPr>
          <w:rFonts w:hint="eastAsia" w:ascii="宋体" w:hAnsi="宋体" w:cs="宋体"/>
          <w:bCs/>
          <w:kern w:val="0"/>
          <w:szCs w:val="21"/>
          <w:highlight w:val="none"/>
        </w:rPr>
        <w:t>联系方式：029-86755037</w:t>
      </w:r>
      <w:bookmarkEnd w:id="33"/>
    </w:p>
    <w:p w14:paraId="360790DE">
      <w:pPr>
        <w:widowControl/>
        <w:spacing w:line="360" w:lineRule="auto"/>
        <w:ind w:firstLine="420" w:firstLineChars="200"/>
        <w:jc w:val="left"/>
        <w:outlineLvl w:val="1"/>
        <w:rPr>
          <w:rFonts w:ascii="宋体" w:hAnsi="宋体" w:cs="宋体"/>
          <w:szCs w:val="21"/>
          <w:highlight w:val="none"/>
        </w:rPr>
      </w:pPr>
      <w:bookmarkStart w:id="34" w:name="_Toc31494"/>
      <w:r>
        <w:rPr>
          <w:rFonts w:hint="eastAsia" w:ascii="宋体" w:hAnsi="宋体" w:cs="宋体"/>
          <w:szCs w:val="21"/>
          <w:highlight w:val="none"/>
        </w:rPr>
        <w:t>2.采购代理机构信息</w:t>
      </w:r>
    </w:p>
    <w:p w14:paraId="3A7A53F7">
      <w:pPr>
        <w:widowControl/>
        <w:spacing w:line="360" w:lineRule="auto"/>
        <w:ind w:firstLine="420" w:firstLineChars="200"/>
        <w:jc w:val="left"/>
        <w:outlineLvl w:val="1"/>
        <w:rPr>
          <w:rFonts w:ascii="宋体" w:hAnsi="宋体" w:cs="宋体"/>
          <w:bCs/>
          <w:kern w:val="0"/>
          <w:szCs w:val="21"/>
          <w:highlight w:val="none"/>
        </w:rPr>
      </w:pPr>
      <w:bookmarkStart w:id="35" w:name="_Toc3789"/>
      <w:r>
        <w:rPr>
          <w:rFonts w:hint="eastAsia" w:ascii="宋体" w:hAnsi="宋体" w:cs="宋体"/>
          <w:bCs/>
          <w:kern w:val="0"/>
          <w:szCs w:val="21"/>
          <w:highlight w:val="none"/>
        </w:rPr>
        <w:t>名称：西北（陕西）国际招标有限公司</w:t>
      </w:r>
      <w:bookmarkEnd w:id="35"/>
    </w:p>
    <w:p w14:paraId="586B8D9A">
      <w:pPr>
        <w:widowControl/>
        <w:spacing w:line="360" w:lineRule="auto"/>
        <w:ind w:firstLine="420" w:firstLineChars="200"/>
        <w:jc w:val="left"/>
        <w:outlineLvl w:val="1"/>
        <w:rPr>
          <w:rFonts w:ascii="宋体" w:hAnsi="宋体" w:cs="宋体"/>
          <w:bCs/>
          <w:kern w:val="0"/>
          <w:szCs w:val="21"/>
          <w:highlight w:val="none"/>
        </w:rPr>
      </w:pPr>
      <w:bookmarkStart w:id="36" w:name="_Toc2260"/>
      <w:r>
        <w:rPr>
          <w:rFonts w:hint="eastAsia" w:ascii="宋体" w:hAnsi="宋体" w:cs="宋体"/>
          <w:bCs/>
          <w:kern w:val="0"/>
          <w:szCs w:val="21"/>
          <w:highlight w:val="none"/>
        </w:rPr>
        <w:t>地址：西安市南二环西段58号成长大厦10-14层</w:t>
      </w:r>
      <w:bookmarkEnd w:id="36"/>
    </w:p>
    <w:bookmarkEnd w:id="34"/>
    <w:p w14:paraId="66CD511D">
      <w:pPr>
        <w:widowControl/>
        <w:spacing w:line="360" w:lineRule="auto"/>
        <w:ind w:firstLine="420" w:firstLineChars="200"/>
        <w:jc w:val="left"/>
        <w:outlineLvl w:val="1"/>
        <w:rPr>
          <w:rFonts w:ascii="宋体" w:hAnsi="宋体" w:cs="宋体"/>
          <w:bCs/>
          <w:kern w:val="0"/>
          <w:szCs w:val="21"/>
          <w:highlight w:val="none"/>
        </w:rPr>
      </w:pPr>
      <w:bookmarkStart w:id="37" w:name="_Toc29272"/>
      <w:r>
        <w:rPr>
          <w:rFonts w:hint="eastAsia" w:ascii="宋体" w:hAnsi="宋体" w:cs="宋体"/>
          <w:bCs/>
          <w:kern w:val="0"/>
          <w:szCs w:val="21"/>
          <w:highlight w:val="none"/>
        </w:rPr>
        <w:t>联系方式：029-</w:t>
      </w:r>
      <w:bookmarkEnd w:id="37"/>
      <w:r>
        <w:rPr>
          <w:rFonts w:hint="eastAsia" w:ascii="宋体" w:hAnsi="宋体" w:cs="宋体"/>
          <w:bCs/>
          <w:kern w:val="0"/>
          <w:szCs w:val="21"/>
          <w:highlight w:val="none"/>
        </w:rPr>
        <w:t>85592873</w:t>
      </w:r>
    </w:p>
    <w:p w14:paraId="3E587279">
      <w:pPr>
        <w:widowControl/>
        <w:spacing w:line="360" w:lineRule="auto"/>
        <w:ind w:firstLine="420" w:firstLineChars="200"/>
        <w:jc w:val="left"/>
        <w:outlineLvl w:val="1"/>
        <w:rPr>
          <w:rFonts w:ascii="宋体" w:hAnsi="宋体" w:cs="宋体"/>
          <w:bCs/>
          <w:kern w:val="0"/>
          <w:szCs w:val="21"/>
          <w:highlight w:val="none"/>
        </w:rPr>
      </w:pPr>
      <w:r>
        <w:rPr>
          <w:rFonts w:hint="eastAsia" w:ascii="宋体" w:hAnsi="宋体" w:cs="宋体"/>
          <w:bCs/>
          <w:kern w:val="0"/>
          <w:szCs w:val="21"/>
          <w:highlight w:val="none"/>
        </w:rPr>
        <w:t>开户名称：西北（陕西）国际招标有限公司</w:t>
      </w:r>
    </w:p>
    <w:p w14:paraId="516AF75A">
      <w:pPr>
        <w:widowControl/>
        <w:spacing w:line="360" w:lineRule="auto"/>
        <w:ind w:firstLine="420" w:firstLineChars="200"/>
        <w:jc w:val="left"/>
        <w:outlineLvl w:val="1"/>
        <w:rPr>
          <w:rFonts w:ascii="宋体" w:hAnsi="宋体" w:cs="宋体"/>
          <w:bCs/>
          <w:kern w:val="0"/>
          <w:szCs w:val="21"/>
          <w:highlight w:val="none"/>
        </w:rPr>
      </w:pPr>
      <w:r>
        <w:rPr>
          <w:rFonts w:hint="eastAsia" w:ascii="宋体" w:hAnsi="宋体" w:cs="宋体"/>
          <w:bCs/>
          <w:kern w:val="0"/>
          <w:szCs w:val="21"/>
          <w:highlight w:val="none"/>
        </w:rPr>
        <w:t>开户银行：交通银行西安长安大学支行</w:t>
      </w:r>
    </w:p>
    <w:p w14:paraId="135E7D4C">
      <w:pPr>
        <w:widowControl/>
        <w:spacing w:line="360" w:lineRule="auto"/>
        <w:ind w:firstLine="420" w:firstLineChars="200"/>
        <w:jc w:val="left"/>
        <w:outlineLvl w:val="1"/>
        <w:rPr>
          <w:rFonts w:ascii="宋体" w:hAnsi="宋体" w:cs="宋体"/>
          <w:bCs/>
          <w:kern w:val="0"/>
          <w:szCs w:val="21"/>
          <w:highlight w:val="none"/>
        </w:rPr>
      </w:pPr>
      <w:r>
        <w:rPr>
          <w:rFonts w:hint="eastAsia" w:ascii="宋体" w:hAnsi="宋体" w:cs="宋体"/>
          <w:bCs/>
          <w:kern w:val="0"/>
          <w:szCs w:val="21"/>
          <w:highlight w:val="none"/>
        </w:rPr>
        <w:t>账    号：611301151018010003843</w:t>
      </w:r>
    </w:p>
    <w:p w14:paraId="259254A5">
      <w:pPr>
        <w:widowControl/>
        <w:spacing w:line="360" w:lineRule="auto"/>
        <w:ind w:firstLine="420" w:firstLineChars="200"/>
        <w:jc w:val="left"/>
        <w:outlineLvl w:val="1"/>
        <w:rPr>
          <w:rFonts w:ascii="宋体" w:hAnsi="宋体" w:cs="宋体"/>
          <w:szCs w:val="21"/>
          <w:highlight w:val="none"/>
        </w:rPr>
      </w:pPr>
      <w:r>
        <w:rPr>
          <w:rFonts w:hint="eastAsia" w:ascii="宋体" w:hAnsi="宋体" w:cs="宋体"/>
          <w:szCs w:val="21"/>
          <w:highlight w:val="none"/>
        </w:rPr>
        <w:t>3.项目联系方式</w:t>
      </w:r>
    </w:p>
    <w:p w14:paraId="796C333D">
      <w:pPr>
        <w:widowControl/>
        <w:spacing w:line="360" w:lineRule="auto"/>
        <w:ind w:firstLine="420" w:firstLineChars="200"/>
        <w:jc w:val="left"/>
        <w:outlineLvl w:val="1"/>
        <w:rPr>
          <w:rFonts w:ascii="宋体" w:hAnsi="宋体" w:cs="宋体"/>
          <w:szCs w:val="21"/>
          <w:highlight w:val="none"/>
        </w:rPr>
      </w:pPr>
      <w:r>
        <w:rPr>
          <w:rFonts w:hint="eastAsia" w:ascii="宋体" w:hAnsi="宋体" w:cs="宋体"/>
          <w:szCs w:val="21"/>
          <w:highlight w:val="none"/>
        </w:rPr>
        <w:t>项目联系人：秦进、贾楠希</w:t>
      </w:r>
    </w:p>
    <w:p w14:paraId="18BDDD8A">
      <w:pPr>
        <w:widowControl/>
        <w:spacing w:line="360" w:lineRule="auto"/>
        <w:ind w:firstLine="420" w:firstLineChars="200"/>
        <w:jc w:val="left"/>
        <w:outlineLvl w:val="1"/>
        <w:rPr>
          <w:rFonts w:ascii="宋体" w:hAnsi="宋体" w:cs="宋体"/>
          <w:szCs w:val="21"/>
          <w:highlight w:val="none"/>
        </w:rPr>
      </w:pPr>
      <w:r>
        <w:rPr>
          <w:rFonts w:hint="eastAsia" w:ascii="宋体" w:hAnsi="宋体" w:cs="宋体"/>
          <w:szCs w:val="21"/>
          <w:highlight w:val="none"/>
        </w:rPr>
        <w:t>电话：029-85592873、89651853</w:t>
      </w:r>
    </w:p>
    <w:p w14:paraId="293EB099">
      <w:pPr>
        <w:widowControl/>
        <w:spacing w:before="312" w:beforeLines="100" w:after="312" w:afterLines="100" w:line="360" w:lineRule="auto"/>
        <w:ind w:firstLine="420" w:firstLineChars="200"/>
        <w:jc w:val="center"/>
        <w:outlineLvl w:val="1"/>
        <w:rPr>
          <w:rFonts w:ascii="宋体" w:hAnsi="宋体" w:cs="宋体"/>
          <w:b/>
          <w:bCs/>
          <w:sz w:val="36"/>
          <w:szCs w:val="36"/>
          <w:highlight w:val="none"/>
        </w:rPr>
      </w:pPr>
      <w:r>
        <w:rPr>
          <w:rFonts w:hint="eastAsia" w:ascii="宋体" w:hAnsi="宋体" w:cs="宋体"/>
          <w:szCs w:val="21"/>
          <w:highlight w:val="none"/>
        </w:rPr>
        <w:br w:type="page"/>
      </w:r>
      <w:r>
        <w:rPr>
          <w:rFonts w:hint="eastAsia" w:ascii="宋体" w:hAnsi="宋体" w:cs="宋体"/>
          <w:b/>
          <w:bCs/>
          <w:sz w:val="36"/>
          <w:szCs w:val="36"/>
          <w:highlight w:val="none"/>
        </w:rPr>
        <w:t>电子化招投标项目特别告知</w:t>
      </w:r>
    </w:p>
    <w:p w14:paraId="72E1D01C">
      <w:pPr>
        <w:widowControl/>
        <w:spacing w:line="360" w:lineRule="auto"/>
        <w:ind w:firstLine="422" w:firstLineChars="200"/>
        <w:jc w:val="left"/>
        <w:rPr>
          <w:rFonts w:ascii="宋体" w:hAnsi="宋体" w:cs="宋体"/>
          <w:b/>
          <w:bCs/>
          <w:szCs w:val="21"/>
          <w:highlight w:val="none"/>
        </w:rPr>
      </w:pPr>
      <w:r>
        <w:rPr>
          <w:rFonts w:hint="eastAsia" w:ascii="宋体" w:hAnsi="宋体" w:cs="宋体"/>
          <w:b/>
          <w:bCs/>
          <w:szCs w:val="21"/>
          <w:highlight w:val="none"/>
        </w:rPr>
        <w:t>一、说明</w:t>
      </w:r>
    </w:p>
    <w:p w14:paraId="3EA585E4">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1.西安市公共资源交易平台：即【全国公共资源交易平台（陕西省（陕西省·西安市）】的简称，官网地址：http://sxggzyjy.xa.gov.cn/。</w:t>
      </w:r>
    </w:p>
    <w:p w14:paraId="61A45DDA">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2.企业端：指西安市公共资源交易平台〖首页·〉电子交易平台·〉陕西政府采购交易系统·〉企业端〗，快捷登录网址：http://www.sxggzyjy.cn:9002/TPBidder/memberLogin。</w:t>
      </w:r>
    </w:p>
    <w:p w14:paraId="62DCCF83">
      <w:pPr>
        <w:widowControl/>
        <w:spacing w:line="360" w:lineRule="auto"/>
        <w:ind w:firstLine="422" w:firstLineChars="200"/>
        <w:jc w:val="left"/>
        <w:rPr>
          <w:rFonts w:ascii="宋体" w:hAnsi="宋体" w:cs="宋体"/>
          <w:b/>
          <w:bCs/>
          <w:szCs w:val="21"/>
          <w:highlight w:val="none"/>
        </w:rPr>
      </w:pPr>
      <w:r>
        <w:rPr>
          <w:rFonts w:hint="eastAsia" w:ascii="宋体" w:hAnsi="宋体" w:cs="宋体"/>
          <w:b/>
          <w:bCs/>
          <w:szCs w:val="21"/>
          <w:highlight w:val="none"/>
        </w:rPr>
        <w:t>二、供应商投标流程</w:t>
      </w:r>
    </w:p>
    <w:p w14:paraId="589413E8">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使用电子交易系统（新点系统）的采购项目（即电子招投标线上全流程项目），将同时提供WORD\PDF格式（仅用于在线预览）和SXSZF格式（用于制作电子投标文件）两个版本，文件内容一致。</w:t>
      </w:r>
    </w:p>
    <w:p w14:paraId="2014BAD2">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1．预览采购文件：打开西安市公共资源交易平台〖首页·〉交易大厅·〉政府采购〗栏目，下载和阅读本项目采购文件的预览版本（WORD\PDF格式）；</w:t>
      </w:r>
    </w:p>
    <w:p w14:paraId="4A01BBA6">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2．办理注册登记（针对初次使用电子交易系统的用户）：</w:t>
      </w:r>
    </w:p>
    <w:p w14:paraId="1EEDEC6C">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（1）办理诚信入库注册：在决定参加本项目采购活动后，供应商应先在西安市公共资源交易平台上完成“诚信入库登记”；</w:t>
      </w:r>
    </w:p>
    <w:p w14:paraId="599064AD">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3E3706B9">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办理须知：</w:t>
      </w:r>
    </w:p>
    <w:p w14:paraId="3EB395F3">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http://www.snca.com.cn/channel/show/27.html</w:t>
      </w:r>
    </w:p>
    <w:p w14:paraId="352D2D9C">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（3）绑定和激活CA：将数字证书与诚信库中的供应商账户进行绑定。</w:t>
      </w:r>
    </w:p>
    <w:p w14:paraId="0CA25F0B">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（4）西安市公共资源交易中心电子化政府采购系统技术支持（软件开发商）</w:t>
      </w:r>
    </w:p>
    <w:p w14:paraId="4EFDB90A">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国泰新点软件股份有限公司</w:t>
      </w:r>
    </w:p>
    <w:p w14:paraId="59CED06C">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技术支持热线：400-998-0000/400-928-0095</w:t>
      </w:r>
    </w:p>
    <w:p w14:paraId="014B5678">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驻场技术人员：029-86510166/86510167转80310</w:t>
      </w:r>
    </w:p>
    <w:p w14:paraId="5CBC6339">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71992BA6">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4．制作电子投标文件：需要使用专用制作软件“新点投标文件制作软件（陕西公共资源）”进行编制，编制完成后使用CA锁对电子投标文件进行签章、加密。</w:t>
      </w:r>
    </w:p>
    <w:p w14:paraId="7B3D70F0">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软件下载地址及操作手册：见西安市公共资源交易平台〖首页〉服务指南〉下载专区〗中的《政府采购项目投标文件制作软件及操作手册》。  </w:t>
      </w:r>
    </w:p>
    <w:p w14:paraId="1E6D715C">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链接地址：http://sxggzyjy.xa.gov.cn/fwzn/004003/20181115/4d59c184-e8f6-4d5a-a416-c2f6b0601e66.html</w:t>
      </w:r>
    </w:p>
    <w:p w14:paraId="6019B4CF">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编制电子投标文件前，务必做好电子招标文件的备份工作 。然后按操作手册中给出的方法将电子招标文件（*.SXSZF)或答疑文件（*.SXSCF，即更新后的电子招标文件）导入制作软件，最后按照章节分别编制投标文件各个部分。</w:t>
      </w:r>
    </w:p>
    <w:p w14:paraId="079337E4">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5．提交电子投标文件：在提交投标文件截止时间前及时提交加密后电子投标文件，逾期提交的，系统将会拒收；</w:t>
      </w:r>
    </w:p>
    <w:p w14:paraId="71F91F05">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在线参加开标大会：开标当日，供应商法定代表人或其授权代表需提前登录“不见面开标”系统，并按要求及时签到。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0299A400">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技术支持热线：400-998-0000/400-928-0095</w:t>
      </w:r>
    </w:p>
    <w:p w14:paraId="53DBEEC3">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驻场技术人员：029-86510166/86510167转80310</w:t>
      </w:r>
    </w:p>
    <w:p w14:paraId="1E1ABA2A">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操作说明详见平台〖首页·〉服务指南·〉下载专区〗中的《西安公共资源交易不见面开标大厅供应商操作手册》。</w:t>
      </w:r>
    </w:p>
    <w:p w14:paraId="6E911AA2">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7．等待专家评审：评审期间，可能需要对评审专家提出的问题进行澄清或答复。在主持人宣布评审结束前，供应商请勿擅自离席，否则由此造成的不利后果，由供应商自行承担。</w:t>
      </w:r>
    </w:p>
    <w:p w14:paraId="4A4D525E">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8．关于投标文件的雷同性分析</w:t>
      </w:r>
    </w:p>
    <w:p w14:paraId="00BE7112">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69BF996E">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2BD11FF8">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664B64BF">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若“文件创建标识码”一致，则表示不同投标供应商使用投标文件制作软件时，使用同一源工程文件，该情形建议由评标委员会结合项目情况综合判定。</w:t>
      </w:r>
    </w:p>
    <w:p w14:paraId="469DCB38">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9.投标文件视为无效的情形</w:t>
      </w:r>
    </w:p>
    <w:p w14:paraId="2E94F19F">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（1）供应商放弃或拒绝对电子投标文件进行解密的；</w:t>
      </w:r>
    </w:p>
    <w:p w14:paraId="6EC54846">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（2）因供应商自身原因，导致未在规定的解密时限内完整解密的，如忘带CA锁、或携带的CA锁与加密文件的CA锁不同、或使用旧版招标文件编制投标文件等情形；</w:t>
      </w:r>
    </w:p>
    <w:p w14:paraId="1100AD97">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（3）上传的电子投标文件无法正常打开的；</w:t>
      </w:r>
    </w:p>
    <w:p w14:paraId="4DC97A17">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10.中标供应商注册：按照陕西省政府采购监管部门的要求，采购代理机构在发布中标公告前，应由中标供应商在陕西省政府采购网上完成注册。</w:t>
      </w:r>
    </w:p>
    <w:p w14:paraId="1AFFDA98">
      <w:pPr>
        <w:spacing w:line="360" w:lineRule="auto"/>
        <w:ind w:firstLine="723" w:firstLineChars="200"/>
        <w:jc w:val="center"/>
        <w:rPr>
          <w:rStyle w:val="28"/>
          <w:rFonts w:ascii="宋体" w:hAnsi="宋体" w:cs="宋体"/>
          <w:b/>
          <w:bCs/>
          <w:sz w:val="36"/>
          <w:szCs w:val="36"/>
          <w:highlight w:val="none"/>
        </w:rPr>
      </w:pPr>
      <w:r>
        <w:rPr>
          <w:rStyle w:val="28"/>
          <w:rFonts w:hint="eastAsia" w:ascii="宋体" w:hAnsi="宋体" w:cs="宋体"/>
          <w:b/>
          <w:bCs/>
          <w:sz w:val="36"/>
          <w:szCs w:val="36"/>
          <w:highlight w:val="none"/>
        </w:rPr>
        <w:br w:type="page"/>
      </w:r>
      <w:r>
        <w:rPr>
          <w:rStyle w:val="28"/>
          <w:rFonts w:hint="eastAsia" w:ascii="宋体" w:hAnsi="宋体" w:cs="宋体"/>
          <w:b/>
          <w:bCs/>
          <w:sz w:val="36"/>
          <w:szCs w:val="36"/>
          <w:highlight w:val="none"/>
        </w:rPr>
        <w:t>第二章  供应商须知及前附表</w:t>
      </w:r>
      <w:bookmarkEnd w:id="29"/>
      <w:bookmarkEnd w:id="30"/>
    </w:p>
    <w:p w14:paraId="490B6E0F">
      <w:pPr>
        <w:spacing w:line="360" w:lineRule="auto"/>
        <w:jc w:val="center"/>
        <w:rPr>
          <w:rStyle w:val="29"/>
          <w:rFonts w:ascii="宋体" w:hAnsi="宋体" w:eastAsia="宋体" w:cs="宋体"/>
          <w:sz w:val="30"/>
          <w:szCs w:val="30"/>
          <w:highlight w:val="none"/>
        </w:rPr>
      </w:pPr>
      <w:bookmarkStart w:id="38" w:name="_Toc37938436"/>
      <w:bookmarkStart w:id="39" w:name="_Toc4616"/>
      <w:bookmarkStart w:id="40" w:name="_Toc29228"/>
      <w:bookmarkStart w:id="41" w:name="_Toc8096"/>
      <w:r>
        <w:rPr>
          <w:rStyle w:val="29"/>
          <w:rFonts w:hint="eastAsia" w:ascii="宋体" w:hAnsi="宋体" w:eastAsia="宋体" w:cs="宋体"/>
          <w:sz w:val="30"/>
          <w:szCs w:val="30"/>
          <w:highlight w:val="none"/>
        </w:rPr>
        <w:t>供应商须知前附表</w:t>
      </w:r>
      <w:bookmarkEnd w:id="38"/>
      <w:bookmarkEnd w:id="39"/>
    </w:p>
    <w:bookmarkEnd w:id="40"/>
    <w:bookmarkEnd w:id="41"/>
    <w:p w14:paraId="4E8D2B12">
      <w:pPr>
        <w:spacing w:line="360" w:lineRule="auto"/>
        <w:rPr>
          <w:rFonts w:ascii="宋体" w:hAnsi="宋体" w:cs="宋体"/>
          <w:bCs/>
          <w:sz w:val="24"/>
          <w:highlight w:val="none"/>
        </w:rPr>
      </w:pPr>
      <w:r>
        <w:rPr>
          <w:rFonts w:hint="eastAsia" w:ascii="宋体" w:hAnsi="宋体" w:cs="宋体"/>
          <w:bCs/>
          <w:szCs w:val="21"/>
          <w:highlight w:val="none"/>
        </w:rPr>
        <w:t>（本表是对供应商须知的提示、补充和修改，如有矛盾，应以本表为准。）</w:t>
      </w:r>
    </w:p>
    <w:tbl>
      <w:tblPr>
        <w:tblStyle w:val="12"/>
        <w:tblW w:w="0" w:type="auto"/>
        <w:tblInd w:w="2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93"/>
        <w:gridCol w:w="1888"/>
        <w:gridCol w:w="5425"/>
      </w:tblGrid>
      <w:tr w14:paraId="08EA2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blHeader/>
        </w:trPr>
        <w:tc>
          <w:tcPr>
            <w:tcW w:w="993" w:type="dxa"/>
            <w:tcBorders>
              <w:tl2br w:val="nil"/>
              <w:tr2bl w:val="nil"/>
            </w:tcBorders>
          </w:tcPr>
          <w:p w14:paraId="0F8615CC">
            <w:pPr>
              <w:spacing w:before="156" w:beforeLines="50" w:after="156" w:afterLines="50" w:line="360" w:lineRule="auto"/>
              <w:jc w:val="center"/>
              <w:rPr>
                <w:rFonts w:ascii="宋体" w:hAnsi="宋体" w:cs="宋体"/>
                <w:b/>
                <w:szCs w:val="21"/>
                <w:highlight w:val="none"/>
              </w:rPr>
            </w:pPr>
            <w:r>
              <w:rPr>
                <w:rFonts w:hint="eastAsia" w:ascii="宋体" w:hAnsi="宋体" w:cs="宋体"/>
                <w:b/>
                <w:szCs w:val="21"/>
                <w:highlight w:val="none"/>
              </w:rPr>
              <w:t>条款号</w:t>
            </w:r>
          </w:p>
        </w:tc>
        <w:tc>
          <w:tcPr>
            <w:tcW w:w="1888" w:type="dxa"/>
            <w:tcBorders>
              <w:tl2br w:val="nil"/>
              <w:tr2bl w:val="nil"/>
            </w:tcBorders>
          </w:tcPr>
          <w:p w14:paraId="55B9AC56">
            <w:pPr>
              <w:spacing w:before="156" w:beforeLines="50" w:after="156" w:afterLines="50" w:line="360" w:lineRule="auto"/>
              <w:jc w:val="center"/>
              <w:rPr>
                <w:rFonts w:ascii="宋体" w:hAnsi="宋体" w:cs="宋体"/>
                <w:b/>
                <w:szCs w:val="21"/>
                <w:highlight w:val="none"/>
              </w:rPr>
            </w:pPr>
            <w:r>
              <w:rPr>
                <w:rFonts w:hint="eastAsia" w:ascii="宋体" w:hAnsi="宋体" w:cs="宋体"/>
                <w:b/>
                <w:szCs w:val="21"/>
                <w:highlight w:val="none"/>
              </w:rPr>
              <w:t>条款内容提示</w:t>
            </w:r>
          </w:p>
        </w:tc>
        <w:tc>
          <w:tcPr>
            <w:tcW w:w="5425" w:type="dxa"/>
            <w:tcBorders>
              <w:tl2br w:val="nil"/>
              <w:tr2bl w:val="nil"/>
            </w:tcBorders>
          </w:tcPr>
          <w:p w14:paraId="2C16683D">
            <w:pPr>
              <w:spacing w:before="156" w:beforeLines="50" w:after="156" w:afterLines="50" w:line="360" w:lineRule="auto"/>
              <w:jc w:val="center"/>
              <w:rPr>
                <w:rFonts w:ascii="宋体" w:hAnsi="宋体" w:cs="宋体"/>
                <w:b/>
                <w:szCs w:val="21"/>
                <w:highlight w:val="none"/>
              </w:rPr>
            </w:pPr>
            <w:r>
              <w:rPr>
                <w:rFonts w:hint="eastAsia" w:ascii="宋体" w:hAnsi="宋体" w:cs="宋体"/>
                <w:b/>
                <w:szCs w:val="21"/>
                <w:highlight w:val="none"/>
              </w:rPr>
              <w:t>编 列 内 容</w:t>
            </w:r>
          </w:p>
        </w:tc>
      </w:tr>
      <w:tr w14:paraId="17ACF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668DFFD7">
            <w:pPr>
              <w:spacing w:line="360" w:lineRule="auto"/>
              <w:jc w:val="center"/>
              <w:rPr>
                <w:rFonts w:ascii="宋体" w:hAnsi="宋体" w:cs="宋体"/>
                <w:szCs w:val="21"/>
                <w:highlight w:val="none"/>
              </w:rPr>
            </w:pPr>
            <w:r>
              <w:rPr>
                <w:rFonts w:hint="eastAsia" w:ascii="宋体" w:hAnsi="宋体" w:cs="宋体"/>
                <w:szCs w:val="21"/>
                <w:highlight w:val="none"/>
              </w:rPr>
              <w:t>1.1</w:t>
            </w:r>
          </w:p>
        </w:tc>
        <w:tc>
          <w:tcPr>
            <w:tcW w:w="1888" w:type="dxa"/>
            <w:tcBorders>
              <w:tl2br w:val="nil"/>
              <w:tr2bl w:val="nil"/>
            </w:tcBorders>
            <w:vAlign w:val="center"/>
          </w:tcPr>
          <w:p w14:paraId="6D44E156">
            <w:pPr>
              <w:spacing w:line="360" w:lineRule="auto"/>
              <w:jc w:val="center"/>
              <w:rPr>
                <w:rFonts w:ascii="宋体" w:hAnsi="宋体" w:cs="宋体"/>
                <w:szCs w:val="21"/>
                <w:highlight w:val="none"/>
              </w:rPr>
            </w:pPr>
            <w:r>
              <w:rPr>
                <w:rFonts w:hint="eastAsia" w:ascii="宋体" w:hAnsi="宋体" w:cs="宋体"/>
                <w:szCs w:val="21"/>
                <w:highlight w:val="none"/>
              </w:rPr>
              <w:t>采购人</w:t>
            </w:r>
          </w:p>
        </w:tc>
        <w:tc>
          <w:tcPr>
            <w:tcW w:w="5425" w:type="dxa"/>
            <w:tcBorders>
              <w:tl2br w:val="nil"/>
              <w:tr2bl w:val="nil"/>
            </w:tcBorders>
            <w:vAlign w:val="center"/>
          </w:tcPr>
          <w:p w14:paraId="1D752E63">
            <w:pPr>
              <w:spacing w:line="360" w:lineRule="auto"/>
              <w:ind w:left="420" w:leftChars="50" w:hanging="315" w:hangingChars="150"/>
              <w:rPr>
                <w:rFonts w:ascii="宋体" w:hAnsi="宋体" w:cs="宋体"/>
                <w:szCs w:val="21"/>
                <w:highlight w:val="none"/>
              </w:rPr>
            </w:pPr>
            <w:r>
              <w:rPr>
                <w:rFonts w:hint="eastAsia" w:ascii="宋体" w:hAnsi="宋体" w:cs="宋体"/>
                <w:szCs w:val="21"/>
                <w:highlight w:val="none"/>
              </w:rPr>
              <w:t>名称：西安市公安局交通警察支队</w:t>
            </w:r>
          </w:p>
          <w:p w14:paraId="00687536">
            <w:pPr>
              <w:spacing w:line="360" w:lineRule="auto"/>
              <w:ind w:left="420" w:leftChars="50" w:hanging="315" w:hangingChars="150"/>
              <w:rPr>
                <w:rFonts w:ascii="宋体" w:hAnsi="宋体" w:cs="宋体"/>
                <w:szCs w:val="21"/>
                <w:highlight w:val="none"/>
              </w:rPr>
            </w:pPr>
            <w:r>
              <w:rPr>
                <w:rFonts w:hint="eastAsia" w:ascii="宋体" w:hAnsi="宋体" w:cs="宋体"/>
                <w:szCs w:val="21"/>
                <w:highlight w:val="none"/>
              </w:rPr>
              <w:t>地址：太白南路222号</w:t>
            </w:r>
          </w:p>
          <w:p w14:paraId="5A9FDB72">
            <w:pPr>
              <w:spacing w:line="360" w:lineRule="auto"/>
              <w:ind w:left="420" w:leftChars="50" w:hanging="315" w:hangingChars="150"/>
              <w:rPr>
                <w:rFonts w:ascii="宋体" w:hAnsi="宋体" w:cs="宋体"/>
                <w:szCs w:val="21"/>
                <w:highlight w:val="none"/>
              </w:rPr>
            </w:pPr>
            <w:r>
              <w:rPr>
                <w:rFonts w:hint="eastAsia" w:ascii="宋体" w:hAnsi="宋体" w:cs="宋体"/>
                <w:szCs w:val="21"/>
                <w:highlight w:val="none"/>
              </w:rPr>
              <w:t>联系人：王警官</w:t>
            </w:r>
          </w:p>
          <w:p w14:paraId="27EF4381">
            <w:pPr>
              <w:spacing w:line="360" w:lineRule="auto"/>
              <w:ind w:left="105" w:leftChars="50"/>
              <w:rPr>
                <w:rFonts w:ascii="宋体" w:hAnsi="宋体" w:cs="宋体"/>
                <w:kern w:val="0"/>
                <w:szCs w:val="21"/>
                <w:highlight w:val="none"/>
              </w:rPr>
            </w:pPr>
            <w:r>
              <w:rPr>
                <w:rFonts w:hint="eastAsia" w:ascii="宋体" w:hAnsi="宋体" w:cs="宋体"/>
                <w:szCs w:val="21"/>
                <w:highlight w:val="none"/>
              </w:rPr>
              <w:t>联系方式：029-86755037</w:t>
            </w:r>
          </w:p>
        </w:tc>
      </w:tr>
      <w:tr w14:paraId="27B3AB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3AD26025">
            <w:pPr>
              <w:spacing w:line="360" w:lineRule="auto"/>
              <w:jc w:val="center"/>
              <w:rPr>
                <w:rFonts w:ascii="宋体" w:hAnsi="宋体" w:cs="宋体"/>
                <w:szCs w:val="21"/>
                <w:highlight w:val="none"/>
              </w:rPr>
            </w:pPr>
            <w:r>
              <w:rPr>
                <w:rFonts w:hint="eastAsia" w:ascii="宋体" w:hAnsi="宋体" w:cs="宋体"/>
                <w:szCs w:val="21"/>
                <w:highlight w:val="none"/>
              </w:rPr>
              <w:t>1.2</w:t>
            </w:r>
          </w:p>
        </w:tc>
        <w:tc>
          <w:tcPr>
            <w:tcW w:w="1888" w:type="dxa"/>
            <w:tcBorders>
              <w:tl2br w:val="nil"/>
              <w:tr2bl w:val="nil"/>
            </w:tcBorders>
            <w:vAlign w:val="center"/>
          </w:tcPr>
          <w:p w14:paraId="61D5B4C5">
            <w:pPr>
              <w:spacing w:line="360" w:lineRule="auto"/>
              <w:jc w:val="center"/>
              <w:rPr>
                <w:rFonts w:ascii="宋体" w:hAnsi="宋体" w:cs="宋体"/>
                <w:szCs w:val="21"/>
                <w:highlight w:val="none"/>
              </w:rPr>
            </w:pPr>
            <w:r>
              <w:rPr>
                <w:rFonts w:hint="eastAsia" w:ascii="宋体" w:hAnsi="宋体" w:cs="宋体"/>
                <w:szCs w:val="21"/>
                <w:highlight w:val="none"/>
              </w:rPr>
              <w:t>采购代理机构</w:t>
            </w:r>
          </w:p>
        </w:tc>
        <w:tc>
          <w:tcPr>
            <w:tcW w:w="5425" w:type="dxa"/>
            <w:tcBorders>
              <w:tl2br w:val="nil"/>
              <w:tr2bl w:val="nil"/>
            </w:tcBorders>
            <w:vAlign w:val="center"/>
          </w:tcPr>
          <w:p w14:paraId="4A892BBE">
            <w:pPr>
              <w:spacing w:line="360" w:lineRule="auto"/>
              <w:ind w:left="105" w:leftChars="50"/>
              <w:rPr>
                <w:rFonts w:ascii="宋体" w:hAnsi="宋体" w:cs="宋体"/>
                <w:szCs w:val="21"/>
                <w:highlight w:val="none"/>
              </w:rPr>
            </w:pPr>
            <w:r>
              <w:rPr>
                <w:rFonts w:hint="eastAsia" w:ascii="宋体" w:hAnsi="宋体" w:cs="宋体"/>
                <w:szCs w:val="21"/>
                <w:highlight w:val="none"/>
              </w:rPr>
              <w:t>名称：西北（陕西）国际招标有限公司</w:t>
            </w:r>
          </w:p>
          <w:p w14:paraId="50C1D431">
            <w:pPr>
              <w:spacing w:line="360" w:lineRule="auto"/>
              <w:ind w:left="105" w:leftChars="50"/>
              <w:rPr>
                <w:rFonts w:ascii="宋体" w:hAnsi="宋体" w:cs="宋体"/>
                <w:szCs w:val="21"/>
                <w:highlight w:val="none"/>
              </w:rPr>
            </w:pPr>
            <w:r>
              <w:rPr>
                <w:rFonts w:hint="eastAsia" w:ascii="宋体" w:hAnsi="宋体" w:cs="宋体"/>
                <w:szCs w:val="21"/>
                <w:highlight w:val="none"/>
              </w:rPr>
              <w:t>地址：陕西省</w:t>
            </w:r>
            <w:r>
              <w:rPr>
                <w:rFonts w:hint="eastAsia" w:ascii="宋体" w:hAnsi="宋体" w:cs="宋体"/>
                <w:kern w:val="0"/>
                <w:szCs w:val="21"/>
                <w:highlight w:val="none"/>
              </w:rPr>
              <w:t>西安市南二环西段58号成长大厦10-14层</w:t>
            </w:r>
          </w:p>
          <w:p w14:paraId="4268E4B8">
            <w:pPr>
              <w:spacing w:line="360" w:lineRule="auto"/>
              <w:ind w:left="105" w:leftChars="50"/>
              <w:rPr>
                <w:rFonts w:ascii="宋体" w:hAnsi="宋体" w:cs="宋体"/>
                <w:szCs w:val="21"/>
                <w:highlight w:val="none"/>
              </w:rPr>
            </w:pPr>
            <w:r>
              <w:rPr>
                <w:rFonts w:hint="eastAsia" w:ascii="宋体" w:hAnsi="宋体" w:cs="宋体"/>
                <w:szCs w:val="21"/>
                <w:highlight w:val="none"/>
              </w:rPr>
              <w:t>邮编：710075</w:t>
            </w:r>
          </w:p>
          <w:p w14:paraId="42D295AD">
            <w:pPr>
              <w:spacing w:line="360" w:lineRule="auto"/>
              <w:ind w:left="105" w:leftChars="50"/>
              <w:rPr>
                <w:rFonts w:ascii="宋体" w:hAnsi="宋体" w:cs="宋体"/>
                <w:kern w:val="0"/>
                <w:szCs w:val="21"/>
                <w:highlight w:val="none"/>
              </w:rPr>
            </w:pPr>
            <w:r>
              <w:rPr>
                <w:rFonts w:hint="eastAsia" w:ascii="宋体" w:hAnsi="宋体" w:cs="宋体"/>
                <w:szCs w:val="21"/>
                <w:highlight w:val="none"/>
              </w:rPr>
              <w:t>联系人：</w:t>
            </w:r>
            <w:r>
              <w:rPr>
                <w:rFonts w:hint="eastAsia" w:ascii="宋体" w:hAnsi="宋体" w:cs="宋体"/>
                <w:kern w:val="0"/>
                <w:szCs w:val="21"/>
                <w:highlight w:val="none"/>
              </w:rPr>
              <w:t>秦进、贾楠希</w:t>
            </w:r>
          </w:p>
          <w:p w14:paraId="63F72AD4">
            <w:pPr>
              <w:spacing w:line="360" w:lineRule="auto"/>
              <w:ind w:left="105" w:leftChars="50"/>
              <w:rPr>
                <w:rFonts w:ascii="宋体" w:hAnsi="宋体" w:cs="宋体"/>
                <w:szCs w:val="21"/>
                <w:highlight w:val="none"/>
              </w:rPr>
            </w:pPr>
            <w:r>
              <w:rPr>
                <w:rFonts w:hint="eastAsia" w:ascii="宋体" w:hAnsi="宋体" w:cs="宋体"/>
                <w:szCs w:val="21"/>
                <w:highlight w:val="none"/>
              </w:rPr>
              <w:t>电话：</w:t>
            </w:r>
            <w:r>
              <w:rPr>
                <w:rFonts w:hint="eastAsia" w:ascii="宋体" w:hAnsi="宋体" w:cs="宋体"/>
                <w:kern w:val="0"/>
                <w:szCs w:val="21"/>
                <w:highlight w:val="none"/>
                <w:lang w:bidi="ar"/>
              </w:rPr>
              <w:t>029-85592873、89651853</w:t>
            </w:r>
          </w:p>
          <w:p w14:paraId="09B33062">
            <w:pPr>
              <w:widowControl/>
              <w:spacing w:line="360" w:lineRule="auto"/>
              <w:ind w:left="105" w:leftChars="50"/>
              <w:jc w:val="left"/>
              <w:outlineLvl w:val="1"/>
              <w:rPr>
                <w:rFonts w:ascii="宋体" w:hAnsi="宋体" w:cs="宋体"/>
                <w:szCs w:val="21"/>
                <w:highlight w:val="none"/>
              </w:rPr>
            </w:pPr>
            <w:r>
              <w:rPr>
                <w:rFonts w:hint="eastAsia" w:ascii="宋体" w:hAnsi="宋体" w:cs="宋体"/>
                <w:szCs w:val="21"/>
                <w:highlight w:val="none"/>
              </w:rPr>
              <w:t>邮箱：</w:t>
            </w:r>
            <w:r>
              <w:rPr>
                <w:rFonts w:hint="eastAsia" w:ascii="宋体" w:hAnsi="宋体" w:cs="宋体"/>
                <w:bCs/>
                <w:kern w:val="0"/>
                <w:szCs w:val="21"/>
                <w:highlight w:val="none"/>
              </w:rPr>
              <w:t>a85214202@126.com</w:t>
            </w:r>
          </w:p>
        </w:tc>
      </w:tr>
      <w:tr w14:paraId="52C2F8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vMerge w:val="restart"/>
            <w:tcBorders>
              <w:tl2br w:val="nil"/>
              <w:tr2bl w:val="nil"/>
            </w:tcBorders>
            <w:vAlign w:val="center"/>
          </w:tcPr>
          <w:p w14:paraId="4799DCCC">
            <w:pPr>
              <w:spacing w:line="360" w:lineRule="auto"/>
              <w:jc w:val="center"/>
              <w:rPr>
                <w:rFonts w:ascii="宋体" w:hAnsi="宋体" w:cs="宋体"/>
                <w:szCs w:val="21"/>
                <w:highlight w:val="none"/>
              </w:rPr>
            </w:pPr>
            <w:r>
              <w:rPr>
                <w:rFonts w:hint="eastAsia" w:ascii="宋体" w:hAnsi="宋体" w:cs="宋体"/>
                <w:szCs w:val="21"/>
                <w:highlight w:val="none"/>
              </w:rPr>
              <w:t>2.1</w:t>
            </w:r>
          </w:p>
        </w:tc>
        <w:tc>
          <w:tcPr>
            <w:tcW w:w="1888" w:type="dxa"/>
            <w:tcBorders>
              <w:tl2br w:val="nil"/>
              <w:tr2bl w:val="nil"/>
            </w:tcBorders>
            <w:vAlign w:val="center"/>
          </w:tcPr>
          <w:p w14:paraId="52ECBAEA">
            <w:pPr>
              <w:spacing w:line="360" w:lineRule="auto"/>
              <w:jc w:val="center"/>
              <w:rPr>
                <w:rFonts w:ascii="宋体" w:hAnsi="宋体" w:cs="宋体"/>
                <w:szCs w:val="21"/>
                <w:highlight w:val="none"/>
              </w:rPr>
            </w:pPr>
            <w:r>
              <w:rPr>
                <w:rFonts w:hint="eastAsia" w:ascii="宋体" w:hAnsi="宋体" w:cs="宋体"/>
                <w:szCs w:val="21"/>
                <w:highlight w:val="none"/>
              </w:rPr>
              <w:t>中华人民共和国法律、行政法规规定的其他条件；</w:t>
            </w:r>
          </w:p>
        </w:tc>
        <w:tc>
          <w:tcPr>
            <w:tcW w:w="5425" w:type="dxa"/>
            <w:tcBorders>
              <w:tl2br w:val="nil"/>
              <w:tr2bl w:val="nil"/>
            </w:tcBorders>
            <w:vAlign w:val="center"/>
          </w:tcPr>
          <w:p w14:paraId="0223C5B2">
            <w:pPr>
              <w:spacing w:line="360" w:lineRule="auto"/>
              <w:ind w:left="105" w:leftChars="50"/>
              <w:rPr>
                <w:rFonts w:ascii="宋体" w:hAnsi="宋体" w:cs="宋体"/>
                <w:szCs w:val="21"/>
                <w:highlight w:val="none"/>
              </w:rPr>
            </w:pPr>
            <w:r>
              <w:rPr>
                <w:rFonts w:hint="eastAsia" w:ascii="宋体" w:hAnsi="宋体" w:cs="宋体"/>
                <w:szCs w:val="21"/>
                <w:highlight w:val="none"/>
              </w:rPr>
              <w:t>无</w:t>
            </w:r>
          </w:p>
        </w:tc>
      </w:tr>
      <w:tr w14:paraId="0D942F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vMerge w:val="continue"/>
            <w:tcBorders>
              <w:tl2br w:val="nil"/>
              <w:tr2bl w:val="nil"/>
            </w:tcBorders>
            <w:vAlign w:val="center"/>
          </w:tcPr>
          <w:p w14:paraId="4A28F57E">
            <w:pPr>
              <w:spacing w:line="360" w:lineRule="auto"/>
              <w:jc w:val="center"/>
              <w:rPr>
                <w:rFonts w:ascii="宋体" w:hAnsi="宋体" w:cs="宋体"/>
                <w:szCs w:val="21"/>
                <w:highlight w:val="none"/>
              </w:rPr>
            </w:pPr>
          </w:p>
        </w:tc>
        <w:tc>
          <w:tcPr>
            <w:tcW w:w="1888" w:type="dxa"/>
            <w:tcBorders>
              <w:tl2br w:val="nil"/>
              <w:tr2bl w:val="nil"/>
            </w:tcBorders>
            <w:vAlign w:val="center"/>
          </w:tcPr>
          <w:p w14:paraId="2A661519">
            <w:pPr>
              <w:spacing w:line="360" w:lineRule="auto"/>
              <w:jc w:val="center"/>
              <w:rPr>
                <w:rFonts w:ascii="宋体" w:hAnsi="宋体" w:cs="宋体"/>
                <w:szCs w:val="21"/>
                <w:highlight w:val="none"/>
              </w:rPr>
            </w:pPr>
            <w:r>
              <w:rPr>
                <w:rFonts w:hint="eastAsia" w:ascii="宋体" w:hAnsi="宋体" w:cs="宋体"/>
                <w:szCs w:val="21"/>
                <w:highlight w:val="none"/>
              </w:rPr>
              <w:t>本项目特定条件</w:t>
            </w:r>
          </w:p>
        </w:tc>
        <w:tc>
          <w:tcPr>
            <w:tcW w:w="5425" w:type="dxa"/>
            <w:tcBorders>
              <w:tl2br w:val="nil"/>
              <w:tr2bl w:val="nil"/>
            </w:tcBorders>
            <w:vAlign w:val="center"/>
          </w:tcPr>
          <w:p w14:paraId="113C0D91">
            <w:pPr>
              <w:spacing w:line="360" w:lineRule="auto"/>
              <w:ind w:left="105" w:leftChars="50"/>
              <w:rPr>
                <w:rFonts w:ascii="宋体" w:hAnsi="宋体" w:cs="宋体"/>
                <w:szCs w:val="21"/>
                <w:highlight w:val="none"/>
              </w:rPr>
            </w:pPr>
            <w:r>
              <w:rPr>
                <w:rFonts w:hint="eastAsia" w:ascii="宋体" w:hAnsi="宋体" w:cs="宋体"/>
                <w:szCs w:val="21"/>
                <w:highlight w:val="none"/>
              </w:rPr>
              <w:t>无</w:t>
            </w:r>
          </w:p>
        </w:tc>
      </w:tr>
      <w:tr w14:paraId="2CB67E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5974D0D5">
            <w:pPr>
              <w:spacing w:line="360" w:lineRule="auto"/>
              <w:jc w:val="center"/>
              <w:rPr>
                <w:rFonts w:ascii="宋体" w:hAnsi="宋体" w:cs="宋体"/>
                <w:szCs w:val="21"/>
                <w:highlight w:val="none"/>
              </w:rPr>
            </w:pPr>
            <w:r>
              <w:rPr>
                <w:rFonts w:hint="eastAsia" w:ascii="宋体" w:hAnsi="宋体" w:cs="宋体"/>
                <w:szCs w:val="21"/>
                <w:highlight w:val="none"/>
              </w:rPr>
              <w:t>3</w:t>
            </w:r>
          </w:p>
        </w:tc>
        <w:tc>
          <w:tcPr>
            <w:tcW w:w="1888" w:type="dxa"/>
            <w:tcBorders>
              <w:tl2br w:val="nil"/>
              <w:tr2bl w:val="nil"/>
            </w:tcBorders>
            <w:vAlign w:val="center"/>
          </w:tcPr>
          <w:p w14:paraId="0564811D">
            <w:pPr>
              <w:spacing w:line="360" w:lineRule="auto"/>
              <w:jc w:val="center"/>
              <w:rPr>
                <w:rFonts w:ascii="宋体" w:hAnsi="宋体" w:cs="宋体"/>
                <w:szCs w:val="21"/>
                <w:highlight w:val="none"/>
              </w:rPr>
            </w:pPr>
            <w:r>
              <w:rPr>
                <w:rFonts w:hint="eastAsia" w:ascii="宋体" w:hAnsi="宋体" w:cs="宋体"/>
                <w:szCs w:val="21"/>
                <w:highlight w:val="none"/>
              </w:rPr>
              <w:t>供应商信用信息</w:t>
            </w:r>
          </w:p>
          <w:p w14:paraId="4622A9C3">
            <w:pPr>
              <w:spacing w:line="360" w:lineRule="auto"/>
              <w:jc w:val="center"/>
              <w:rPr>
                <w:rFonts w:ascii="宋体" w:hAnsi="宋体" w:cs="宋体"/>
                <w:szCs w:val="21"/>
                <w:highlight w:val="none"/>
              </w:rPr>
            </w:pPr>
            <w:r>
              <w:rPr>
                <w:rFonts w:hint="eastAsia" w:ascii="宋体" w:hAnsi="宋体" w:cs="宋体"/>
                <w:szCs w:val="21"/>
                <w:highlight w:val="none"/>
              </w:rPr>
              <w:t>查询</w:t>
            </w:r>
          </w:p>
        </w:tc>
        <w:tc>
          <w:tcPr>
            <w:tcW w:w="5425" w:type="dxa"/>
            <w:tcBorders>
              <w:tl2br w:val="nil"/>
              <w:tr2bl w:val="nil"/>
            </w:tcBorders>
            <w:vAlign w:val="center"/>
          </w:tcPr>
          <w:p w14:paraId="6BAD61DB">
            <w:pPr>
              <w:spacing w:line="360" w:lineRule="auto"/>
              <w:ind w:left="105" w:leftChars="50"/>
              <w:jc w:val="left"/>
              <w:rPr>
                <w:rFonts w:ascii="宋体" w:hAnsi="宋体" w:cs="宋体"/>
                <w:szCs w:val="21"/>
                <w:highlight w:val="none"/>
              </w:rPr>
            </w:pPr>
            <w:r>
              <w:rPr>
                <w:rFonts w:hint="eastAsia" w:ascii="宋体" w:hAnsi="宋体" w:cs="宋体"/>
                <w:kern w:val="0"/>
                <w:szCs w:val="21"/>
                <w:highlight w:val="none"/>
              </w:rPr>
              <w:t>“</w:t>
            </w:r>
            <w:r>
              <w:rPr>
                <w:rFonts w:hint="eastAsia" w:ascii="宋体" w:hAnsi="宋体" w:cs="宋体"/>
                <w:szCs w:val="21"/>
                <w:highlight w:val="none"/>
              </w:rPr>
              <w:t>信用中国网站”（www.creditchina.gov.cn，和“中国政府采购网”（ccgp.gov.cn）为投标人信用信息查询渠道，如果投标人被查实在投标截止时间列入失信被执行人（页面跳转至“中国执行信息公开网”http://zxgk.court.gov.cn/shixin/）、重大税收违法失信主体、政府采购严重违法失信行为记录名单，其投标为无效。</w:t>
            </w:r>
          </w:p>
        </w:tc>
      </w:tr>
      <w:tr w14:paraId="20C53F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688184E4">
            <w:pPr>
              <w:spacing w:line="360" w:lineRule="auto"/>
              <w:jc w:val="center"/>
              <w:rPr>
                <w:rFonts w:ascii="宋体" w:hAnsi="宋体" w:cs="宋体"/>
                <w:szCs w:val="21"/>
                <w:highlight w:val="none"/>
              </w:rPr>
            </w:pPr>
            <w:r>
              <w:rPr>
                <w:rFonts w:hint="eastAsia" w:ascii="宋体" w:hAnsi="宋体" w:cs="宋体"/>
                <w:szCs w:val="21"/>
                <w:highlight w:val="none"/>
              </w:rPr>
              <w:t>6.3</w:t>
            </w:r>
          </w:p>
        </w:tc>
        <w:tc>
          <w:tcPr>
            <w:tcW w:w="1888" w:type="dxa"/>
            <w:tcBorders>
              <w:tl2br w:val="nil"/>
              <w:tr2bl w:val="nil"/>
            </w:tcBorders>
            <w:vAlign w:val="center"/>
          </w:tcPr>
          <w:p w14:paraId="5AE2070C">
            <w:pPr>
              <w:spacing w:line="360" w:lineRule="auto"/>
              <w:jc w:val="center"/>
              <w:rPr>
                <w:rFonts w:ascii="宋体" w:hAnsi="宋体" w:cs="宋体"/>
                <w:szCs w:val="21"/>
                <w:highlight w:val="none"/>
              </w:rPr>
            </w:pPr>
            <w:r>
              <w:rPr>
                <w:rFonts w:hint="eastAsia" w:ascii="宋体" w:hAnsi="宋体" w:cs="宋体"/>
                <w:szCs w:val="21"/>
                <w:highlight w:val="none"/>
              </w:rPr>
              <w:t>招标内容的实质性响应要求</w:t>
            </w:r>
          </w:p>
        </w:tc>
        <w:tc>
          <w:tcPr>
            <w:tcW w:w="5425" w:type="dxa"/>
            <w:tcBorders>
              <w:tl2br w:val="nil"/>
              <w:tr2bl w:val="nil"/>
            </w:tcBorders>
            <w:vAlign w:val="center"/>
          </w:tcPr>
          <w:p w14:paraId="555CB4C4">
            <w:pPr>
              <w:widowControl/>
              <w:spacing w:before="100" w:beforeAutospacing="1" w:after="100" w:afterAutospacing="1" w:line="360" w:lineRule="auto"/>
              <w:ind w:left="105" w:leftChars="50"/>
              <w:jc w:val="left"/>
              <w:rPr>
                <w:rFonts w:ascii="宋体" w:hAnsi="宋体" w:cs="宋体"/>
                <w:szCs w:val="21"/>
                <w:highlight w:val="none"/>
              </w:rPr>
            </w:pPr>
            <w:r>
              <w:rPr>
                <w:rFonts w:hint="eastAsia" w:ascii="宋体" w:hAnsi="宋体" w:cs="宋体"/>
                <w:szCs w:val="21"/>
                <w:highlight w:val="none"/>
              </w:rPr>
              <w:t>招标文件第四章“招标内容及要求”中以“</w:t>
            </w:r>
            <w:r>
              <w:rPr>
                <w:rFonts w:hint="eastAsia" w:ascii="宋体" w:hAnsi="宋体" w:cs="宋体"/>
                <w:b/>
                <w:szCs w:val="21"/>
                <w:highlight w:val="none"/>
              </w:rPr>
              <w:t>*</w:t>
            </w:r>
            <w:r>
              <w:rPr>
                <w:rFonts w:hint="eastAsia" w:ascii="宋体" w:hAnsi="宋体" w:cs="宋体"/>
                <w:szCs w:val="21"/>
                <w:highlight w:val="none"/>
              </w:rPr>
              <w:t>”号标记的条款为不允许偏离的技术和商务的实质性要求和条件，不满足实质性要求和条件的投标为无效投标。</w:t>
            </w:r>
          </w:p>
        </w:tc>
      </w:tr>
      <w:tr w14:paraId="4CEAA2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27D04949">
            <w:pPr>
              <w:spacing w:line="360" w:lineRule="auto"/>
              <w:jc w:val="center"/>
              <w:rPr>
                <w:rFonts w:ascii="宋体" w:hAnsi="宋体" w:cs="宋体"/>
                <w:szCs w:val="21"/>
                <w:highlight w:val="none"/>
              </w:rPr>
            </w:pPr>
            <w:r>
              <w:rPr>
                <w:rFonts w:hint="eastAsia" w:ascii="宋体" w:hAnsi="宋体" w:cs="宋体"/>
                <w:szCs w:val="21"/>
                <w:highlight w:val="none"/>
              </w:rPr>
              <w:t>8.1</w:t>
            </w:r>
          </w:p>
        </w:tc>
        <w:tc>
          <w:tcPr>
            <w:tcW w:w="1888" w:type="dxa"/>
            <w:tcBorders>
              <w:tl2br w:val="nil"/>
              <w:tr2bl w:val="nil"/>
            </w:tcBorders>
            <w:vAlign w:val="center"/>
          </w:tcPr>
          <w:p w14:paraId="133EAC31">
            <w:pPr>
              <w:spacing w:line="360" w:lineRule="auto"/>
              <w:jc w:val="center"/>
              <w:rPr>
                <w:rFonts w:ascii="宋体" w:hAnsi="宋体" w:cs="宋体"/>
                <w:szCs w:val="21"/>
                <w:highlight w:val="none"/>
              </w:rPr>
            </w:pPr>
            <w:r>
              <w:rPr>
                <w:rFonts w:hint="eastAsia" w:ascii="宋体" w:hAnsi="宋体" w:cs="宋体"/>
                <w:szCs w:val="21"/>
                <w:highlight w:val="none"/>
              </w:rPr>
              <w:t>供应商提出质疑的时间及代理机构指定的接受质疑联系部门</w:t>
            </w:r>
          </w:p>
        </w:tc>
        <w:tc>
          <w:tcPr>
            <w:tcW w:w="5425" w:type="dxa"/>
            <w:tcBorders>
              <w:tl2br w:val="nil"/>
              <w:tr2bl w:val="nil"/>
            </w:tcBorders>
            <w:vAlign w:val="center"/>
          </w:tcPr>
          <w:p w14:paraId="2601A86F">
            <w:pPr>
              <w:spacing w:line="360" w:lineRule="auto"/>
              <w:ind w:left="105" w:leftChars="50"/>
              <w:rPr>
                <w:rFonts w:ascii="宋体" w:hAnsi="宋体" w:cs="宋体"/>
                <w:szCs w:val="21"/>
                <w:highlight w:val="none"/>
              </w:rPr>
            </w:pPr>
            <w:r>
              <w:rPr>
                <w:rFonts w:hint="eastAsia" w:ascii="宋体" w:hAnsi="宋体" w:cs="宋体"/>
                <w:szCs w:val="21"/>
                <w:highlight w:val="none"/>
              </w:rPr>
              <w:t>1.已经合法获取招标文件的供应商对招标文件有质疑的，可以在本项目招标文件公告期限届满之日起七个工作日内，针对同一采购程序环节以书面形式向采购代理机构一次性提出，在此之后提出的质疑均为无效，采购代理机构不予受理。</w:t>
            </w:r>
          </w:p>
          <w:p w14:paraId="58345407">
            <w:pPr>
              <w:spacing w:line="360" w:lineRule="auto"/>
              <w:ind w:left="105" w:leftChars="50"/>
              <w:rPr>
                <w:rFonts w:ascii="宋体" w:hAnsi="宋体" w:cs="宋体"/>
                <w:szCs w:val="21"/>
                <w:highlight w:val="none"/>
              </w:rPr>
            </w:pPr>
            <w:r>
              <w:rPr>
                <w:rFonts w:hint="eastAsia" w:ascii="宋体" w:hAnsi="宋体" w:cs="宋体"/>
                <w:szCs w:val="21"/>
                <w:highlight w:val="none"/>
              </w:rPr>
              <w:t>2.质疑方式：</w:t>
            </w:r>
          </w:p>
          <w:p w14:paraId="1D74AF15">
            <w:pPr>
              <w:numPr>
                <w:ilvl w:val="0"/>
                <w:numId w:val="1"/>
              </w:numPr>
              <w:spacing w:line="360" w:lineRule="auto"/>
              <w:ind w:left="105" w:leftChars="50"/>
              <w:rPr>
                <w:rFonts w:ascii="宋体" w:hAnsi="宋体" w:cs="宋体"/>
                <w:szCs w:val="21"/>
                <w:highlight w:val="none"/>
              </w:rPr>
            </w:pPr>
            <w:r>
              <w:rPr>
                <w:rFonts w:hint="eastAsia" w:ascii="宋体" w:hAnsi="宋体" w:cs="宋体"/>
                <w:szCs w:val="21"/>
                <w:highlight w:val="none"/>
              </w:rPr>
              <w:t>在线质疑：登录西安市公共资源交易平台〖首页·〉电子交易平台·〉陕西政府采购交易系统·〉企业端〗，在〖我的项目〗中点击“项目流程·〉提出质疑”，填写表单关提交质疑。</w:t>
            </w:r>
          </w:p>
          <w:p w14:paraId="55C1370F">
            <w:pPr>
              <w:spacing w:line="360" w:lineRule="auto"/>
              <w:ind w:left="105" w:leftChars="50"/>
              <w:rPr>
                <w:rFonts w:ascii="宋体" w:hAnsi="宋体" w:cs="宋体"/>
                <w:szCs w:val="21"/>
                <w:highlight w:val="none"/>
              </w:rPr>
            </w:pPr>
            <w:r>
              <w:rPr>
                <w:rFonts w:hint="eastAsia" w:ascii="宋体" w:hAnsi="宋体" w:cs="宋体"/>
                <w:szCs w:val="21"/>
                <w:highlight w:val="none"/>
              </w:rPr>
              <w:t>2）书面质疑：格式见“中国政府采购网（www.ccgp.gov.cn）下载专区”；</w:t>
            </w:r>
          </w:p>
          <w:p w14:paraId="76CF2511">
            <w:pPr>
              <w:spacing w:line="360" w:lineRule="auto"/>
              <w:ind w:left="105" w:leftChars="50"/>
              <w:rPr>
                <w:rFonts w:ascii="宋体" w:hAnsi="宋体" w:cs="宋体"/>
                <w:szCs w:val="21"/>
                <w:highlight w:val="none"/>
              </w:rPr>
            </w:pPr>
            <w:r>
              <w:rPr>
                <w:rFonts w:hint="eastAsia" w:ascii="宋体" w:hAnsi="宋体" w:cs="宋体"/>
                <w:szCs w:val="21"/>
                <w:highlight w:val="none"/>
              </w:rPr>
              <w:t>3）联系部门：西北（陕西）国际招标有限公司综合监督处；</w:t>
            </w:r>
          </w:p>
          <w:p w14:paraId="536072E0">
            <w:pPr>
              <w:spacing w:line="360" w:lineRule="auto"/>
              <w:ind w:left="105" w:leftChars="50"/>
              <w:rPr>
                <w:rFonts w:ascii="宋体" w:hAnsi="宋体" w:cs="宋体"/>
                <w:szCs w:val="21"/>
                <w:highlight w:val="none"/>
              </w:rPr>
            </w:pPr>
            <w:r>
              <w:rPr>
                <w:rFonts w:hint="eastAsia" w:ascii="宋体" w:hAnsi="宋体" w:cs="宋体"/>
                <w:szCs w:val="21"/>
                <w:highlight w:val="none"/>
              </w:rPr>
              <w:t>4）联系电话：029-85362812</w:t>
            </w:r>
          </w:p>
          <w:p w14:paraId="6236A380">
            <w:pPr>
              <w:spacing w:line="360" w:lineRule="auto"/>
              <w:ind w:left="420" w:leftChars="50" w:hanging="315" w:hangingChars="150"/>
              <w:rPr>
                <w:rFonts w:ascii="宋体" w:hAnsi="宋体" w:cs="宋体"/>
                <w:szCs w:val="21"/>
                <w:highlight w:val="none"/>
              </w:rPr>
            </w:pPr>
            <w:r>
              <w:rPr>
                <w:rFonts w:hint="eastAsia" w:ascii="宋体" w:hAnsi="宋体" w:cs="宋体"/>
                <w:szCs w:val="21"/>
                <w:highlight w:val="none"/>
              </w:rPr>
              <w:t>5）通讯地址：陕西省西安市雁塔区南二环西段58号成长大厦12楼1203室</w:t>
            </w:r>
          </w:p>
        </w:tc>
      </w:tr>
      <w:tr w14:paraId="4775A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1764DA7D">
            <w:pPr>
              <w:spacing w:line="360" w:lineRule="auto"/>
              <w:jc w:val="center"/>
              <w:rPr>
                <w:rFonts w:ascii="宋体" w:hAnsi="宋体" w:cs="宋体"/>
                <w:szCs w:val="21"/>
                <w:highlight w:val="none"/>
              </w:rPr>
            </w:pPr>
            <w:r>
              <w:rPr>
                <w:rFonts w:hint="eastAsia" w:ascii="宋体" w:hAnsi="宋体" w:cs="宋体"/>
                <w:szCs w:val="21"/>
                <w:highlight w:val="none"/>
              </w:rPr>
              <w:t>8.2</w:t>
            </w:r>
          </w:p>
        </w:tc>
        <w:tc>
          <w:tcPr>
            <w:tcW w:w="1888" w:type="dxa"/>
            <w:tcBorders>
              <w:tl2br w:val="nil"/>
              <w:tr2bl w:val="nil"/>
            </w:tcBorders>
            <w:vAlign w:val="center"/>
          </w:tcPr>
          <w:p w14:paraId="25B88504">
            <w:pPr>
              <w:spacing w:line="360" w:lineRule="auto"/>
              <w:jc w:val="center"/>
              <w:rPr>
                <w:rFonts w:ascii="宋体" w:hAnsi="宋体" w:cs="宋体"/>
                <w:szCs w:val="21"/>
                <w:highlight w:val="none"/>
              </w:rPr>
            </w:pPr>
            <w:r>
              <w:rPr>
                <w:rFonts w:hint="eastAsia" w:ascii="宋体" w:hAnsi="宋体" w:cs="宋体"/>
                <w:szCs w:val="21"/>
                <w:highlight w:val="none"/>
              </w:rPr>
              <w:t>质疑内容要求</w:t>
            </w:r>
          </w:p>
        </w:tc>
        <w:tc>
          <w:tcPr>
            <w:tcW w:w="5425" w:type="dxa"/>
            <w:tcBorders>
              <w:tl2br w:val="nil"/>
              <w:tr2bl w:val="nil"/>
            </w:tcBorders>
            <w:vAlign w:val="center"/>
          </w:tcPr>
          <w:p w14:paraId="2D1BDE0B">
            <w:pPr>
              <w:spacing w:line="360" w:lineRule="auto"/>
              <w:ind w:left="105" w:leftChars="50"/>
              <w:rPr>
                <w:rFonts w:ascii="宋体" w:hAnsi="宋体" w:cs="宋体"/>
                <w:szCs w:val="21"/>
                <w:highlight w:val="none"/>
              </w:rPr>
            </w:pPr>
            <w:r>
              <w:rPr>
                <w:rFonts w:hint="eastAsia" w:ascii="宋体" w:hAnsi="宋体" w:cs="宋体"/>
                <w:szCs w:val="21"/>
                <w:highlight w:val="none"/>
              </w:rPr>
              <w:t>供应商提出质疑应当提交质疑函和必要的证明材料原件，代理机构不接受传真、电子邮件、复印件等形式的质疑材料。</w:t>
            </w:r>
          </w:p>
          <w:p w14:paraId="4AD78351">
            <w:pPr>
              <w:spacing w:line="360" w:lineRule="auto"/>
              <w:ind w:left="105" w:leftChars="50"/>
              <w:rPr>
                <w:rFonts w:ascii="宋体" w:hAnsi="宋体" w:cs="宋体"/>
                <w:szCs w:val="21"/>
                <w:highlight w:val="none"/>
              </w:rPr>
            </w:pPr>
            <w:r>
              <w:rPr>
                <w:rFonts w:hint="eastAsia" w:ascii="宋体" w:hAnsi="宋体" w:cs="宋体"/>
                <w:szCs w:val="21"/>
                <w:highlight w:val="none"/>
              </w:rPr>
              <w:t>质疑函应当包括下列内容：</w:t>
            </w:r>
          </w:p>
          <w:p w14:paraId="49E33901">
            <w:pPr>
              <w:spacing w:line="360" w:lineRule="auto"/>
              <w:ind w:left="105" w:leftChars="50"/>
              <w:rPr>
                <w:rFonts w:ascii="宋体" w:hAnsi="宋体" w:cs="宋体"/>
                <w:szCs w:val="21"/>
                <w:highlight w:val="none"/>
              </w:rPr>
            </w:pPr>
            <w:r>
              <w:rPr>
                <w:rFonts w:hint="eastAsia" w:ascii="宋体" w:hAnsi="宋体" w:cs="宋体"/>
                <w:szCs w:val="21"/>
                <w:highlight w:val="none"/>
              </w:rPr>
              <w:t>（一）供应商的姓名或者名称、地址、邮编、联系人及联系电话；</w:t>
            </w:r>
          </w:p>
          <w:p w14:paraId="1AD32FC0">
            <w:pPr>
              <w:spacing w:line="360" w:lineRule="auto"/>
              <w:ind w:left="105" w:leftChars="50"/>
              <w:rPr>
                <w:rFonts w:ascii="宋体" w:hAnsi="宋体" w:cs="宋体"/>
                <w:szCs w:val="21"/>
                <w:highlight w:val="none"/>
              </w:rPr>
            </w:pPr>
            <w:r>
              <w:rPr>
                <w:rFonts w:hint="eastAsia" w:ascii="宋体" w:hAnsi="宋体" w:cs="宋体"/>
                <w:szCs w:val="21"/>
                <w:highlight w:val="none"/>
              </w:rPr>
              <w:t>（二）质疑项目的名称、编号；</w:t>
            </w:r>
          </w:p>
          <w:p w14:paraId="4FB0CC39">
            <w:pPr>
              <w:spacing w:line="360" w:lineRule="auto"/>
              <w:ind w:left="105" w:leftChars="50"/>
              <w:rPr>
                <w:rFonts w:ascii="宋体" w:hAnsi="宋体" w:cs="宋体"/>
                <w:szCs w:val="21"/>
                <w:highlight w:val="none"/>
              </w:rPr>
            </w:pPr>
            <w:r>
              <w:rPr>
                <w:rFonts w:hint="eastAsia" w:ascii="宋体" w:hAnsi="宋体" w:cs="宋体"/>
                <w:szCs w:val="21"/>
                <w:highlight w:val="none"/>
              </w:rPr>
              <w:t>（三）具体、明确的质疑事项和与质疑事项相关的请求；</w:t>
            </w:r>
          </w:p>
          <w:p w14:paraId="188095CA">
            <w:pPr>
              <w:spacing w:line="360" w:lineRule="auto"/>
              <w:ind w:left="105" w:leftChars="50"/>
              <w:rPr>
                <w:rFonts w:ascii="宋体" w:hAnsi="宋体" w:cs="宋体"/>
                <w:szCs w:val="21"/>
                <w:highlight w:val="none"/>
              </w:rPr>
            </w:pPr>
            <w:r>
              <w:rPr>
                <w:rFonts w:hint="eastAsia" w:ascii="宋体" w:hAnsi="宋体" w:cs="宋体"/>
                <w:szCs w:val="21"/>
                <w:highlight w:val="none"/>
              </w:rPr>
              <w:t>（四）事实依据；</w:t>
            </w:r>
          </w:p>
          <w:p w14:paraId="0863D888">
            <w:pPr>
              <w:spacing w:line="360" w:lineRule="auto"/>
              <w:ind w:left="105" w:leftChars="50"/>
              <w:rPr>
                <w:rFonts w:ascii="宋体" w:hAnsi="宋体" w:cs="宋体"/>
                <w:szCs w:val="21"/>
                <w:highlight w:val="none"/>
              </w:rPr>
            </w:pPr>
            <w:r>
              <w:rPr>
                <w:rFonts w:hint="eastAsia" w:ascii="宋体" w:hAnsi="宋体" w:cs="宋体"/>
                <w:szCs w:val="21"/>
                <w:highlight w:val="none"/>
              </w:rPr>
              <w:t>（五）必要的法律依据；</w:t>
            </w:r>
          </w:p>
          <w:p w14:paraId="22ECCE1A">
            <w:pPr>
              <w:spacing w:line="360" w:lineRule="auto"/>
              <w:ind w:left="105" w:leftChars="50"/>
              <w:rPr>
                <w:rFonts w:ascii="宋体" w:hAnsi="宋体" w:cs="宋体"/>
                <w:szCs w:val="21"/>
                <w:highlight w:val="none"/>
              </w:rPr>
            </w:pPr>
            <w:r>
              <w:rPr>
                <w:rFonts w:hint="eastAsia" w:ascii="宋体" w:hAnsi="宋体" w:cs="宋体"/>
                <w:szCs w:val="21"/>
                <w:highlight w:val="none"/>
              </w:rPr>
              <w:t>（六）提出质疑的日期。</w:t>
            </w:r>
          </w:p>
          <w:p w14:paraId="1B8C3CCC">
            <w:pPr>
              <w:spacing w:line="360" w:lineRule="auto"/>
              <w:ind w:left="105" w:leftChars="50"/>
              <w:rPr>
                <w:rFonts w:ascii="宋体" w:hAnsi="宋体" w:cs="宋体"/>
                <w:szCs w:val="21"/>
                <w:highlight w:val="none"/>
              </w:rPr>
            </w:pPr>
            <w:r>
              <w:rPr>
                <w:rFonts w:hint="eastAsia" w:ascii="宋体" w:hAnsi="宋体" w:cs="宋体"/>
                <w:szCs w:val="21"/>
                <w:highlight w:val="none"/>
              </w:rPr>
              <w:t>供应商为自然人的，应当由本人签字；供应商为法人或者其他组织的，应当由法定代表人、主要负责人，或者其授权代表（附法人代表授权书）签字或者盖章（鲜章），并加盖公章（鲜章）。</w:t>
            </w:r>
          </w:p>
          <w:p w14:paraId="555E2140">
            <w:pPr>
              <w:spacing w:line="360" w:lineRule="auto"/>
              <w:ind w:left="105" w:leftChars="50"/>
              <w:rPr>
                <w:rFonts w:ascii="宋体" w:hAnsi="宋体" w:cs="宋体"/>
                <w:szCs w:val="21"/>
                <w:highlight w:val="none"/>
              </w:rPr>
            </w:pPr>
            <w:r>
              <w:rPr>
                <w:rFonts w:hint="eastAsia" w:ascii="宋体" w:hAnsi="宋体" w:cs="宋体"/>
                <w:szCs w:val="21"/>
                <w:highlight w:val="none"/>
              </w:rPr>
              <w:t>质疑函格式应符合“政府采购供应商质疑函范本”要求，详见“中国政府采购网（www.ccgp.gov.cn）”下载专区。</w:t>
            </w:r>
          </w:p>
        </w:tc>
      </w:tr>
      <w:tr w14:paraId="0A96AA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2EC59638">
            <w:pPr>
              <w:spacing w:line="360" w:lineRule="auto"/>
              <w:jc w:val="center"/>
              <w:rPr>
                <w:rFonts w:ascii="宋体" w:hAnsi="宋体" w:cs="宋体"/>
                <w:szCs w:val="21"/>
                <w:highlight w:val="none"/>
              </w:rPr>
            </w:pPr>
            <w:r>
              <w:rPr>
                <w:rFonts w:hint="eastAsia" w:ascii="宋体" w:hAnsi="宋体" w:cs="宋体"/>
                <w:szCs w:val="21"/>
                <w:highlight w:val="none"/>
              </w:rPr>
              <w:t>8.3</w:t>
            </w:r>
          </w:p>
        </w:tc>
        <w:tc>
          <w:tcPr>
            <w:tcW w:w="1888" w:type="dxa"/>
            <w:tcBorders>
              <w:tl2br w:val="nil"/>
              <w:tr2bl w:val="nil"/>
            </w:tcBorders>
            <w:vAlign w:val="center"/>
          </w:tcPr>
          <w:p w14:paraId="6A673890">
            <w:pPr>
              <w:spacing w:line="360" w:lineRule="auto"/>
              <w:jc w:val="center"/>
              <w:rPr>
                <w:rFonts w:ascii="宋体" w:hAnsi="宋体" w:cs="宋体"/>
                <w:szCs w:val="21"/>
                <w:highlight w:val="none"/>
              </w:rPr>
            </w:pPr>
            <w:r>
              <w:rPr>
                <w:rFonts w:hint="eastAsia" w:ascii="宋体" w:hAnsi="宋体" w:cs="宋体"/>
                <w:szCs w:val="21"/>
                <w:highlight w:val="none"/>
              </w:rPr>
              <w:t>采购代理机构答疑的时间</w:t>
            </w:r>
          </w:p>
        </w:tc>
        <w:tc>
          <w:tcPr>
            <w:tcW w:w="5425" w:type="dxa"/>
            <w:tcBorders>
              <w:tl2br w:val="nil"/>
              <w:tr2bl w:val="nil"/>
            </w:tcBorders>
            <w:vAlign w:val="center"/>
          </w:tcPr>
          <w:p w14:paraId="5E4C1B42">
            <w:pPr>
              <w:spacing w:line="360" w:lineRule="auto"/>
              <w:ind w:left="105" w:leftChars="50"/>
              <w:rPr>
                <w:rFonts w:ascii="宋体" w:hAnsi="宋体" w:cs="宋体"/>
                <w:szCs w:val="21"/>
                <w:highlight w:val="none"/>
              </w:rPr>
            </w:pPr>
            <w:r>
              <w:rPr>
                <w:rFonts w:hint="eastAsia" w:ascii="宋体" w:hAnsi="宋体" w:cs="宋体"/>
                <w:szCs w:val="21"/>
                <w:highlight w:val="none"/>
              </w:rPr>
              <w:t>1.对于供应商依法提出的询问，采购代理机构将在三个工作日内答复。</w:t>
            </w:r>
          </w:p>
          <w:p w14:paraId="34A70AFA">
            <w:pPr>
              <w:spacing w:line="360" w:lineRule="auto"/>
              <w:ind w:left="105" w:leftChars="50"/>
              <w:rPr>
                <w:rFonts w:ascii="宋体" w:hAnsi="宋体" w:cs="宋体"/>
                <w:szCs w:val="21"/>
                <w:highlight w:val="none"/>
              </w:rPr>
            </w:pPr>
            <w:r>
              <w:rPr>
                <w:rFonts w:hint="eastAsia" w:ascii="宋体" w:hAnsi="宋体" w:cs="宋体"/>
                <w:szCs w:val="21"/>
                <w:highlight w:val="none"/>
              </w:rPr>
              <w:t>2.对于供应商在规定时间内依法提出的质疑，采购代理机构将在七个工作日内答复。</w:t>
            </w:r>
          </w:p>
        </w:tc>
      </w:tr>
      <w:tr w14:paraId="7A98A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080EBA78">
            <w:pPr>
              <w:spacing w:line="360" w:lineRule="auto"/>
              <w:jc w:val="center"/>
              <w:rPr>
                <w:rFonts w:ascii="宋体" w:hAnsi="宋体" w:cs="宋体"/>
                <w:szCs w:val="21"/>
                <w:highlight w:val="none"/>
              </w:rPr>
            </w:pPr>
            <w:r>
              <w:rPr>
                <w:rFonts w:hint="eastAsia" w:ascii="宋体" w:hAnsi="宋体" w:cs="宋体"/>
                <w:szCs w:val="21"/>
                <w:highlight w:val="none"/>
              </w:rPr>
              <w:t>11.1</w:t>
            </w:r>
          </w:p>
        </w:tc>
        <w:tc>
          <w:tcPr>
            <w:tcW w:w="1888" w:type="dxa"/>
            <w:tcBorders>
              <w:tl2br w:val="nil"/>
              <w:tr2bl w:val="nil"/>
            </w:tcBorders>
            <w:vAlign w:val="center"/>
          </w:tcPr>
          <w:p w14:paraId="5A1C4F6C">
            <w:pPr>
              <w:spacing w:line="360" w:lineRule="auto"/>
              <w:ind w:left="105" w:leftChars="50"/>
              <w:rPr>
                <w:rFonts w:ascii="宋体" w:hAnsi="宋体" w:cs="宋体"/>
                <w:szCs w:val="21"/>
                <w:highlight w:val="none"/>
              </w:rPr>
            </w:pPr>
            <w:r>
              <w:rPr>
                <w:rFonts w:hint="eastAsia" w:ascii="宋体" w:hAnsi="宋体" w:cs="宋体"/>
                <w:szCs w:val="21"/>
                <w:highlight w:val="none"/>
              </w:rPr>
              <w:t>报价要求</w:t>
            </w:r>
          </w:p>
        </w:tc>
        <w:tc>
          <w:tcPr>
            <w:tcW w:w="5425" w:type="dxa"/>
            <w:tcBorders>
              <w:tl2br w:val="nil"/>
              <w:tr2bl w:val="nil"/>
            </w:tcBorders>
            <w:vAlign w:val="center"/>
          </w:tcPr>
          <w:p w14:paraId="67D45A45">
            <w:pPr>
              <w:spacing w:line="360" w:lineRule="auto"/>
              <w:ind w:left="105" w:leftChars="50"/>
              <w:rPr>
                <w:rFonts w:ascii="宋体" w:hAnsi="宋体" w:cs="宋体"/>
                <w:szCs w:val="21"/>
                <w:highlight w:val="none"/>
              </w:rPr>
            </w:pPr>
            <w:r>
              <w:rPr>
                <w:rFonts w:hint="eastAsia" w:ascii="宋体" w:hAnsi="宋体" w:cs="宋体"/>
                <w:szCs w:val="21"/>
                <w:highlight w:val="none"/>
              </w:rPr>
              <w:t>本项目采用单价报价：</w:t>
            </w:r>
          </w:p>
          <w:p w14:paraId="005B91DC">
            <w:pPr>
              <w:spacing w:line="360" w:lineRule="auto"/>
              <w:ind w:left="105" w:leftChars="50"/>
              <w:rPr>
                <w:rFonts w:ascii="宋体" w:hAnsi="宋体" w:cs="宋体"/>
                <w:szCs w:val="21"/>
                <w:highlight w:val="none"/>
              </w:rPr>
            </w:pPr>
            <w:r>
              <w:rPr>
                <w:rFonts w:hint="eastAsia" w:ascii="宋体" w:hAnsi="宋体" w:cs="宋体"/>
                <w:szCs w:val="21"/>
                <w:highlight w:val="none"/>
              </w:rPr>
              <w:t>1）拖移转运费用包含车辆租赁费、油料费、装卸费、运输费、人工费、税费等完成本项目的全部费用。</w:t>
            </w:r>
          </w:p>
          <w:p w14:paraId="124F6C49">
            <w:pPr>
              <w:spacing w:line="360" w:lineRule="auto"/>
              <w:ind w:left="105" w:leftChars="50"/>
              <w:rPr>
                <w:rFonts w:ascii="宋体" w:hAnsi="宋体" w:cs="宋体"/>
                <w:szCs w:val="21"/>
                <w:highlight w:val="none"/>
              </w:rPr>
            </w:pPr>
            <w:r>
              <w:rPr>
                <w:rFonts w:hint="eastAsia" w:ascii="宋体" w:hAnsi="宋体" w:cs="宋体"/>
                <w:szCs w:val="21"/>
                <w:highlight w:val="none"/>
              </w:rPr>
              <w:t>2）第11包报价共分六项，分别为：</w:t>
            </w:r>
          </w:p>
          <w:p w14:paraId="33CBE78A">
            <w:pPr>
              <w:spacing w:line="360" w:lineRule="auto"/>
              <w:ind w:left="105" w:leftChars="50"/>
              <w:rPr>
                <w:rFonts w:ascii="宋体" w:hAnsi="宋体" w:cs="宋体"/>
                <w:szCs w:val="21"/>
                <w:highlight w:val="none"/>
              </w:rPr>
            </w:pPr>
            <w:r>
              <w:rPr>
                <w:rFonts w:hint="eastAsia" w:ascii="宋体" w:hAnsi="宋体" w:cs="宋体"/>
                <w:szCs w:val="21"/>
                <w:highlight w:val="none"/>
              </w:rPr>
              <w:t>①</w:t>
            </w:r>
            <w:r>
              <w:rPr>
                <w:rFonts w:hint="eastAsia"/>
                <w:szCs w:val="21"/>
                <w:highlight w:val="none"/>
                <w:lang w:bidi="zh-CN"/>
              </w:rPr>
              <w:t>大车装卸费</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元/辆/次；</w:t>
            </w:r>
          </w:p>
          <w:p w14:paraId="018C7E67">
            <w:pPr>
              <w:spacing w:line="360" w:lineRule="auto"/>
              <w:ind w:left="105" w:leftChars="50"/>
              <w:rPr>
                <w:rFonts w:ascii="宋体" w:hAnsi="宋体" w:cs="宋体"/>
                <w:szCs w:val="21"/>
                <w:highlight w:val="none"/>
              </w:rPr>
            </w:pPr>
            <w:r>
              <w:rPr>
                <w:rFonts w:hint="eastAsia" w:ascii="宋体" w:hAnsi="宋体" w:cs="宋体"/>
                <w:szCs w:val="21"/>
                <w:highlight w:val="none"/>
              </w:rPr>
              <w:t>②</w:t>
            </w:r>
            <w:r>
              <w:rPr>
                <w:rFonts w:hint="eastAsia"/>
                <w:szCs w:val="21"/>
                <w:highlight w:val="none"/>
                <w:lang w:bidi="zh-CN"/>
              </w:rPr>
              <w:t>大车运输费单价</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元/公里；</w:t>
            </w:r>
          </w:p>
          <w:p w14:paraId="3EC3DE11">
            <w:pPr>
              <w:spacing w:line="360" w:lineRule="auto"/>
              <w:ind w:left="105" w:leftChars="50"/>
              <w:rPr>
                <w:rFonts w:ascii="宋体" w:hAnsi="宋体" w:cs="宋体"/>
                <w:szCs w:val="21"/>
                <w:highlight w:val="none"/>
              </w:rPr>
            </w:pPr>
            <w:r>
              <w:rPr>
                <w:rFonts w:hint="eastAsia" w:ascii="宋体" w:hAnsi="宋体" w:cs="宋体"/>
                <w:szCs w:val="21"/>
                <w:highlight w:val="none"/>
              </w:rPr>
              <w:t>③</w:t>
            </w:r>
            <w:r>
              <w:rPr>
                <w:rFonts w:hint="eastAsia"/>
                <w:szCs w:val="21"/>
                <w:highlight w:val="none"/>
                <w:lang w:bidi="zh-CN"/>
              </w:rPr>
              <w:t>重大活动大拖车值守单价</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元/小时；</w:t>
            </w:r>
          </w:p>
          <w:p w14:paraId="287872C5">
            <w:pPr>
              <w:spacing w:line="360" w:lineRule="auto"/>
              <w:ind w:left="105" w:leftChars="50"/>
              <w:rPr>
                <w:rFonts w:ascii="宋体" w:hAnsi="宋体" w:cs="宋体"/>
                <w:szCs w:val="21"/>
                <w:highlight w:val="none"/>
              </w:rPr>
            </w:pPr>
            <w:r>
              <w:rPr>
                <w:rFonts w:hint="eastAsia" w:ascii="宋体" w:hAnsi="宋体" w:cs="宋体"/>
                <w:szCs w:val="21"/>
                <w:highlight w:val="none"/>
              </w:rPr>
              <w:t>④</w:t>
            </w:r>
            <w:r>
              <w:rPr>
                <w:rFonts w:hint="eastAsia"/>
                <w:szCs w:val="21"/>
                <w:highlight w:val="none"/>
                <w:lang w:bidi="zh-CN"/>
              </w:rPr>
              <w:t>20吨吊车</w:t>
            </w:r>
            <w:r>
              <w:rPr>
                <w:rFonts w:hint="eastAsia" w:ascii="宋体" w:hAnsi="宋体" w:cs="宋体"/>
                <w:szCs w:val="21"/>
                <w:highlight w:val="none"/>
                <w:u w:val="single"/>
              </w:rPr>
              <w:t xml:space="preserve">            </w:t>
            </w:r>
            <w:r>
              <w:rPr>
                <w:rFonts w:hint="eastAsia" w:ascii="宋体" w:hAnsi="宋体" w:cs="宋体"/>
                <w:szCs w:val="21"/>
                <w:highlight w:val="none"/>
              </w:rPr>
              <w:t>元/趟次；</w:t>
            </w:r>
          </w:p>
          <w:p w14:paraId="2B4E7B54">
            <w:pPr>
              <w:spacing w:line="360" w:lineRule="auto"/>
              <w:ind w:left="105" w:leftChars="50"/>
              <w:rPr>
                <w:rFonts w:ascii="宋体" w:hAnsi="宋体" w:cs="宋体"/>
                <w:szCs w:val="21"/>
                <w:highlight w:val="none"/>
              </w:rPr>
            </w:pPr>
            <w:r>
              <w:rPr>
                <w:rFonts w:hint="eastAsia" w:ascii="宋体" w:hAnsi="宋体" w:cs="宋体"/>
                <w:szCs w:val="21"/>
                <w:highlight w:val="none"/>
              </w:rPr>
              <w:t>⑤</w:t>
            </w:r>
            <w:r>
              <w:rPr>
                <w:rFonts w:hint="eastAsia" w:ascii="Calibri" w:hAnsi="Calibri"/>
                <w:szCs w:val="21"/>
                <w:highlight w:val="none"/>
                <w:lang w:bidi="zh-CN"/>
              </w:rPr>
              <w:t>50吨吊车</w:t>
            </w:r>
            <w:r>
              <w:rPr>
                <w:rFonts w:hint="eastAsia" w:ascii="宋体" w:hAnsi="宋体" w:cs="宋体"/>
                <w:szCs w:val="21"/>
                <w:highlight w:val="none"/>
                <w:u w:val="single"/>
              </w:rPr>
              <w:t xml:space="preserve">            </w:t>
            </w:r>
            <w:r>
              <w:rPr>
                <w:rFonts w:hint="eastAsia" w:ascii="宋体" w:hAnsi="宋体" w:cs="宋体"/>
                <w:szCs w:val="21"/>
                <w:highlight w:val="none"/>
              </w:rPr>
              <w:t>元/趟次；</w:t>
            </w:r>
          </w:p>
          <w:p w14:paraId="75382377">
            <w:pPr>
              <w:spacing w:line="360" w:lineRule="auto"/>
              <w:ind w:left="105" w:leftChars="50"/>
              <w:rPr>
                <w:rFonts w:ascii="宋体" w:hAnsi="宋体" w:cs="宋体"/>
                <w:szCs w:val="21"/>
                <w:highlight w:val="none"/>
              </w:rPr>
            </w:pPr>
            <w:r>
              <w:rPr>
                <w:rFonts w:hint="eastAsia" w:ascii="宋体" w:hAnsi="宋体" w:cs="宋体"/>
                <w:szCs w:val="21"/>
                <w:highlight w:val="none"/>
              </w:rPr>
              <w:t>⑥单价报价合计：</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65077982">
            <w:pPr>
              <w:spacing w:line="360" w:lineRule="auto"/>
              <w:ind w:left="105" w:leftChars="50"/>
              <w:rPr>
                <w:rFonts w:ascii="宋体" w:hAnsi="宋体" w:cs="宋体"/>
                <w:szCs w:val="21"/>
                <w:highlight w:val="none"/>
              </w:rPr>
            </w:pPr>
            <w:r>
              <w:rPr>
                <w:rFonts w:hint="eastAsia" w:ascii="宋体" w:hAnsi="宋体" w:cs="宋体"/>
                <w:szCs w:val="21"/>
                <w:highlight w:val="none"/>
              </w:rPr>
              <w:t>供应商必须在投标文件中开标一览表对上述六项进行报价填写，⑥单价报价合计=①+②+③+④+⑤单项报价之和，分价单价报价不能超过招标文件“第四章 招标内容及要求”中的最高限价，超过按无效投标处理；</w:t>
            </w:r>
          </w:p>
          <w:p w14:paraId="353C26A5">
            <w:pPr>
              <w:spacing w:line="360" w:lineRule="auto"/>
              <w:ind w:left="105" w:leftChars="50"/>
              <w:rPr>
                <w:rFonts w:ascii="宋体" w:hAnsi="宋体" w:cs="宋体"/>
                <w:szCs w:val="21"/>
                <w:highlight w:val="none"/>
              </w:rPr>
            </w:pPr>
            <w:r>
              <w:rPr>
                <w:rFonts w:hint="eastAsia" w:ascii="宋体" w:hAnsi="宋体" w:cs="宋体"/>
                <w:szCs w:val="21"/>
                <w:highlight w:val="none"/>
              </w:rPr>
              <w:t>3）供应商在西安市公共资源交易中心平台上填写的投标报价为单价报价合计，评审过程中以单价报价合计作为评审价进行价格分计算，单价报价合计仅用作于计算价格分，实际执行以各供应商的单价报价为准，据实结算。</w:t>
            </w:r>
          </w:p>
          <w:p w14:paraId="56A93DAC">
            <w:pPr>
              <w:spacing w:line="360" w:lineRule="auto"/>
              <w:ind w:left="105" w:leftChars="50"/>
              <w:rPr>
                <w:rFonts w:ascii="宋体" w:hAnsi="宋体" w:cs="宋体"/>
                <w:szCs w:val="21"/>
                <w:highlight w:val="none"/>
              </w:rPr>
            </w:pPr>
            <w:r>
              <w:rPr>
                <w:rFonts w:hint="eastAsia" w:ascii="宋体" w:hAnsi="宋体" w:cs="宋体"/>
                <w:szCs w:val="21"/>
                <w:highlight w:val="none"/>
              </w:rPr>
              <w:t>4）供应商必须按照规定方式进行完整报价，采购人不接受（将拒绝）只对部分内容进行报价的投标响应；明显不合理或者低于成本且无法合理解释的报价将被否决。</w:t>
            </w:r>
          </w:p>
        </w:tc>
      </w:tr>
      <w:tr w14:paraId="48955D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59020CF5">
            <w:pPr>
              <w:spacing w:line="360" w:lineRule="auto"/>
              <w:jc w:val="center"/>
              <w:rPr>
                <w:rFonts w:ascii="宋体" w:hAnsi="宋体" w:cs="宋体"/>
                <w:szCs w:val="21"/>
                <w:highlight w:val="none"/>
              </w:rPr>
            </w:pPr>
            <w:r>
              <w:rPr>
                <w:rFonts w:hint="eastAsia" w:ascii="宋体" w:hAnsi="宋体" w:cs="宋体"/>
                <w:szCs w:val="21"/>
                <w:highlight w:val="none"/>
              </w:rPr>
              <w:t>11.3</w:t>
            </w:r>
          </w:p>
        </w:tc>
        <w:tc>
          <w:tcPr>
            <w:tcW w:w="1888" w:type="dxa"/>
            <w:tcBorders>
              <w:tl2br w:val="nil"/>
              <w:tr2bl w:val="nil"/>
            </w:tcBorders>
            <w:vAlign w:val="center"/>
          </w:tcPr>
          <w:p w14:paraId="7475430F">
            <w:pPr>
              <w:spacing w:line="360" w:lineRule="auto"/>
              <w:jc w:val="center"/>
              <w:rPr>
                <w:rFonts w:ascii="宋体" w:hAnsi="宋体" w:cs="宋体"/>
                <w:szCs w:val="21"/>
                <w:highlight w:val="none"/>
              </w:rPr>
            </w:pPr>
            <w:r>
              <w:rPr>
                <w:rFonts w:hint="eastAsia" w:ascii="宋体" w:hAnsi="宋体" w:cs="宋体"/>
                <w:szCs w:val="21"/>
                <w:highlight w:val="none"/>
              </w:rPr>
              <w:t>是否允许备选方案</w:t>
            </w:r>
          </w:p>
        </w:tc>
        <w:tc>
          <w:tcPr>
            <w:tcW w:w="5425" w:type="dxa"/>
            <w:tcBorders>
              <w:tl2br w:val="nil"/>
              <w:tr2bl w:val="nil"/>
            </w:tcBorders>
            <w:vAlign w:val="center"/>
          </w:tcPr>
          <w:p w14:paraId="3FA22236">
            <w:pPr>
              <w:spacing w:line="360" w:lineRule="auto"/>
              <w:ind w:left="420" w:leftChars="50" w:hanging="315" w:hangingChars="150"/>
              <w:rPr>
                <w:rFonts w:ascii="宋体" w:hAnsi="宋体" w:cs="宋体"/>
                <w:szCs w:val="21"/>
                <w:highlight w:val="none"/>
              </w:rPr>
            </w:pPr>
            <w:r>
              <w:rPr>
                <w:rFonts w:hint="eastAsia" w:ascii="宋体" w:hAnsi="宋体" w:cs="宋体"/>
                <w:szCs w:val="21"/>
                <w:highlight w:val="none"/>
              </w:rPr>
              <w:t>否</w:t>
            </w:r>
          </w:p>
        </w:tc>
      </w:tr>
      <w:tr w14:paraId="45A234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1387E6AB">
            <w:pPr>
              <w:spacing w:line="360" w:lineRule="auto"/>
              <w:jc w:val="center"/>
              <w:rPr>
                <w:rFonts w:ascii="宋体" w:hAnsi="宋体" w:cs="宋体"/>
                <w:szCs w:val="21"/>
                <w:highlight w:val="none"/>
              </w:rPr>
            </w:pPr>
            <w:r>
              <w:rPr>
                <w:rFonts w:hint="eastAsia" w:ascii="宋体" w:hAnsi="宋体" w:cs="宋体"/>
                <w:szCs w:val="21"/>
                <w:highlight w:val="none"/>
              </w:rPr>
              <w:t>11.4</w:t>
            </w:r>
          </w:p>
        </w:tc>
        <w:tc>
          <w:tcPr>
            <w:tcW w:w="1888" w:type="dxa"/>
            <w:tcBorders>
              <w:tl2br w:val="nil"/>
              <w:tr2bl w:val="nil"/>
            </w:tcBorders>
            <w:vAlign w:val="center"/>
          </w:tcPr>
          <w:p w14:paraId="5D447DC3">
            <w:pPr>
              <w:spacing w:line="360" w:lineRule="auto"/>
              <w:jc w:val="center"/>
              <w:rPr>
                <w:rFonts w:ascii="宋体" w:hAnsi="宋体" w:cs="宋体"/>
                <w:szCs w:val="21"/>
                <w:highlight w:val="none"/>
              </w:rPr>
            </w:pPr>
            <w:r>
              <w:rPr>
                <w:rFonts w:hint="eastAsia" w:ascii="宋体" w:hAnsi="宋体" w:cs="宋体"/>
                <w:szCs w:val="21"/>
                <w:highlight w:val="none"/>
              </w:rPr>
              <w:t>本次投标的最小单元要求</w:t>
            </w:r>
          </w:p>
        </w:tc>
        <w:tc>
          <w:tcPr>
            <w:tcW w:w="5425" w:type="dxa"/>
            <w:tcBorders>
              <w:tl2br w:val="nil"/>
              <w:tr2bl w:val="nil"/>
            </w:tcBorders>
            <w:vAlign w:val="center"/>
          </w:tcPr>
          <w:p w14:paraId="782CB9F0">
            <w:pPr>
              <w:spacing w:line="360" w:lineRule="auto"/>
              <w:ind w:left="105" w:leftChars="50"/>
              <w:rPr>
                <w:rFonts w:ascii="宋体" w:hAnsi="宋体" w:cs="宋体"/>
                <w:szCs w:val="21"/>
                <w:highlight w:val="none"/>
              </w:rPr>
            </w:pPr>
            <w:r>
              <w:rPr>
                <w:rFonts w:hint="eastAsia" w:ascii="宋体" w:hAnsi="宋体" w:cs="宋体"/>
                <w:szCs w:val="21"/>
                <w:highlight w:val="none"/>
              </w:rPr>
              <w:t>本次投标的最小单元为“包”。任何不完全的投标将按照无效投标处理。中标供应商应当按照合同约定履约，不得将中标项目转让（转包）给他人。</w:t>
            </w:r>
          </w:p>
        </w:tc>
      </w:tr>
      <w:tr w14:paraId="6BBCED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3D4F199F">
            <w:pPr>
              <w:spacing w:line="360" w:lineRule="auto"/>
              <w:jc w:val="center"/>
              <w:rPr>
                <w:rFonts w:ascii="宋体" w:hAnsi="宋体" w:cs="宋体"/>
                <w:szCs w:val="21"/>
                <w:highlight w:val="none"/>
              </w:rPr>
            </w:pPr>
            <w:r>
              <w:rPr>
                <w:rFonts w:hint="eastAsia" w:ascii="宋体" w:hAnsi="宋体" w:cs="宋体"/>
                <w:szCs w:val="21"/>
                <w:highlight w:val="none"/>
              </w:rPr>
              <w:t>12.2</w:t>
            </w:r>
          </w:p>
        </w:tc>
        <w:tc>
          <w:tcPr>
            <w:tcW w:w="1888" w:type="dxa"/>
            <w:tcBorders>
              <w:tl2br w:val="nil"/>
              <w:tr2bl w:val="nil"/>
            </w:tcBorders>
            <w:vAlign w:val="center"/>
          </w:tcPr>
          <w:p w14:paraId="3D9AC056">
            <w:pPr>
              <w:spacing w:line="360" w:lineRule="auto"/>
              <w:jc w:val="center"/>
              <w:rPr>
                <w:rFonts w:ascii="宋体" w:hAnsi="宋体" w:cs="宋体"/>
                <w:szCs w:val="21"/>
                <w:highlight w:val="none"/>
              </w:rPr>
            </w:pPr>
            <w:r>
              <w:rPr>
                <w:rFonts w:hint="eastAsia" w:ascii="宋体" w:hAnsi="宋体" w:cs="宋体"/>
                <w:szCs w:val="21"/>
                <w:highlight w:val="none"/>
              </w:rPr>
              <w:t>供应商资格</w:t>
            </w:r>
          </w:p>
          <w:p w14:paraId="0391C476">
            <w:pPr>
              <w:spacing w:line="360" w:lineRule="auto"/>
              <w:jc w:val="center"/>
              <w:rPr>
                <w:rFonts w:ascii="宋体" w:hAnsi="宋体" w:cs="宋体"/>
                <w:szCs w:val="21"/>
                <w:highlight w:val="none"/>
              </w:rPr>
            </w:pPr>
            <w:r>
              <w:rPr>
                <w:rFonts w:hint="eastAsia" w:ascii="宋体" w:hAnsi="宋体" w:cs="宋体"/>
                <w:szCs w:val="21"/>
                <w:highlight w:val="none"/>
              </w:rPr>
              <w:t>证明文件</w:t>
            </w:r>
          </w:p>
        </w:tc>
        <w:tc>
          <w:tcPr>
            <w:tcW w:w="5425" w:type="dxa"/>
            <w:tcBorders>
              <w:tl2br w:val="nil"/>
              <w:tr2bl w:val="nil"/>
            </w:tcBorders>
            <w:vAlign w:val="center"/>
          </w:tcPr>
          <w:p w14:paraId="49A8C6A9">
            <w:pPr>
              <w:spacing w:line="360" w:lineRule="auto"/>
              <w:ind w:left="105" w:leftChars="50"/>
              <w:rPr>
                <w:rFonts w:ascii="宋体" w:hAnsi="宋体" w:cs="宋体"/>
                <w:b/>
                <w:bCs/>
                <w:szCs w:val="21"/>
                <w:highlight w:val="none"/>
              </w:rPr>
            </w:pPr>
            <w:r>
              <w:rPr>
                <w:rFonts w:hint="eastAsia" w:ascii="宋体" w:hAnsi="宋体" w:cs="宋体"/>
                <w:b/>
                <w:bCs/>
                <w:szCs w:val="21"/>
                <w:highlight w:val="none"/>
              </w:rPr>
              <w:t>1）具有独立承担民事责任的能力</w:t>
            </w:r>
          </w:p>
          <w:p w14:paraId="305E190A">
            <w:pPr>
              <w:spacing w:line="360" w:lineRule="auto"/>
              <w:ind w:firstLine="420" w:firstLineChars="200"/>
              <w:rPr>
                <w:rFonts w:ascii="宋体" w:hAnsi="宋体" w:cs="宋体"/>
                <w:szCs w:val="21"/>
                <w:highlight w:val="none"/>
              </w:rPr>
            </w:pPr>
            <w:r>
              <w:rPr>
                <w:rFonts w:hint="eastAsia" w:ascii="宋体" w:hAnsi="宋体" w:cs="宋体"/>
                <w:szCs w:val="21"/>
                <w:highlight w:val="none"/>
              </w:rPr>
              <w:t>提供注册登记凭证（营业执照、其他组织经营的合法凭证、自然人的提供身份证明文件）；</w:t>
            </w:r>
          </w:p>
          <w:p w14:paraId="643E6881">
            <w:pPr>
              <w:spacing w:line="360" w:lineRule="auto"/>
              <w:ind w:left="421" w:leftChars="50" w:hanging="316" w:hangingChars="150"/>
              <w:rPr>
                <w:rFonts w:ascii="宋体" w:hAnsi="宋体" w:cs="宋体"/>
                <w:b/>
                <w:bCs/>
                <w:szCs w:val="21"/>
                <w:highlight w:val="none"/>
              </w:rPr>
            </w:pPr>
            <w:r>
              <w:rPr>
                <w:rFonts w:hint="eastAsia" w:ascii="宋体" w:hAnsi="宋体" w:cs="宋体"/>
                <w:b/>
                <w:bCs/>
                <w:szCs w:val="21"/>
                <w:highlight w:val="none"/>
              </w:rPr>
              <w:t>2）具有良好的商业信誉和健全的财务会计制度</w:t>
            </w:r>
          </w:p>
          <w:p w14:paraId="31917710">
            <w:pPr>
              <w:spacing w:line="360" w:lineRule="auto"/>
              <w:ind w:firstLine="420" w:firstLineChars="200"/>
              <w:rPr>
                <w:rFonts w:ascii="宋体" w:hAnsi="宋体" w:cs="宋体"/>
                <w:szCs w:val="21"/>
                <w:highlight w:val="none"/>
              </w:rPr>
            </w:pPr>
            <w:r>
              <w:rPr>
                <w:rFonts w:hint="eastAsia" w:ascii="宋体" w:hAnsi="宋体" w:cs="宋体"/>
                <w:szCs w:val="21"/>
                <w:highlight w:val="none"/>
              </w:rPr>
              <w:t>①2022年度或2023年度经审计的财务报告，包括四表一注，即资产负债表、利润表、现金流量表、所有者权益变动表及其附注；如为事业法人，提供部门决算报告；②或在开标日期前六个月内其基本开户银行出具的资信证明（附《基本存款账户信息》或《银行开户许可证》复印件）；③或财政部门认可的政府采购专业担保机构出具的担保函；（以上三种形式的资料提供任何一种即可）；</w:t>
            </w:r>
          </w:p>
          <w:p w14:paraId="3209F7AE">
            <w:pPr>
              <w:widowControl/>
              <w:spacing w:line="360" w:lineRule="auto"/>
              <w:ind w:left="420" w:leftChars="50" w:hanging="315"/>
              <w:rPr>
                <w:rStyle w:val="30"/>
                <w:rFonts w:ascii="宋体" w:hAnsi="宋体" w:cs="宋体"/>
                <w:b/>
                <w:bCs/>
                <w:sz w:val="21"/>
                <w:szCs w:val="21"/>
                <w:highlight w:val="none"/>
              </w:rPr>
            </w:pPr>
            <w:r>
              <w:rPr>
                <w:rStyle w:val="30"/>
                <w:rFonts w:hint="eastAsia" w:ascii="宋体" w:hAnsi="宋体" w:cs="宋体"/>
                <w:b/>
                <w:bCs/>
                <w:sz w:val="21"/>
                <w:szCs w:val="21"/>
                <w:highlight w:val="none"/>
              </w:rPr>
              <w:t>3）具有履行合同所必需的设备和专业技术能力</w:t>
            </w:r>
          </w:p>
          <w:p w14:paraId="5C6835F6">
            <w:pPr>
              <w:widowControl/>
              <w:spacing w:line="360" w:lineRule="auto"/>
              <w:ind w:firstLine="420" w:firstLineChars="200"/>
              <w:rPr>
                <w:rStyle w:val="30"/>
                <w:rFonts w:ascii="宋体" w:hAnsi="宋体" w:cs="宋体"/>
                <w:sz w:val="21"/>
                <w:szCs w:val="21"/>
                <w:highlight w:val="none"/>
              </w:rPr>
            </w:pPr>
            <w:r>
              <w:rPr>
                <w:rStyle w:val="30"/>
                <w:rFonts w:hint="eastAsia" w:ascii="宋体" w:hAnsi="宋体" w:cs="宋体"/>
                <w:sz w:val="21"/>
                <w:szCs w:val="21"/>
                <w:highlight w:val="none"/>
              </w:rPr>
              <w:t>提供声明文件。</w:t>
            </w:r>
          </w:p>
          <w:p w14:paraId="2D7B9BBB">
            <w:pPr>
              <w:widowControl/>
              <w:spacing w:line="360" w:lineRule="auto"/>
              <w:ind w:left="105" w:leftChars="50"/>
              <w:rPr>
                <w:rFonts w:ascii="宋体" w:hAnsi="宋体" w:cs="宋体"/>
                <w:b/>
                <w:bCs/>
                <w:szCs w:val="21"/>
                <w:highlight w:val="none"/>
              </w:rPr>
            </w:pPr>
            <w:r>
              <w:rPr>
                <w:rFonts w:hint="eastAsia" w:ascii="宋体" w:hAnsi="宋体" w:cs="宋体"/>
                <w:b/>
                <w:bCs/>
                <w:szCs w:val="21"/>
                <w:highlight w:val="none"/>
              </w:rPr>
              <w:t>4）具有依法缴纳税收的良好记录</w:t>
            </w:r>
          </w:p>
          <w:p w14:paraId="1E9C516D">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提供缴费所属日期为投标截止时间前12个月内任一月份（投标截止时间当月不计入）的增值税（或所得税）缴费凭据或税务机关出具的完税证明；/在法规范围内不需提供的应出具书面说明和证明文件；</w:t>
            </w:r>
          </w:p>
          <w:p w14:paraId="2054ED7E">
            <w:pPr>
              <w:spacing w:line="360" w:lineRule="auto"/>
              <w:ind w:left="105" w:leftChars="50"/>
              <w:rPr>
                <w:rFonts w:ascii="宋体" w:hAnsi="宋体" w:cs="宋体"/>
                <w:b/>
                <w:bCs/>
                <w:szCs w:val="21"/>
                <w:highlight w:val="none"/>
              </w:rPr>
            </w:pPr>
            <w:r>
              <w:rPr>
                <w:rFonts w:hint="eastAsia" w:ascii="宋体" w:hAnsi="宋体" w:cs="宋体"/>
                <w:b/>
                <w:bCs/>
                <w:szCs w:val="21"/>
                <w:highlight w:val="none"/>
              </w:rPr>
              <w:t>5）具有依法缴纳社会保障资金的良好记录</w:t>
            </w:r>
          </w:p>
          <w:p w14:paraId="538092B5">
            <w:pPr>
              <w:spacing w:line="360" w:lineRule="auto"/>
              <w:ind w:firstLine="420" w:firstLineChars="200"/>
              <w:rPr>
                <w:rFonts w:ascii="宋体" w:hAnsi="宋体" w:cs="宋体"/>
                <w:szCs w:val="21"/>
                <w:highlight w:val="none"/>
              </w:rPr>
            </w:pPr>
            <w:r>
              <w:rPr>
                <w:rFonts w:hint="eastAsia" w:ascii="宋体" w:hAnsi="宋体" w:cs="宋体"/>
                <w:szCs w:val="21"/>
                <w:highlight w:val="none"/>
              </w:rPr>
              <w:t>提供缴费所属日期为投标截止时间前12个月内任一月份（投标商截止时间当月不计入）的缴费凭据或社保机关出具的缴费证明/在法规范围内不需提供的应出具书面说明和证明文件；</w:t>
            </w:r>
          </w:p>
          <w:p w14:paraId="5C72D696">
            <w:pPr>
              <w:spacing w:line="360" w:lineRule="auto"/>
              <w:ind w:left="105" w:leftChars="50"/>
              <w:rPr>
                <w:rFonts w:ascii="宋体" w:hAnsi="宋体" w:cs="宋体"/>
                <w:szCs w:val="21"/>
                <w:highlight w:val="none"/>
              </w:rPr>
            </w:pPr>
            <w:r>
              <w:rPr>
                <w:rFonts w:hint="eastAsia" w:ascii="宋体" w:hAnsi="宋体" w:cs="宋体"/>
                <w:b/>
                <w:bCs/>
                <w:szCs w:val="21"/>
                <w:highlight w:val="none"/>
              </w:rPr>
              <w:t>6）参加政府采购活动前3年内在经营活动中没有重大违法记录的书面声明；</w:t>
            </w:r>
          </w:p>
          <w:p w14:paraId="74AFEB43">
            <w:pPr>
              <w:spacing w:line="360" w:lineRule="auto"/>
              <w:ind w:left="421" w:leftChars="50" w:hanging="316" w:hangingChars="150"/>
              <w:rPr>
                <w:rFonts w:ascii="宋体" w:hAnsi="宋体" w:cs="宋体"/>
                <w:szCs w:val="21"/>
                <w:highlight w:val="none"/>
              </w:rPr>
            </w:pPr>
            <w:r>
              <w:rPr>
                <w:rFonts w:hint="eastAsia" w:ascii="宋体" w:hAnsi="宋体" w:cs="宋体"/>
                <w:b/>
                <w:bCs/>
                <w:szCs w:val="21"/>
                <w:highlight w:val="none"/>
              </w:rPr>
              <w:t>7）法人代表授权书；</w:t>
            </w:r>
          </w:p>
          <w:p w14:paraId="2BDA11E2">
            <w:pPr>
              <w:spacing w:line="360" w:lineRule="auto"/>
              <w:ind w:left="105" w:leftChars="50"/>
              <w:rPr>
                <w:rFonts w:ascii="宋体" w:hAnsi="宋体" w:cs="宋体"/>
                <w:b/>
                <w:szCs w:val="21"/>
                <w:highlight w:val="none"/>
              </w:rPr>
            </w:pPr>
            <w:r>
              <w:rPr>
                <w:rFonts w:hint="eastAsia" w:ascii="宋体" w:hAnsi="宋体" w:cs="宋体"/>
                <w:b/>
                <w:bCs/>
                <w:szCs w:val="21"/>
                <w:highlight w:val="none"/>
              </w:rPr>
              <w:t>注：以上资格证明文件供应商必须完全提供，一项不合格即按照无效投标处理。</w:t>
            </w:r>
          </w:p>
        </w:tc>
      </w:tr>
      <w:tr w14:paraId="5CAC8A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1F8D6222">
            <w:pPr>
              <w:spacing w:line="360" w:lineRule="auto"/>
              <w:jc w:val="center"/>
              <w:rPr>
                <w:rFonts w:ascii="宋体" w:hAnsi="宋体" w:cs="宋体"/>
                <w:szCs w:val="21"/>
                <w:highlight w:val="none"/>
              </w:rPr>
            </w:pPr>
            <w:r>
              <w:rPr>
                <w:rFonts w:hint="eastAsia" w:ascii="宋体" w:hAnsi="宋体" w:cs="宋体"/>
                <w:szCs w:val="21"/>
                <w:highlight w:val="none"/>
              </w:rPr>
              <w:t>12.3</w:t>
            </w:r>
          </w:p>
        </w:tc>
        <w:tc>
          <w:tcPr>
            <w:tcW w:w="1888" w:type="dxa"/>
            <w:tcBorders>
              <w:tl2br w:val="nil"/>
              <w:tr2bl w:val="nil"/>
            </w:tcBorders>
            <w:vAlign w:val="center"/>
          </w:tcPr>
          <w:p w14:paraId="35F827EE">
            <w:pPr>
              <w:spacing w:line="360" w:lineRule="auto"/>
              <w:jc w:val="center"/>
              <w:rPr>
                <w:rFonts w:ascii="宋体" w:hAnsi="宋体" w:cs="宋体"/>
                <w:szCs w:val="21"/>
                <w:highlight w:val="none"/>
              </w:rPr>
            </w:pPr>
            <w:r>
              <w:rPr>
                <w:rFonts w:hint="eastAsia" w:ascii="宋体" w:hAnsi="宋体" w:cs="宋体"/>
                <w:szCs w:val="21"/>
                <w:highlight w:val="none"/>
              </w:rPr>
              <w:t>商务响应证明文件</w:t>
            </w:r>
          </w:p>
        </w:tc>
        <w:tc>
          <w:tcPr>
            <w:tcW w:w="5425" w:type="dxa"/>
            <w:tcBorders>
              <w:tl2br w:val="nil"/>
              <w:tr2bl w:val="nil"/>
            </w:tcBorders>
            <w:vAlign w:val="center"/>
          </w:tcPr>
          <w:p w14:paraId="20BA748D">
            <w:pPr>
              <w:spacing w:line="360" w:lineRule="auto"/>
              <w:ind w:left="105" w:leftChars="50"/>
              <w:rPr>
                <w:rFonts w:ascii="宋体" w:hAnsi="宋体" w:cs="宋体"/>
                <w:szCs w:val="21"/>
                <w:highlight w:val="none"/>
              </w:rPr>
            </w:pPr>
            <w:r>
              <w:rPr>
                <w:rFonts w:hint="eastAsia" w:ascii="宋体" w:hAnsi="宋体" w:cs="宋体"/>
                <w:szCs w:val="21"/>
                <w:highlight w:val="none"/>
              </w:rPr>
              <w:t>提供2019年1月1日至今同类项目业绩（以合同签订时间为准）。</w:t>
            </w:r>
          </w:p>
        </w:tc>
      </w:tr>
      <w:tr w14:paraId="09689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66C21600">
            <w:pPr>
              <w:spacing w:line="360" w:lineRule="auto"/>
              <w:jc w:val="center"/>
              <w:rPr>
                <w:rFonts w:ascii="宋体" w:hAnsi="宋体" w:cs="宋体"/>
                <w:szCs w:val="21"/>
                <w:highlight w:val="none"/>
              </w:rPr>
            </w:pPr>
            <w:r>
              <w:rPr>
                <w:rFonts w:hint="eastAsia" w:ascii="宋体" w:hAnsi="宋体" w:cs="宋体"/>
                <w:szCs w:val="21"/>
                <w:highlight w:val="none"/>
              </w:rPr>
              <w:t>15.1</w:t>
            </w:r>
          </w:p>
        </w:tc>
        <w:tc>
          <w:tcPr>
            <w:tcW w:w="1888" w:type="dxa"/>
            <w:tcBorders>
              <w:tl2br w:val="nil"/>
              <w:tr2bl w:val="nil"/>
            </w:tcBorders>
            <w:vAlign w:val="center"/>
          </w:tcPr>
          <w:p w14:paraId="384962CB">
            <w:pPr>
              <w:spacing w:line="360" w:lineRule="auto"/>
              <w:jc w:val="center"/>
              <w:rPr>
                <w:rFonts w:ascii="宋体" w:hAnsi="宋体" w:cs="宋体"/>
                <w:szCs w:val="21"/>
                <w:highlight w:val="none"/>
              </w:rPr>
            </w:pPr>
            <w:r>
              <w:rPr>
                <w:rFonts w:hint="eastAsia" w:ascii="宋体" w:hAnsi="宋体" w:cs="宋体"/>
                <w:szCs w:val="21"/>
                <w:highlight w:val="none"/>
              </w:rPr>
              <w:t>是否要求</w:t>
            </w:r>
          </w:p>
          <w:p w14:paraId="07173504">
            <w:pPr>
              <w:spacing w:line="360" w:lineRule="auto"/>
              <w:jc w:val="center"/>
              <w:rPr>
                <w:rFonts w:ascii="宋体" w:hAnsi="宋体" w:cs="宋体"/>
                <w:szCs w:val="21"/>
                <w:highlight w:val="none"/>
              </w:rPr>
            </w:pPr>
            <w:r>
              <w:rPr>
                <w:rFonts w:hint="eastAsia" w:ascii="宋体" w:hAnsi="宋体" w:cs="宋体"/>
                <w:szCs w:val="21"/>
                <w:highlight w:val="none"/>
              </w:rPr>
              <w:t>投标保证金</w:t>
            </w:r>
          </w:p>
        </w:tc>
        <w:tc>
          <w:tcPr>
            <w:tcW w:w="5425" w:type="dxa"/>
            <w:tcBorders>
              <w:tl2br w:val="nil"/>
              <w:tr2bl w:val="nil"/>
            </w:tcBorders>
            <w:vAlign w:val="center"/>
          </w:tcPr>
          <w:p w14:paraId="3CED9C7D">
            <w:pPr>
              <w:spacing w:line="360" w:lineRule="auto"/>
              <w:ind w:left="105" w:leftChars="50"/>
              <w:rPr>
                <w:rFonts w:ascii="宋体" w:hAnsi="宋体" w:cs="宋体"/>
                <w:szCs w:val="21"/>
                <w:highlight w:val="none"/>
              </w:rPr>
            </w:pPr>
            <w:r>
              <w:rPr>
                <w:rFonts w:hint="eastAsia" w:ascii="宋体" w:hAnsi="宋体" w:cs="宋体"/>
                <w:szCs w:val="21"/>
                <w:highlight w:val="none"/>
              </w:rPr>
              <w:t>否</w:t>
            </w:r>
          </w:p>
        </w:tc>
      </w:tr>
      <w:tr w14:paraId="1D1D55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64A3DAC2">
            <w:pPr>
              <w:spacing w:line="360" w:lineRule="auto"/>
              <w:jc w:val="center"/>
              <w:rPr>
                <w:rFonts w:ascii="宋体" w:hAnsi="宋体" w:cs="宋体"/>
                <w:szCs w:val="21"/>
                <w:highlight w:val="none"/>
              </w:rPr>
            </w:pPr>
            <w:r>
              <w:rPr>
                <w:rFonts w:hint="eastAsia" w:ascii="宋体" w:hAnsi="宋体" w:cs="宋体"/>
                <w:szCs w:val="21"/>
                <w:highlight w:val="none"/>
              </w:rPr>
              <w:t>/</w:t>
            </w:r>
          </w:p>
        </w:tc>
        <w:tc>
          <w:tcPr>
            <w:tcW w:w="1888" w:type="dxa"/>
            <w:tcBorders>
              <w:tl2br w:val="nil"/>
              <w:tr2bl w:val="nil"/>
            </w:tcBorders>
            <w:vAlign w:val="center"/>
          </w:tcPr>
          <w:p w14:paraId="2D10D709">
            <w:pPr>
              <w:spacing w:line="360" w:lineRule="auto"/>
              <w:ind w:left="315" w:hanging="315" w:hangingChars="150"/>
              <w:jc w:val="center"/>
              <w:rPr>
                <w:rFonts w:ascii="宋体" w:hAnsi="宋体" w:cs="宋体"/>
                <w:szCs w:val="21"/>
                <w:highlight w:val="none"/>
              </w:rPr>
            </w:pPr>
            <w:r>
              <w:rPr>
                <w:rFonts w:hint="eastAsia" w:ascii="宋体" w:hAnsi="宋体" w:cs="宋体"/>
                <w:szCs w:val="21"/>
                <w:highlight w:val="none"/>
              </w:rPr>
              <w:t>政府采购政策功能</w:t>
            </w:r>
          </w:p>
        </w:tc>
        <w:tc>
          <w:tcPr>
            <w:tcW w:w="5425" w:type="dxa"/>
            <w:tcBorders>
              <w:tl2br w:val="nil"/>
              <w:tr2bl w:val="nil"/>
            </w:tcBorders>
            <w:vAlign w:val="center"/>
          </w:tcPr>
          <w:p w14:paraId="6B150B1D">
            <w:pPr>
              <w:spacing w:line="360" w:lineRule="auto"/>
              <w:ind w:left="105" w:leftChars="50"/>
              <w:jc w:val="left"/>
              <w:rPr>
                <w:rFonts w:ascii="宋体" w:hAnsi="宋体" w:cs="宋体"/>
                <w:szCs w:val="21"/>
                <w:highlight w:val="none"/>
              </w:rPr>
            </w:pPr>
            <w:r>
              <w:rPr>
                <w:rFonts w:hint="eastAsia" w:ascii="宋体" w:hAnsi="宋体" w:cs="宋体"/>
                <w:szCs w:val="21"/>
                <w:highlight w:val="none"/>
              </w:rPr>
              <w:t>（1）根据《陕西省财政厅关于印发&lt;陕西省中小企业政府采购信用融资办法&gt;的通知》（陕财办采〔2018〕23 号，详见本章附件1）相关规定，有融资需求的供应商可根据自身情况，在陕西省政府采购信用融资平台http://www.ccgp-shaanxi.gov.cn/zcdservice/zcd/shanxi/）自主选择金融机构及其融资产品，凭政府采购中标（成交）通知书或政府采购合同提出融资申请。政府采购监管部门业务咨询电话： 029-68936409、68936341、69936154。</w:t>
            </w:r>
          </w:p>
          <w:p w14:paraId="33B3E742">
            <w:pPr>
              <w:spacing w:line="360" w:lineRule="auto"/>
              <w:ind w:left="105" w:leftChars="50"/>
              <w:rPr>
                <w:rFonts w:ascii="宋体" w:hAnsi="宋体" w:cs="宋体"/>
                <w:szCs w:val="21"/>
                <w:highlight w:val="none"/>
              </w:rPr>
            </w:pPr>
            <w:r>
              <w:rPr>
                <w:rFonts w:hint="eastAsia" w:ascii="宋体" w:hAnsi="宋体" w:cs="宋体"/>
                <w:szCs w:val="21"/>
                <w:highlight w:val="none"/>
              </w:rPr>
              <w:t>（2）对于供应商符合政府采购政策关于小微企业、残疾人福利性单位及监狱企业等规定的，在评标时给予相应的价格折扣，具体办法详见第五章“评标办法”。</w:t>
            </w:r>
          </w:p>
        </w:tc>
      </w:tr>
      <w:tr w14:paraId="0FE091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315852CA">
            <w:pPr>
              <w:spacing w:line="360" w:lineRule="auto"/>
              <w:jc w:val="center"/>
              <w:rPr>
                <w:rFonts w:ascii="宋体" w:hAnsi="宋体" w:cs="宋体"/>
                <w:szCs w:val="21"/>
                <w:highlight w:val="none"/>
              </w:rPr>
            </w:pPr>
            <w:r>
              <w:rPr>
                <w:rFonts w:hint="eastAsia" w:ascii="宋体" w:hAnsi="宋体" w:cs="宋体"/>
                <w:szCs w:val="21"/>
                <w:highlight w:val="none"/>
              </w:rPr>
              <w:t>16.1</w:t>
            </w:r>
          </w:p>
        </w:tc>
        <w:tc>
          <w:tcPr>
            <w:tcW w:w="1888" w:type="dxa"/>
            <w:tcBorders>
              <w:tl2br w:val="nil"/>
              <w:tr2bl w:val="nil"/>
            </w:tcBorders>
            <w:vAlign w:val="center"/>
          </w:tcPr>
          <w:p w14:paraId="6B8145E4">
            <w:pPr>
              <w:spacing w:line="360" w:lineRule="auto"/>
              <w:jc w:val="center"/>
              <w:rPr>
                <w:rFonts w:ascii="宋体" w:hAnsi="宋体" w:cs="宋体"/>
                <w:szCs w:val="21"/>
                <w:highlight w:val="none"/>
              </w:rPr>
            </w:pPr>
            <w:r>
              <w:rPr>
                <w:rFonts w:hint="eastAsia" w:ascii="宋体" w:hAnsi="宋体" w:cs="宋体"/>
                <w:szCs w:val="21"/>
                <w:highlight w:val="none"/>
              </w:rPr>
              <w:t>投标有效期</w:t>
            </w:r>
          </w:p>
        </w:tc>
        <w:tc>
          <w:tcPr>
            <w:tcW w:w="5425" w:type="dxa"/>
            <w:tcBorders>
              <w:tl2br w:val="nil"/>
              <w:tr2bl w:val="nil"/>
            </w:tcBorders>
            <w:vAlign w:val="center"/>
          </w:tcPr>
          <w:p w14:paraId="4D7E324A">
            <w:pPr>
              <w:spacing w:line="360" w:lineRule="auto"/>
              <w:ind w:left="105" w:leftChars="50"/>
              <w:rPr>
                <w:rFonts w:ascii="宋体" w:hAnsi="宋体" w:cs="宋体"/>
                <w:szCs w:val="21"/>
                <w:highlight w:val="none"/>
              </w:rPr>
            </w:pPr>
            <w:r>
              <w:rPr>
                <w:rFonts w:hint="eastAsia" w:ascii="宋体" w:hAnsi="宋体" w:cs="宋体"/>
                <w:szCs w:val="21"/>
                <w:highlight w:val="none"/>
              </w:rPr>
              <w:t>开标后90天</w:t>
            </w:r>
          </w:p>
        </w:tc>
      </w:tr>
      <w:tr w14:paraId="66BC30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5F3C25C6">
            <w:pPr>
              <w:spacing w:line="360" w:lineRule="auto"/>
              <w:jc w:val="center"/>
              <w:rPr>
                <w:rFonts w:ascii="宋体" w:hAnsi="宋体" w:cs="宋体"/>
                <w:szCs w:val="21"/>
                <w:highlight w:val="none"/>
              </w:rPr>
            </w:pPr>
            <w:r>
              <w:rPr>
                <w:rFonts w:hint="eastAsia" w:ascii="宋体" w:hAnsi="宋体" w:cs="宋体"/>
                <w:szCs w:val="21"/>
                <w:highlight w:val="none"/>
              </w:rPr>
              <w:t>17.1</w:t>
            </w:r>
          </w:p>
        </w:tc>
        <w:tc>
          <w:tcPr>
            <w:tcW w:w="1888" w:type="dxa"/>
            <w:tcBorders>
              <w:tl2br w:val="nil"/>
              <w:tr2bl w:val="nil"/>
            </w:tcBorders>
            <w:vAlign w:val="center"/>
          </w:tcPr>
          <w:p w14:paraId="7AAB511B">
            <w:pPr>
              <w:spacing w:line="360" w:lineRule="auto"/>
              <w:jc w:val="center"/>
              <w:rPr>
                <w:rFonts w:ascii="宋体" w:hAnsi="宋体" w:cs="宋体"/>
                <w:szCs w:val="21"/>
                <w:highlight w:val="none"/>
              </w:rPr>
            </w:pPr>
            <w:r>
              <w:rPr>
                <w:rFonts w:hint="eastAsia" w:ascii="宋体" w:hAnsi="宋体" w:cs="宋体"/>
                <w:szCs w:val="21"/>
                <w:highlight w:val="none"/>
              </w:rPr>
              <w:t>投标文件份数</w:t>
            </w:r>
          </w:p>
        </w:tc>
        <w:tc>
          <w:tcPr>
            <w:tcW w:w="5425" w:type="dxa"/>
            <w:tcBorders>
              <w:tl2br w:val="nil"/>
              <w:tr2bl w:val="nil"/>
            </w:tcBorders>
            <w:vAlign w:val="center"/>
          </w:tcPr>
          <w:p w14:paraId="3F2F7473">
            <w:pPr>
              <w:spacing w:line="360" w:lineRule="auto"/>
              <w:ind w:left="105" w:leftChars="50"/>
              <w:rPr>
                <w:rFonts w:ascii="宋体" w:hAnsi="宋体" w:cs="宋体"/>
                <w:szCs w:val="21"/>
                <w:highlight w:val="none"/>
              </w:rPr>
            </w:pPr>
            <w:r>
              <w:rPr>
                <w:rFonts w:hint="eastAsia" w:ascii="宋体" w:hAnsi="宋体" w:cs="宋体"/>
                <w:szCs w:val="21"/>
                <w:highlight w:val="none"/>
              </w:rPr>
              <w:t>投标供应商无需提供纸质文件；</w:t>
            </w:r>
          </w:p>
          <w:p w14:paraId="1D8427F4">
            <w:pPr>
              <w:spacing w:line="360" w:lineRule="auto"/>
              <w:ind w:left="105" w:leftChars="50"/>
              <w:rPr>
                <w:rFonts w:ascii="宋体" w:hAnsi="宋体" w:cs="宋体"/>
                <w:szCs w:val="21"/>
                <w:highlight w:val="none"/>
              </w:rPr>
            </w:pPr>
            <w:r>
              <w:rPr>
                <w:rFonts w:hint="eastAsia" w:ascii="宋体" w:hAnsi="宋体" w:cs="宋体"/>
                <w:szCs w:val="21"/>
                <w:highlight w:val="none"/>
              </w:rPr>
              <w:t>中标供应商下载中标（成交）通知书后，向采购代理机构提供一正一副（可根据需要调整数量）纸质投标（响应）文件用于备案及档案保存。</w:t>
            </w:r>
          </w:p>
          <w:p w14:paraId="48DC8C10">
            <w:pPr>
              <w:spacing w:line="360" w:lineRule="auto"/>
              <w:ind w:left="105" w:leftChars="50"/>
              <w:rPr>
                <w:rFonts w:ascii="宋体" w:hAnsi="宋体" w:cs="宋体"/>
                <w:szCs w:val="21"/>
                <w:highlight w:val="none"/>
              </w:rPr>
            </w:pPr>
            <w:r>
              <w:rPr>
                <w:rFonts w:hint="eastAsia" w:ascii="宋体" w:hAnsi="宋体" w:cs="宋体"/>
                <w:szCs w:val="21"/>
                <w:highlight w:val="none"/>
              </w:rPr>
              <w:t>在公告中标（成交）结果的同时，代理机构在线向中标（成交）供应商发出中标（成交）通知书，供应商可登录【全国公共资源交易平台（陕西省•西安市）】网站〖首页〉电子交易平台〉企业端〗后，在〖我的项目/项目流程〗模块中点击下载“中标（成交）通知书”。</w:t>
            </w:r>
          </w:p>
        </w:tc>
      </w:tr>
      <w:tr w14:paraId="2AC02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26E25F74">
            <w:pPr>
              <w:spacing w:line="360" w:lineRule="auto"/>
              <w:jc w:val="center"/>
              <w:rPr>
                <w:rFonts w:ascii="宋体" w:hAnsi="宋体" w:cs="宋体"/>
                <w:szCs w:val="21"/>
                <w:highlight w:val="none"/>
              </w:rPr>
            </w:pPr>
            <w:r>
              <w:rPr>
                <w:rFonts w:hint="eastAsia" w:ascii="宋体" w:hAnsi="宋体" w:cs="宋体"/>
                <w:szCs w:val="21"/>
                <w:highlight w:val="none"/>
              </w:rPr>
              <w:t>17.2</w:t>
            </w:r>
          </w:p>
        </w:tc>
        <w:tc>
          <w:tcPr>
            <w:tcW w:w="1888" w:type="dxa"/>
            <w:tcBorders>
              <w:tl2br w:val="nil"/>
              <w:tr2bl w:val="nil"/>
            </w:tcBorders>
            <w:vAlign w:val="center"/>
          </w:tcPr>
          <w:p w14:paraId="2860E641">
            <w:pPr>
              <w:spacing w:line="360" w:lineRule="auto"/>
              <w:jc w:val="center"/>
              <w:rPr>
                <w:rFonts w:ascii="宋体" w:hAnsi="宋体" w:cs="宋体"/>
                <w:szCs w:val="21"/>
                <w:highlight w:val="none"/>
              </w:rPr>
            </w:pPr>
            <w:r>
              <w:rPr>
                <w:rFonts w:hint="eastAsia" w:ascii="宋体" w:hAnsi="宋体" w:cs="宋体"/>
                <w:szCs w:val="21"/>
                <w:highlight w:val="none"/>
              </w:rPr>
              <w:t>电子版文件要求</w:t>
            </w:r>
          </w:p>
        </w:tc>
        <w:tc>
          <w:tcPr>
            <w:tcW w:w="5425" w:type="dxa"/>
            <w:tcBorders>
              <w:tl2br w:val="nil"/>
              <w:tr2bl w:val="nil"/>
            </w:tcBorders>
            <w:vAlign w:val="center"/>
          </w:tcPr>
          <w:p w14:paraId="3C826457">
            <w:pPr>
              <w:spacing w:line="360" w:lineRule="auto"/>
              <w:ind w:left="105" w:leftChars="50"/>
              <w:rPr>
                <w:rFonts w:ascii="宋体" w:hAnsi="宋体" w:cs="宋体"/>
                <w:szCs w:val="21"/>
                <w:highlight w:val="none"/>
              </w:rPr>
            </w:pPr>
            <w:r>
              <w:rPr>
                <w:rFonts w:hint="eastAsia" w:ascii="宋体" w:hAnsi="宋体" w:cs="宋体"/>
                <w:szCs w:val="21"/>
                <w:highlight w:val="none"/>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1B14AD56">
            <w:pPr>
              <w:spacing w:line="360" w:lineRule="auto"/>
              <w:ind w:left="105" w:leftChars="50"/>
              <w:rPr>
                <w:rFonts w:ascii="宋体" w:hAnsi="宋体" w:cs="宋体"/>
                <w:szCs w:val="21"/>
                <w:highlight w:val="none"/>
              </w:rPr>
            </w:pPr>
            <w:r>
              <w:rPr>
                <w:rFonts w:hint="eastAsia" w:ascii="宋体" w:hAnsi="宋体" w:cs="宋体"/>
                <w:szCs w:val="21"/>
                <w:highlight w:val="none"/>
              </w:rPr>
              <w:t>链接地址：</w:t>
            </w:r>
          </w:p>
          <w:p w14:paraId="46075F09">
            <w:pPr>
              <w:spacing w:line="360" w:lineRule="auto"/>
              <w:ind w:left="105" w:leftChars="50"/>
              <w:rPr>
                <w:rFonts w:ascii="宋体" w:hAnsi="宋体" w:cs="宋体"/>
                <w:szCs w:val="21"/>
                <w:highlight w:val="none"/>
              </w:rPr>
            </w:pPr>
            <w:r>
              <w:rPr>
                <w:highlight w:val="none"/>
              </w:rPr>
              <w:fldChar w:fldCharType="begin"/>
            </w:r>
            <w:r>
              <w:rPr>
                <w:highlight w:val="none"/>
              </w:rPr>
              <w:instrText xml:space="preserve"> HYPERLINK "http://sxggzyjy.xa.gov.cn/fwzn/004003/20181115/4d59c184-e8f6-4d5a-a416-c2f6b0601e66.html" </w:instrText>
            </w:r>
            <w:r>
              <w:rPr>
                <w:highlight w:val="none"/>
              </w:rPr>
              <w:fldChar w:fldCharType="separate"/>
            </w:r>
            <w:r>
              <w:rPr>
                <w:rFonts w:hint="eastAsia" w:ascii="宋体" w:hAnsi="宋体" w:cs="宋体"/>
                <w:szCs w:val="21"/>
                <w:highlight w:val="none"/>
              </w:rPr>
              <w:t>http://sxggzyjy.xa.gov.cn/fwzn/004003/20181115/4d59c184-e8f6-4d5a-a416-c2f6b0601e66.html</w:t>
            </w:r>
            <w:r>
              <w:rPr>
                <w:rFonts w:hint="eastAsia" w:ascii="宋体" w:hAnsi="宋体" w:cs="宋体"/>
                <w:szCs w:val="21"/>
                <w:highlight w:val="none"/>
              </w:rPr>
              <w:fldChar w:fldCharType="end"/>
            </w:r>
          </w:p>
          <w:p w14:paraId="2CE419B6">
            <w:pPr>
              <w:spacing w:line="360" w:lineRule="auto"/>
              <w:ind w:left="105" w:leftChars="50"/>
              <w:rPr>
                <w:rFonts w:ascii="宋体" w:hAnsi="宋体" w:cs="宋体"/>
                <w:szCs w:val="21"/>
                <w:highlight w:val="none"/>
              </w:rPr>
            </w:pPr>
            <w:r>
              <w:rPr>
                <w:rFonts w:hint="eastAsia" w:ascii="宋体" w:hAnsi="宋体" w:cs="宋体"/>
                <w:szCs w:val="21"/>
                <w:highlight w:val="none"/>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3C47E7D3">
            <w:pPr>
              <w:spacing w:line="360" w:lineRule="auto"/>
              <w:ind w:left="105" w:leftChars="50"/>
              <w:rPr>
                <w:rFonts w:ascii="宋体" w:hAnsi="宋体" w:cs="宋体"/>
                <w:szCs w:val="21"/>
                <w:highlight w:val="none"/>
              </w:rPr>
            </w:pPr>
            <w:r>
              <w:rPr>
                <w:rFonts w:hint="eastAsia" w:ascii="宋体" w:hAnsi="宋体" w:cs="宋体"/>
                <w:szCs w:val="21"/>
                <w:highlight w:val="none"/>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14:paraId="57EC300C">
            <w:pPr>
              <w:spacing w:line="360" w:lineRule="auto"/>
              <w:ind w:left="105" w:leftChars="50"/>
              <w:rPr>
                <w:rFonts w:ascii="宋体" w:hAnsi="宋体" w:cs="宋体"/>
                <w:szCs w:val="21"/>
                <w:highlight w:val="none"/>
              </w:rPr>
            </w:pPr>
            <w:r>
              <w:rPr>
                <w:rFonts w:hint="eastAsia" w:ascii="宋体" w:hAnsi="宋体" w:cs="宋体"/>
                <w:szCs w:val="21"/>
                <w:highlight w:val="none"/>
              </w:rPr>
              <w:t>3）电子投标文件制作过程中，需要法定代表人签字或盖章的地方，请使用“法人CA锁”进行签章或直接签字或盖章；需要加盖供应商公章的地方，请使用“企业CA锁”进行签章。</w:t>
            </w:r>
          </w:p>
          <w:p w14:paraId="75198E9E">
            <w:pPr>
              <w:spacing w:line="360" w:lineRule="auto"/>
              <w:ind w:left="105" w:leftChars="50"/>
              <w:rPr>
                <w:rFonts w:ascii="宋体" w:hAnsi="宋体" w:cs="宋体"/>
                <w:szCs w:val="21"/>
                <w:highlight w:val="none"/>
              </w:rPr>
            </w:pPr>
            <w:r>
              <w:rPr>
                <w:rFonts w:hint="eastAsia" w:ascii="宋体" w:hAnsi="宋体" w:cs="宋体"/>
                <w:szCs w:val="21"/>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tc>
      </w:tr>
      <w:tr w14:paraId="24F0EE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53170B91">
            <w:pPr>
              <w:spacing w:line="360" w:lineRule="auto"/>
              <w:jc w:val="center"/>
              <w:rPr>
                <w:rFonts w:ascii="宋体" w:hAnsi="宋体" w:cs="宋体"/>
                <w:szCs w:val="21"/>
                <w:highlight w:val="none"/>
              </w:rPr>
            </w:pPr>
            <w:r>
              <w:rPr>
                <w:rFonts w:hint="eastAsia" w:ascii="宋体" w:hAnsi="宋体" w:cs="宋体"/>
                <w:szCs w:val="21"/>
                <w:highlight w:val="none"/>
              </w:rPr>
              <w:t>17.3</w:t>
            </w:r>
          </w:p>
        </w:tc>
        <w:tc>
          <w:tcPr>
            <w:tcW w:w="1888" w:type="dxa"/>
            <w:tcBorders>
              <w:tl2br w:val="nil"/>
              <w:tr2bl w:val="nil"/>
            </w:tcBorders>
            <w:vAlign w:val="center"/>
          </w:tcPr>
          <w:p w14:paraId="7610B8AC">
            <w:pPr>
              <w:spacing w:line="360" w:lineRule="auto"/>
              <w:jc w:val="center"/>
              <w:rPr>
                <w:rFonts w:ascii="宋体" w:hAnsi="宋体" w:cs="宋体"/>
                <w:szCs w:val="21"/>
                <w:highlight w:val="none"/>
              </w:rPr>
            </w:pPr>
            <w:r>
              <w:rPr>
                <w:rFonts w:hint="eastAsia" w:ascii="宋体" w:hAnsi="宋体" w:cs="宋体"/>
                <w:szCs w:val="21"/>
                <w:highlight w:val="none"/>
              </w:rPr>
              <w:t>签字盖章</w:t>
            </w:r>
          </w:p>
        </w:tc>
        <w:tc>
          <w:tcPr>
            <w:tcW w:w="5425" w:type="dxa"/>
            <w:tcBorders>
              <w:tl2br w:val="nil"/>
              <w:tr2bl w:val="nil"/>
            </w:tcBorders>
            <w:vAlign w:val="center"/>
          </w:tcPr>
          <w:p w14:paraId="549C4F27">
            <w:pPr>
              <w:spacing w:line="360" w:lineRule="auto"/>
              <w:ind w:left="105" w:leftChars="50"/>
              <w:rPr>
                <w:rFonts w:ascii="宋体" w:hAnsi="宋体" w:cs="宋体"/>
                <w:szCs w:val="21"/>
                <w:highlight w:val="none"/>
              </w:rPr>
            </w:pPr>
            <w:r>
              <w:rPr>
                <w:rFonts w:hint="eastAsia" w:ascii="宋体" w:hAnsi="宋体" w:cs="宋体"/>
                <w:szCs w:val="21"/>
                <w:highlight w:val="none"/>
              </w:rPr>
              <w:t>电子投标文件制作过程中，需要法定代表人签字或盖章的地方，请使用“法人CA锁”进行签章或直接签字或盖章；需要加盖供应商公章的地方，请使用“企业CA锁”进行签章。</w:t>
            </w:r>
          </w:p>
          <w:p w14:paraId="6B852822">
            <w:pPr>
              <w:spacing w:line="360" w:lineRule="auto"/>
              <w:ind w:left="105" w:leftChars="50"/>
              <w:rPr>
                <w:rFonts w:ascii="宋体" w:hAnsi="宋体" w:cs="宋体"/>
                <w:szCs w:val="21"/>
                <w:highlight w:val="none"/>
              </w:rPr>
            </w:pPr>
            <w:r>
              <w:rPr>
                <w:rFonts w:hint="eastAsia" w:ascii="宋体" w:hAnsi="宋体" w:cs="宋体"/>
                <w:szCs w:val="21"/>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14:paraId="69DD1999">
            <w:pPr>
              <w:spacing w:line="360" w:lineRule="auto"/>
              <w:ind w:left="105" w:leftChars="50"/>
              <w:rPr>
                <w:rFonts w:ascii="宋体" w:hAnsi="宋体" w:cs="宋体"/>
                <w:szCs w:val="21"/>
                <w:highlight w:val="none"/>
              </w:rPr>
            </w:pPr>
            <w:r>
              <w:rPr>
                <w:rFonts w:hint="eastAsia" w:ascii="宋体" w:hAnsi="宋体" w:cs="宋体"/>
                <w:b/>
                <w:bCs/>
                <w:szCs w:val="21"/>
                <w:highlight w:val="none"/>
              </w:rPr>
              <w:t>注：（CA锁办理详见特别告知）</w:t>
            </w:r>
          </w:p>
        </w:tc>
      </w:tr>
      <w:tr w14:paraId="336F8D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61EA5C76">
            <w:pPr>
              <w:spacing w:line="360" w:lineRule="auto"/>
              <w:jc w:val="center"/>
              <w:rPr>
                <w:rFonts w:ascii="宋体" w:hAnsi="宋体" w:cs="宋体"/>
                <w:szCs w:val="21"/>
                <w:highlight w:val="none"/>
              </w:rPr>
            </w:pPr>
            <w:r>
              <w:rPr>
                <w:rFonts w:hint="eastAsia" w:ascii="宋体" w:hAnsi="宋体" w:cs="宋体"/>
                <w:szCs w:val="21"/>
                <w:highlight w:val="none"/>
              </w:rPr>
              <w:t>18.1</w:t>
            </w:r>
          </w:p>
        </w:tc>
        <w:tc>
          <w:tcPr>
            <w:tcW w:w="1888" w:type="dxa"/>
            <w:tcBorders>
              <w:tl2br w:val="nil"/>
              <w:tr2bl w:val="nil"/>
            </w:tcBorders>
            <w:vAlign w:val="center"/>
          </w:tcPr>
          <w:p w14:paraId="4DA8321A">
            <w:pPr>
              <w:spacing w:line="360" w:lineRule="auto"/>
              <w:jc w:val="center"/>
              <w:rPr>
                <w:rFonts w:ascii="宋体" w:hAnsi="宋体" w:cs="宋体"/>
                <w:szCs w:val="21"/>
                <w:highlight w:val="none"/>
              </w:rPr>
            </w:pPr>
            <w:r>
              <w:rPr>
                <w:rFonts w:hint="eastAsia" w:ascii="宋体" w:hAnsi="宋体" w:cs="宋体"/>
                <w:szCs w:val="21"/>
                <w:highlight w:val="none"/>
              </w:rPr>
              <w:t>投标文件装订、包装、密封及标记要求</w:t>
            </w:r>
          </w:p>
        </w:tc>
        <w:tc>
          <w:tcPr>
            <w:tcW w:w="5425" w:type="dxa"/>
            <w:tcBorders>
              <w:tl2br w:val="nil"/>
              <w:tr2bl w:val="nil"/>
            </w:tcBorders>
            <w:vAlign w:val="center"/>
          </w:tcPr>
          <w:p w14:paraId="4D51FCEC">
            <w:pPr>
              <w:spacing w:line="360" w:lineRule="auto"/>
              <w:ind w:left="105" w:leftChars="50"/>
              <w:rPr>
                <w:rFonts w:ascii="宋体" w:hAnsi="宋体" w:cs="宋体"/>
                <w:szCs w:val="21"/>
                <w:highlight w:val="none"/>
              </w:rPr>
            </w:pPr>
            <w:r>
              <w:rPr>
                <w:rFonts w:hint="eastAsia" w:ascii="宋体" w:hAnsi="宋体" w:cs="宋体"/>
                <w:szCs w:val="21"/>
                <w:highlight w:val="none"/>
              </w:rPr>
              <w:t>不适用</w:t>
            </w:r>
          </w:p>
        </w:tc>
      </w:tr>
      <w:tr w14:paraId="0FA1B6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3541EB9D">
            <w:pPr>
              <w:spacing w:line="360" w:lineRule="auto"/>
              <w:jc w:val="center"/>
              <w:rPr>
                <w:rFonts w:ascii="宋体" w:hAnsi="宋体" w:cs="宋体"/>
                <w:szCs w:val="21"/>
                <w:highlight w:val="none"/>
              </w:rPr>
            </w:pPr>
            <w:r>
              <w:rPr>
                <w:rFonts w:hint="eastAsia" w:ascii="宋体" w:hAnsi="宋体" w:cs="宋体"/>
                <w:szCs w:val="21"/>
                <w:highlight w:val="none"/>
              </w:rPr>
              <w:t>19.1</w:t>
            </w:r>
          </w:p>
        </w:tc>
        <w:tc>
          <w:tcPr>
            <w:tcW w:w="1888" w:type="dxa"/>
            <w:tcBorders>
              <w:tl2br w:val="nil"/>
              <w:tr2bl w:val="nil"/>
            </w:tcBorders>
            <w:vAlign w:val="center"/>
          </w:tcPr>
          <w:p w14:paraId="6BDB9364">
            <w:pPr>
              <w:spacing w:line="360" w:lineRule="auto"/>
              <w:jc w:val="center"/>
              <w:rPr>
                <w:rFonts w:ascii="宋体" w:hAnsi="宋体" w:cs="宋体"/>
                <w:szCs w:val="21"/>
                <w:highlight w:val="none"/>
              </w:rPr>
            </w:pPr>
            <w:r>
              <w:rPr>
                <w:rFonts w:hint="eastAsia" w:ascii="宋体" w:hAnsi="宋体" w:cs="宋体"/>
                <w:szCs w:val="21"/>
                <w:highlight w:val="none"/>
              </w:rPr>
              <w:t>投标文件的</w:t>
            </w:r>
          </w:p>
          <w:p w14:paraId="79E98B24">
            <w:pPr>
              <w:spacing w:line="360" w:lineRule="auto"/>
              <w:jc w:val="center"/>
              <w:rPr>
                <w:rFonts w:ascii="宋体" w:hAnsi="宋体" w:cs="宋体"/>
                <w:szCs w:val="21"/>
                <w:highlight w:val="none"/>
              </w:rPr>
            </w:pPr>
            <w:r>
              <w:rPr>
                <w:rFonts w:hint="eastAsia" w:ascii="宋体" w:hAnsi="宋体" w:cs="宋体"/>
                <w:szCs w:val="21"/>
                <w:highlight w:val="none"/>
              </w:rPr>
              <w:t>加密和提交</w:t>
            </w:r>
          </w:p>
        </w:tc>
        <w:tc>
          <w:tcPr>
            <w:tcW w:w="5425" w:type="dxa"/>
            <w:tcBorders>
              <w:tl2br w:val="nil"/>
              <w:tr2bl w:val="nil"/>
            </w:tcBorders>
            <w:vAlign w:val="center"/>
          </w:tcPr>
          <w:p w14:paraId="1AE73671">
            <w:pPr>
              <w:spacing w:line="360" w:lineRule="auto"/>
              <w:ind w:left="105" w:leftChars="50"/>
              <w:rPr>
                <w:rFonts w:ascii="宋体" w:hAnsi="宋体" w:cs="宋体"/>
                <w:bCs/>
                <w:szCs w:val="21"/>
                <w:highlight w:val="none"/>
                <w:lang w:bidi="ar"/>
              </w:rPr>
            </w:pPr>
            <w:r>
              <w:rPr>
                <w:rFonts w:hint="eastAsia" w:ascii="宋体" w:hAnsi="宋体" w:cs="宋体"/>
                <w:szCs w:val="21"/>
                <w:highlight w:val="none"/>
              </w:rPr>
              <w:t xml:space="preserve">投标文件递交地址: </w:t>
            </w:r>
            <w:r>
              <w:rPr>
                <w:rFonts w:hint="eastAsia" w:ascii="宋体" w:hAnsi="宋体" w:cs="宋体"/>
                <w:bCs/>
                <w:szCs w:val="21"/>
                <w:highlight w:val="none"/>
                <w:lang w:bidi="ar"/>
              </w:rPr>
              <w:t>全国公共资源交易平台（陕西省·西安市）</w:t>
            </w:r>
            <w:r>
              <w:rPr>
                <w:rFonts w:hint="eastAsia" w:ascii="宋体" w:hAnsi="宋体" w:cs="宋体"/>
                <w:szCs w:val="21"/>
                <w:highlight w:val="none"/>
              </w:rPr>
              <w:t>（http://sxggzyjy.xa.gov.cn/）</w:t>
            </w:r>
          </w:p>
          <w:p w14:paraId="2304DD5A">
            <w:pPr>
              <w:spacing w:line="360" w:lineRule="auto"/>
              <w:ind w:left="105" w:leftChars="50"/>
              <w:rPr>
                <w:rFonts w:ascii="宋体" w:hAnsi="宋体" w:cs="宋体"/>
                <w:szCs w:val="21"/>
                <w:highlight w:val="none"/>
              </w:rPr>
            </w:pPr>
            <w:r>
              <w:rPr>
                <w:rFonts w:hint="eastAsia" w:ascii="宋体" w:hAnsi="宋体" w:cs="宋体"/>
                <w:szCs w:val="21"/>
                <w:highlight w:val="none"/>
              </w:rPr>
              <w:t>投标截止时间: 2024年</w:t>
            </w:r>
            <w:r>
              <w:rPr>
                <w:rFonts w:hint="eastAsia" w:ascii="宋体" w:hAnsi="宋体" w:cs="宋体"/>
                <w:szCs w:val="21"/>
                <w:highlight w:val="none"/>
                <w:lang w:val="en-US" w:eastAsia="zh-CN"/>
              </w:rPr>
              <w:t>08</w:t>
            </w:r>
            <w:r>
              <w:rPr>
                <w:rFonts w:hint="eastAsia" w:ascii="宋体" w:hAnsi="宋体" w:cs="宋体"/>
                <w:szCs w:val="21"/>
                <w:highlight w:val="none"/>
              </w:rPr>
              <w:t>月</w:t>
            </w:r>
            <w:r>
              <w:rPr>
                <w:rFonts w:hint="eastAsia" w:ascii="宋体" w:hAnsi="宋体" w:cs="宋体"/>
                <w:szCs w:val="21"/>
                <w:highlight w:val="none"/>
                <w:lang w:val="en-US" w:eastAsia="zh-CN"/>
              </w:rPr>
              <w:t>14</w:t>
            </w:r>
            <w:r>
              <w:rPr>
                <w:rFonts w:hint="eastAsia" w:ascii="宋体" w:hAnsi="宋体" w:cs="宋体"/>
                <w:szCs w:val="21"/>
                <w:highlight w:val="none"/>
              </w:rPr>
              <w:t>日9时30分00秒</w:t>
            </w:r>
          </w:p>
          <w:p w14:paraId="0F6B293E">
            <w:pPr>
              <w:spacing w:line="360" w:lineRule="auto"/>
              <w:ind w:left="105" w:leftChars="50"/>
              <w:rPr>
                <w:rFonts w:ascii="宋体" w:hAnsi="宋体" w:cs="宋体"/>
                <w:szCs w:val="21"/>
                <w:highlight w:val="none"/>
              </w:rPr>
            </w:pPr>
            <w:r>
              <w:rPr>
                <w:rFonts w:hint="eastAsia" w:ascii="宋体" w:hAnsi="宋体" w:cs="宋体"/>
                <w:szCs w:val="21"/>
                <w:highlight w:val="none"/>
              </w:rPr>
              <w:t>投标文件接收人:西北（陕西）国际招标有限公司</w:t>
            </w:r>
          </w:p>
          <w:p w14:paraId="757BC9E8">
            <w:pPr>
              <w:spacing w:line="360" w:lineRule="auto"/>
              <w:ind w:left="105" w:leftChars="50"/>
              <w:rPr>
                <w:rFonts w:ascii="宋体" w:hAnsi="宋体" w:cs="宋体"/>
                <w:b/>
                <w:bCs/>
                <w:szCs w:val="21"/>
                <w:highlight w:val="none"/>
              </w:rPr>
            </w:pPr>
            <w:r>
              <w:rPr>
                <w:rFonts w:hint="eastAsia" w:ascii="宋体" w:hAnsi="宋体" w:cs="宋体"/>
                <w:szCs w:val="21"/>
                <w:highlight w:val="none"/>
              </w:rPr>
              <w:t>在提交投标文件截止时间前及时提交加密后电子投标文件，逾期提交的，系统将会拒收。</w:t>
            </w:r>
            <w:r>
              <w:rPr>
                <w:rFonts w:hint="eastAsia" w:ascii="宋体" w:hAnsi="宋体" w:cs="宋体"/>
                <w:b/>
                <w:bCs/>
                <w:szCs w:val="21"/>
                <w:highlight w:val="none"/>
              </w:rPr>
              <w:t>（供应商单独填写开标一览表信息应与投标文件中开标一览表信息保持一致，若不一致，以在不见面开标系统开标时公开的开标一览表信息为准）。</w:t>
            </w:r>
          </w:p>
          <w:p w14:paraId="4D6EDEE9">
            <w:pPr>
              <w:spacing w:line="360" w:lineRule="auto"/>
              <w:ind w:left="105" w:leftChars="50"/>
              <w:rPr>
                <w:rFonts w:ascii="宋体" w:hAnsi="宋体" w:cs="宋体"/>
                <w:szCs w:val="21"/>
                <w:highlight w:val="none"/>
              </w:rPr>
            </w:pPr>
            <w:r>
              <w:rPr>
                <w:rFonts w:hint="eastAsia" w:ascii="宋体" w:hAnsi="宋体" w:cs="宋体"/>
                <w:szCs w:val="21"/>
                <w:highlight w:val="none"/>
              </w:rPr>
              <w:t>1）在生成电子投标文件时，需要使用CA锁对投标文件进行加密。</w:t>
            </w:r>
          </w:p>
          <w:p w14:paraId="446CE775">
            <w:pPr>
              <w:spacing w:line="360" w:lineRule="auto"/>
              <w:ind w:left="105" w:leftChars="50"/>
              <w:rPr>
                <w:rFonts w:ascii="宋体" w:hAnsi="宋体" w:cs="宋体"/>
                <w:szCs w:val="21"/>
                <w:highlight w:val="none"/>
              </w:rPr>
            </w:pPr>
            <w:r>
              <w:rPr>
                <w:rFonts w:hint="eastAsia" w:ascii="宋体" w:hAnsi="宋体" w:cs="宋体"/>
                <w:szCs w:val="21"/>
                <w:highlight w:val="none"/>
              </w:rPr>
              <w:t>注意：加密投标文件和开标时解密投标文件应当使用同一CA，否则将会导致解密失败。</w:t>
            </w:r>
          </w:p>
          <w:p w14:paraId="5B174651">
            <w:pPr>
              <w:spacing w:line="360" w:lineRule="auto"/>
              <w:ind w:left="105" w:leftChars="50"/>
              <w:rPr>
                <w:rFonts w:ascii="宋体" w:hAnsi="宋体" w:cs="宋体"/>
                <w:szCs w:val="21"/>
                <w:highlight w:val="none"/>
              </w:rPr>
            </w:pPr>
            <w:r>
              <w:rPr>
                <w:rFonts w:hint="eastAsia" w:ascii="宋体" w:hAnsi="宋体" w:cs="宋体"/>
                <w:szCs w:val="21"/>
                <w:highlight w:val="none"/>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5E86DF01">
            <w:pPr>
              <w:spacing w:line="360" w:lineRule="auto"/>
              <w:ind w:left="105" w:leftChars="50"/>
              <w:rPr>
                <w:rFonts w:ascii="宋体" w:hAnsi="宋体" w:cs="宋体"/>
                <w:szCs w:val="21"/>
                <w:highlight w:val="none"/>
              </w:rPr>
            </w:pPr>
            <w:r>
              <w:rPr>
                <w:rFonts w:hint="eastAsia" w:ascii="宋体" w:hAnsi="宋体" w:cs="宋体"/>
                <w:szCs w:val="21"/>
                <w:highlight w:val="none"/>
              </w:rPr>
              <w:t>3）上传文件有误或需要重新提交的，可先撤销已经上传的文件，然后重新上传新文件。</w:t>
            </w:r>
          </w:p>
        </w:tc>
      </w:tr>
      <w:tr w14:paraId="437B3A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5CDA70EA">
            <w:pPr>
              <w:spacing w:line="360" w:lineRule="auto"/>
              <w:jc w:val="center"/>
              <w:rPr>
                <w:rFonts w:ascii="宋体" w:hAnsi="宋体" w:cs="宋体"/>
                <w:szCs w:val="21"/>
                <w:highlight w:val="none"/>
              </w:rPr>
            </w:pPr>
            <w:r>
              <w:rPr>
                <w:rFonts w:hint="eastAsia" w:ascii="宋体" w:hAnsi="宋体" w:cs="宋体"/>
                <w:szCs w:val="21"/>
                <w:highlight w:val="none"/>
              </w:rPr>
              <w:t>21.1</w:t>
            </w:r>
          </w:p>
        </w:tc>
        <w:tc>
          <w:tcPr>
            <w:tcW w:w="1888" w:type="dxa"/>
            <w:tcBorders>
              <w:tl2br w:val="nil"/>
              <w:tr2bl w:val="nil"/>
            </w:tcBorders>
            <w:vAlign w:val="center"/>
          </w:tcPr>
          <w:p w14:paraId="1F5D01CE">
            <w:pPr>
              <w:spacing w:line="360" w:lineRule="auto"/>
              <w:jc w:val="center"/>
              <w:rPr>
                <w:rFonts w:ascii="宋体" w:hAnsi="宋体" w:cs="宋体"/>
                <w:szCs w:val="21"/>
                <w:highlight w:val="none"/>
              </w:rPr>
            </w:pPr>
            <w:r>
              <w:rPr>
                <w:rFonts w:hint="eastAsia" w:ascii="宋体" w:hAnsi="宋体" w:cs="宋体"/>
                <w:szCs w:val="21"/>
                <w:highlight w:val="none"/>
              </w:rPr>
              <w:t>开标时间和地点</w:t>
            </w:r>
          </w:p>
        </w:tc>
        <w:tc>
          <w:tcPr>
            <w:tcW w:w="5425" w:type="dxa"/>
            <w:tcBorders>
              <w:tl2br w:val="nil"/>
              <w:tr2bl w:val="nil"/>
            </w:tcBorders>
            <w:vAlign w:val="center"/>
          </w:tcPr>
          <w:p w14:paraId="79976DDF">
            <w:pPr>
              <w:spacing w:line="360" w:lineRule="auto"/>
              <w:ind w:left="105" w:leftChars="50"/>
              <w:rPr>
                <w:rFonts w:ascii="宋体" w:hAnsi="宋体" w:cs="宋体"/>
                <w:szCs w:val="21"/>
                <w:highlight w:val="none"/>
              </w:rPr>
            </w:pPr>
            <w:r>
              <w:rPr>
                <w:rFonts w:hint="eastAsia" w:ascii="宋体" w:hAnsi="宋体" w:cs="宋体"/>
                <w:szCs w:val="21"/>
                <w:highlight w:val="none"/>
              </w:rPr>
              <w:t>开标时间: 同投标文件递交截止时间</w:t>
            </w:r>
          </w:p>
          <w:p w14:paraId="5F3C0919">
            <w:pPr>
              <w:spacing w:line="360" w:lineRule="auto"/>
              <w:ind w:left="105" w:leftChars="50"/>
              <w:rPr>
                <w:rFonts w:ascii="宋体" w:hAnsi="宋体" w:cs="宋体"/>
                <w:szCs w:val="21"/>
                <w:highlight w:val="none"/>
              </w:rPr>
            </w:pPr>
            <w:r>
              <w:rPr>
                <w:rFonts w:hint="eastAsia" w:ascii="宋体" w:hAnsi="宋体" w:cs="宋体"/>
                <w:szCs w:val="21"/>
                <w:highlight w:val="none"/>
              </w:rPr>
              <w:t>开标地点: 全国公共资源交易平台（陕西省·西安市）不见面开标大厅，详见“特别告知”及“投标人须知”</w:t>
            </w:r>
          </w:p>
          <w:p w14:paraId="7A8ACEC0">
            <w:pPr>
              <w:spacing w:line="360" w:lineRule="auto"/>
              <w:ind w:left="105" w:leftChars="50"/>
              <w:rPr>
                <w:rFonts w:ascii="宋体" w:hAnsi="宋体" w:cs="宋体"/>
                <w:szCs w:val="21"/>
                <w:highlight w:val="none"/>
              </w:rPr>
            </w:pPr>
            <w:r>
              <w:rPr>
                <w:rFonts w:hint="eastAsia" w:ascii="宋体" w:hAnsi="宋体" w:cs="宋体"/>
                <w:b/>
                <w:bCs/>
                <w:szCs w:val="21"/>
                <w:highlight w:val="none"/>
              </w:rPr>
              <w:t>注：本项目采用“不见面开标”。不见面开标大厅登录方式为：全国公共资源交易平台（陕西省·西安市）西安市公共资源交易中心网-不见面开标系统。 建议供应商在投标截止时间（开标时间）前1小时内登录不见面开标大厅，并及时签到，否则将无法参与不见面开标活动。</w:t>
            </w:r>
          </w:p>
        </w:tc>
      </w:tr>
      <w:tr w14:paraId="7CB72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0C7BE049">
            <w:pPr>
              <w:spacing w:line="360" w:lineRule="auto"/>
              <w:jc w:val="center"/>
              <w:rPr>
                <w:rFonts w:ascii="宋体" w:hAnsi="宋体" w:cs="宋体"/>
                <w:szCs w:val="21"/>
                <w:highlight w:val="none"/>
              </w:rPr>
            </w:pPr>
            <w:r>
              <w:rPr>
                <w:rFonts w:hint="eastAsia" w:ascii="宋体" w:hAnsi="宋体" w:cs="宋体"/>
                <w:szCs w:val="21"/>
                <w:highlight w:val="none"/>
              </w:rPr>
              <w:t>21.3</w:t>
            </w:r>
          </w:p>
        </w:tc>
        <w:tc>
          <w:tcPr>
            <w:tcW w:w="1888" w:type="dxa"/>
            <w:tcBorders>
              <w:tl2br w:val="nil"/>
              <w:tr2bl w:val="nil"/>
            </w:tcBorders>
            <w:vAlign w:val="center"/>
          </w:tcPr>
          <w:p w14:paraId="613C36C9">
            <w:pPr>
              <w:spacing w:line="360" w:lineRule="auto"/>
              <w:ind w:left="315" w:hanging="315" w:hangingChars="150"/>
              <w:jc w:val="center"/>
              <w:rPr>
                <w:rFonts w:ascii="宋体" w:hAnsi="宋体" w:cs="宋体"/>
                <w:szCs w:val="21"/>
                <w:highlight w:val="none"/>
              </w:rPr>
            </w:pPr>
            <w:r>
              <w:rPr>
                <w:rFonts w:hint="eastAsia" w:ascii="宋体" w:hAnsi="宋体" w:cs="宋体"/>
                <w:szCs w:val="21"/>
                <w:highlight w:val="none"/>
                <w:lang w:bidi="ar"/>
              </w:rPr>
              <w:t>唱标</w:t>
            </w:r>
          </w:p>
        </w:tc>
        <w:tc>
          <w:tcPr>
            <w:tcW w:w="5425" w:type="dxa"/>
            <w:tcBorders>
              <w:tl2br w:val="nil"/>
              <w:tr2bl w:val="nil"/>
            </w:tcBorders>
            <w:vAlign w:val="center"/>
          </w:tcPr>
          <w:p w14:paraId="38EFD6FE">
            <w:pPr>
              <w:spacing w:line="360" w:lineRule="auto"/>
              <w:ind w:left="420" w:leftChars="50" w:hanging="315" w:hangingChars="150"/>
              <w:rPr>
                <w:rFonts w:ascii="宋体" w:hAnsi="宋体" w:cs="宋体"/>
                <w:szCs w:val="21"/>
                <w:highlight w:val="none"/>
              </w:rPr>
            </w:pPr>
            <w:r>
              <w:rPr>
                <w:rFonts w:hint="eastAsia" w:ascii="宋体" w:hAnsi="宋体" w:cs="宋体"/>
                <w:szCs w:val="21"/>
                <w:highlight w:val="none"/>
                <w:lang w:bidi="ar"/>
              </w:rPr>
              <w:t>系统将自动展示供应商名单及其投标报价。</w:t>
            </w:r>
          </w:p>
        </w:tc>
      </w:tr>
      <w:tr w14:paraId="07867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4D4690DE">
            <w:pPr>
              <w:spacing w:line="360" w:lineRule="auto"/>
              <w:jc w:val="center"/>
              <w:rPr>
                <w:rFonts w:ascii="宋体" w:hAnsi="宋体" w:cs="宋体"/>
                <w:szCs w:val="21"/>
                <w:highlight w:val="none"/>
              </w:rPr>
            </w:pPr>
            <w:r>
              <w:rPr>
                <w:rFonts w:hint="eastAsia" w:ascii="宋体" w:hAnsi="宋体" w:cs="宋体"/>
                <w:szCs w:val="21"/>
                <w:highlight w:val="none"/>
              </w:rPr>
              <w:t>21.8</w:t>
            </w:r>
          </w:p>
        </w:tc>
        <w:tc>
          <w:tcPr>
            <w:tcW w:w="1888" w:type="dxa"/>
            <w:tcBorders>
              <w:tl2br w:val="nil"/>
              <w:tr2bl w:val="nil"/>
            </w:tcBorders>
            <w:vAlign w:val="center"/>
          </w:tcPr>
          <w:p w14:paraId="43F3D8B1">
            <w:pPr>
              <w:spacing w:line="360" w:lineRule="auto"/>
              <w:jc w:val="center"/>
              <w:rPr>
                <w:rFonts w:ascii="宋体" w:hAnsi="宋体" w:cs="宋体"/>
                <w:szCs w:val="21"/>
                <w:highlight w:val="none"/>
              </w:rPr>
            </w:pPr>
            <w:r>
              <w:rPr>
                <w:rFonts w:hint="eastAsia" w:ascii="宋体" w:hAnsi="宋体" w:cs="宋体"/>
                <w:szCs w:val="21"/>
                <w:highlight w:val="none"/>
                <w:lang w:bidi="ar"/>
              </w:rPr>
              <w:t>供应商资格审查</w:t>
            </w:r>
          </w:p>
        </w:tc>
        <w:tc>
          <w:tcPr>
            <w:tcW w:w="5425" w:type="dxa"/>
            <w:tcBorders>
              <w:tl2br w:val="nil"/>
              <w:tr2bl w:val="nil"/>
            </w:tcBorders>
            <w:vAlign w:val="center"/>
          </w:tcPr>
          <w:p w14:paraId="2E808343">
            <w:pPr>
              <w:spacing w:line="360" w:lineRule="auto"/>
              <w:ind w:left="420" w:leftChars="50" w:hanging="315" w:hangingChars="150"/>
              <w:rPr>
                <w:rFonts w:ascii="宋体" w:hAnsi="宋体" w:cs="宋体"/>
                <w:szCs w:val="21"/>
                <w:highlight w:val="none"/>
                <w:lang w:bidi="ar"/>
              </w:rPr>
            </w:pPr>
            <w:r>
              <w:rPr>
                <w:rFonts w:hint="eastAsia" w:ascii="宋体" w:hAnsi="宋体" w:cs="宋体"/>
                <w:szCs w:val="21"/>
                <w:highlight w:val="none"/>
                <w:lang w:bidi="ar"/>
              </w:rPr>
              <w:t>1）审查时间：开标结束后；</w:t>
            </w:r>
          </w:p>
          <w:p w14:paraId="2D5F9A81">
            <w:pPr>
              <w:spacing w:line="360" w:lineRule="auto"/>
              <w:ind w:left="420" w:leftChars="50" w:hanging="315" w:hangingChars="150"/>
              <w:rPr>
                <w:rFonts w:ascii="宋体" w:hAnsi="宋体" w:cs="宋体"/>
                <w:szCs w:val="21"/>
                <w:highlight w:val="none"/>
                <w:lang w:bidi="ar"/>
              </w:rPr>
            </w:pPr>
            <w:r>
              <w:rPr>
                <w:rFonts w:hint="eastAsia" w:ascii="宋体" w:hAnsi="宋体" w:cs="宋体"/>
                <w:szCs w:val="21"/>
                <w:highlight w:val="none"/>
                <w:lang w:bidi="ar"/>
              </w:rPr>
              <w:t>2）审查内容：</w:t>
            </w:r>
          </w:p>
          <w:p w14:paraId="61DEA3C7">
            <w:pPr>
              <w:spacing w:line="360" w:lineRule="auto"/>
              <w:ind w:left="420" w:leftChars="50" w:hanging="315" w:hangingChars="150"/>
              <w:rPr>
                <w:rFonts w:ascii="宋体" w:hAnsi="宋体" w:cs="宋体"/>
                <w:szCs w:val="21"/>
                <w:highlight w:val="none"/>
                <w:lang w:bidi="ar"/>
              </w:rPr>
            </w:pPr>
            <w:r>
              <w:rPr>
                <w:rFonts w:hint="eastAsia" w:ascii="宋体" w:hAnsi="宋体" w:cs="宋体"/>
                <w:szCs w:val="21"/>
                <w:highlight w:val="none"/>
                <w:lang w:bidi="ar"/>
              </w:rPr>
              <w:t>① 在“信用中国”网站（www.creditchina.gov.cn）和“中国政府采购网”（ccgp.gov.cn）对投标人信用信息进行查询，如果投标人被查实在投标截止时间前列入失信被执行人（页面跳转至“中国执行信息公开网”http://zxgk.court.gov.cn/shixin/）、</w:t>
            </w:r>
            <w:r>
              <w:rPr>
                <w:rFonts w:hint="eastAsia" w:ascii="宋体" w:hAnsi="宋体" w:cs="宋体"/>
                <w:szCs w:val="21"/>
                <w:highlight w:val="none"/>
              </w:rPr>
              <w:t>重大税收违法失信主体</w:t>
            </w:r>
            <w:r>
              <w:rPr>
                <w:rFonts w:hint="eastAsia" w:ascii="宋体" w:hAnsi="宋体" w:cs="宋体"/>
                <w:szCs w:val="21"/>
                <w:highlight w:val="none"/>
                <w:lang w:bidi="ar"/>
              </w:rPr>
              <w:t>、政府采购严重违法失信行为记录名单，其投标为无效。</w:t>
            </w:r>
          </w:p>
          <w:p w14:paraId="59C37CF3">
            <w:pPr>
              <w:spacing w:line="360" w:lineRule="auto"/>
              <w:ind w:left="420" w:leftChars="50" w:hanging="315" w:hangingChars="150"/>
              <w:rPr>
                <w:rFonts w:ascii="宋体" w:hAnsi="宋体" w:cs="宋体"/>
                <w:szCs w:val="21"/>
                <w:highlight w:val="none"/>
                <w:lang w:bidi="ar"/>
              </w:rPr>
            </w:pPr>
            <w:r>
              <w:rPr>
                <w:rFonts w:hint="eastAsia" w:ascii="宋体" w:hAnsi="宋体" w:cs="宋体"/>
                <w:szCs w:val="21"/>
                <w:highlight w:val="none"/>
                <w:lang w:bidi="ar"/>
              </w:rPr>
              <w:t>② 审查供应商资格证明文件是否符合国家法律法规和招标文件的要求，并且齐全、真实、有效。资格证明文件不合格的，其投标为无效。</w:t>
            </w:r>
          </w:p>
          <w:p w14:paraId="578503E6">
            <w:pPr>
              <w:spacing w:line="360" w:lineRule="auto"/>
              <w:ind w:left="420" w:leftChars="50" w:hanging="315" w:hangingChars="150"/>
              <w:rPr>
                <w:rFonts w:ascii="宋体" w:hAnsi="宋体" w:cs="宋体"/>
                <w:szCs w:val="21"/>
                <w:highlight w:val="none"/>
              </w:rPr>
            </w:pPr>
            <w:r>
              <w:rPr>
                <w:rFonts w:hint="eastAsia" w:ascii="宋体" w:hAnsi="宋体" w:cs="宋体"/>
                <w:szCs w:val="21"/>
                <w:highlight w:val="none"/>
                <w:lang w:bidi="ar"/>
              </w:rPr>
              <w:t>3）合格供应商不足三家的，不进行评标。</w:t>
            </w:r>
          </w:p>
        </w:tc>
      </w:tr>
      <w:tr w14:paraId="68190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4B6E4B8D">
            <w:pPr>
              <w:spacing w:line="360" w:lineRule="auto"/>
              <w:jc w:val="center"/>
              <w:rPr>
                <w:rFonts w:ascii="宋体" w:hAnsi="宋体" w:cs="宋体"/>
                <w:szCs w:val="21"/>
                <w:highlight w:val="none"/>
              </w:rPr>
            </w:pPr>
            <w:r>
              <w:rPr>
                <w:rFonts w:hint="eastAsia" w:ascii="宋体" w:hAnsi="宋体" w:cs="宋体"/>
                <w:szCs w:val="21"/>
                <w:highlight w:val="none"/>
              </w:rPr>
              <w:t>24.1</w:t>
            </w:r>
          </w:p>
        </w:tc>
        <w:tc>
          <w:tcPr>
            <w:tcW w:w="1888" w:type="dxa"/>
            <w:tcBorders>
              <w:tl2br w:val="nil"/>
              <w:tr2bl w:val="nil"/>
            </w:tcBorders>
            <w:vAlign w:val="center"/>
          </w:tcPr>
          <w:p w14:paraId="04032F16">
            <w:pPr>
              <w:spacing w:line="360" w:lineRule="auto"/>
              <w:jc w:val="center"/>
              <w:rPr>
                <w:rFonts w:ascii="宋体" w:hAnsi="宋体" w:cs="宋体"/>
                <w:szCs w:val="21"/>
                <w:highlight w:val="none"/>
              </w:rPr>
            </w:pPr>
            <w:r>
              <w:rPr>
                <w:rFonts w:hint="eastAsia" w:ascii="宋体" w:hAnsi="宋体" w:cs="宋体"/>
                <w:szCs w:val="21"/>
                <w:highlight w:val="none"/>
              </w:rPr>
              <w:t>评标方法</w:t>
            </w:r>
          </w:p>
        </w:tc>
        <w:tc>
          <w:tcPr>
            <w:tcW w:w="5425" w:type="dxa"/>
            <w:tcBorders>
              <w:tl2br w:val="nil"/>
              <w:tr2bl w:val="nil"/>
            </w:tcBorders>
            <w:vAlign w:val="center"/>
          </w:tcPr>
          <w:p w14:paraId="112CE876">
            <w:pPr>
              <w:spacing w:line="360" w:lineRule="auto"/>
              <w:ind w:left="105" w:leftChars="50"/>
              <w:rPr>
                <w:rFonts w:ascii="宋体" w:hAnsi="宋体" w:cs="宋体"/>
                <w:szCs w:val="21"/>
                <w:highlight w:val="none"/>
              </w:rPr>
            </w:pPr>
            <w:r>
              <w:rPr>
                <w:rFonts w:hint="eastAsia" w:ascii="宋体" w:hAnsi="宋体" w:cs="宋体"/>
                <w:szCs w:val="21"/>
                <w:highlight w:val="none"/>
              </w:rPr>
              <w:t>综合评分法（详见第五章 评标方法）</w:t>
            </w:r>
          </w:p>
        </w:tc>
      </w:tr>
      <w:tr w14:paraId="5B3651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3EF6DD5F">
            <w:pPr>
              <w:spacing w:line="360" w:lineRule="auto"/>
              <w:jc w:val="center"/>
              <w:rPr>
                <w:rFonts w:ascii="宋体" w:hAnsi="宋体" w:cs="宋体"/>
                <w:szCs w:val="21"/>
                <w:highlight w:val="none"/>
              </w:rPr>
            </w:pPr>
            <w:r>
              <w:rPr>
                <w:rFonts w:hint="eastAsia" w:ascii="宋体" w:hAnsi="宋体" w:cs="宋体"/>
                <w:szCs w:val="21"/>
                <w:highlight w:val="none"/>
              </w:rPr>
              <w:t>26.1</w:t>
            </w:r>
          </w:p>
        </w:tc>
        <w:tc>
          <w:tcPr>
            <w:tcW w:w="1888" w:type="dxa"/>
            <w:tcBorders>
              <w:tl2br w:val="nil"/>
              <w:tr2bl w:val="nil"/>
            </w:tcBorders>
            <w:vAlign w:val="center"/>
          </w:tcPr>
          <w:p w14:paraId="09D07717">
            <w:pPr>
              <w:spacing w:line="360" w:lineRule="auto"/>
              <w:jc w:val="center"/>
              <w:rPr>
                <w:rFonts w:ascii="宋体" w:hAnsi="宋体" w:cs="宋体"/>
                <w:szCs w:val="21"/>
                <w:highlight w:val="none"/>
              </w:rPr>
            </w:pPr>
            <w:r>
              <w:rPr>
                <w:rFonts w:hint="eastAsia" w:ascii="宋体" w:hAnsi="宋体" w:cs="宋体"/>
                <w:szCs w:val="21"/>
                <w:highlight w:val="none"/>
              </w:rPr>
              <w:t>中标候选人数量</w:t>
            </w:r>
          </w:p>
        </w:tc>
        <w:tc>
          <w:tcPr>
            <w:tcW w:w="5425" w:type="dxa"/>
            <w:tcBorders>
              <w:tl2br w:val="nil"/>
              <w:tr2bl w:val="nil"/>
            </w:tcBorders>
            <w:vAlign w:val="center"/>
          </w:tcPr>
          <w:p w14:paraId="06A585D3">
            <w:pPr>
              <w:spacing w:line="360" w:lineRule="auto"/>
              <w:ind w:left="105" w:leftChars="50"/>
              <w:rPr>
                <w:rFonts w:ascii="宋体" w:hAnsi="宋体" w:cs="宋体"/>
                <w:szCs w:val="21"/>
                <w:highlight w:val="none"/>
              </w:rPr>
            </w:pPr>
            <w:r>
              <w:rPr>
                <w:rFonts w:hint="eastAsia" w:ascii="宋体" w:hAnsi="宋体" w:cs="宋体"/>
                <w:szCs w:val="21"/>
                <w:highlight w:val="none"/>
              </w:rPr>
              <w:t>推荐3名中标候选人</w:t>
            </w:r>
          </w:p>
        </w:tc>
      </w:tr>
      <w:tr w14:paraId="6B91E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27E03CBF">
            <w:pPr>
              <w:spacing w:line="360" w:lineRule="auto"/>
              <w:jc w:val="center"/>
              <w:rPr>
                <w:rFonts w:ascii="宋体" w:hAnsi="宋体" w:cs="宋体"/>
                <w:szCs w:val="21"/>
                <w:highlight w:val="none"/>
              </w:rPr>
            </w:pPr>
            <w:r>
              <w:rPr>
                <w:rFonts w:hint="eastAsia" w:ascii="宋体" w:hAnsi="宋体" w:cs="宋体"/>
                <w:szCs w:val="21"/>
                <w:highlight w:val="none"/>
              </w:rPr>
              <w:t>26.7</w:t>
            </w:r>
          </w:p>
        </w:tc>
        <w:tc>
          <w:tcPr>
            <w:tcW w:w="1888" w:type="dxa"/>
            <w:tcBorders>
              <w:tl2br w:val="nil"/>
              <w:tr2bl w:val="nil"/>
            </w:tcBorders>
            <w:vAlign w:val="center"/>
          </w:tcPr>
          <w:p w14:paraId="428A43B5">
            <w:pPr>
              <w:spacing w:line="360" w:lineRule="auto"/>
              <w:jc w:val="center"/>
              <w:rPr>
                <w:rFonts w:ascii="宋体" w:hAnsi="宋体" w:cs="宋体"/>
                <w:szCs w:val="21"/>
                <w:highlight w:val="none"/>
              </w:rPr>
            </w:pPr>
            <w:r>
              <w:rPr>
                <w:rFonts w:hint="eastAsia" w:ascii="宋体" w:hAnsi="宋体" w:cs="宋体"/>
                <w:szCs w:val="21"/>
                <w:highlight w:val="none"/>
              </w:rPr>
              <w:t>评标特别规定</w:t>
            </w:r>
          </w:p>
        </w:tc>
        <w:tc>
          <w:tcPr>
            <w:tcW w:w="5425" w:type="dxa"/>
            <w:tcBorders>
              <w:tl2br w:val="nil"/>
              <w:tr2bl w:val="nil"/>
            </w:tcBorders>
            <w:vAlign w:val="center"/>
          </w:tcPr>
          <w:p w14:paraId="1CB1CD1D">
            <w:pPr>
              <w:spacing w:line="360" w:lineRule="auto"/>
              <w:rPr>
                <w:rFonts w:ascii="宋体" w:hAnsi="宋体" w:cs="宋体"/>
                <w:highlight w:val="none"/>
              </w:rPr>
            </w:pPr>
            <w:r>
              <w:rPr>
                <w:rFonts w:hint="eastAsia" w:ascii="宋体" w:hAnsi="宋体" w:cs="宋体"/>
                <w:highlight w:val="none"/>
              </w:rPr>
              <w:t>兼投不兼中，由于开展停车治理工作强度大、时效性强，需要拖车按时赶往违法停车地点，如果一个供应商同时为多个大队提供服务将会影响治理工作效率,为了保证整个支队停车治理工作效率，需多个供应商共同开展治理工作。避免一家供应商产生垄断，确保供应商之间互相竞争、提升服务水平,因此同一家供应商最多中标一个包。评审过程中按包号顺序评审，如供应商A，在两个或两个以上包中均排名第一则按包号顺序，推荐其为靠前标包的第一中标候选人。</w:t>
            </w:r>
          </w:p>
        </w:tc>
      </w:tr>
      <w:tr w14:paraId="7D32E5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4DFF1926">
            <w:pPr>
              <w:spacing w:line="360" w:lineRule="auto"/>
              <w:jc w:val="center"/>
              <w:rPr>
                <w:rFonts w:ascii="宋体" w:hAnsi="宋体" w:cs="宋体"/>
                <w:szCs w:val="21"/>
                <w:highlight w:val="none"/>
              </w:rPr>
            </w:pPr>
            <w:r>
              <w:rPr>
                <w:rFonts w:hint="eastAsia" w:ascii="宋体" w:hAnsi="宋体" w:cs="宋体"/>
                <w:szCs w:val="21"/>
                <w:highlight w:val="none"/>
              </w:rPr>
              <w:t>30</w:t>
            </w:r>
          </w:p>
        </w:tc>
        <w:tc>
          <w:tcPr>
            <w:tcW w:w="1888" w:type="dxa"/>
            <w:tcBorders>
              <w:tl2br w:val="nil"/>
              <w:tr2bl w:val="nil"/>
            </w:tcBorders>
            <w:vAlign w:val="center"/>
          </w:tcPr>
          <w:p w14:paraId="779EB725">
            <w:pPr>
              <w:spacing w:line="360" w:lineRule="auto"/>
              <w:jc w:val="center"/>
              <w:rPr>
                <w:rFonts w:ascii="宋体" w:hAnsi="宋体" w:cs="宋体"/>
                <w:szCs w:val="21"/>
                <w:highlight w:val="none"/>
              </w:rPr>
            </w:pPr>
            <w:r>
              <w:rPr>
                <w:rFonts w:hint="eastAsia" w:ascii="宋体" w:hAnsi="宋体" w:cs="宋体"/>
                <w:szCs w:val="21"/>
                <w:highlight w:val="none"/>
              </w:rPr>
              <w:t>招标代理服务费</w:t>
            </w:r>
          </w:p>
        </w:tc>
        <w:tc>
          <w:tcPr>
            <w:tcW w:w="5425" w:type="dxa"/>
            <w:tcBorders>
              <w:tl2br w:val="nil"/>
              <w:tr2bl w:val="nil"/>
            </w:tcBorders>
            <w:vAlign w:val="center"/>
          </w:tcPr>
          <w:p w14:paraId="1095DF5D">
            <w:pPr>
              <w:spacing w:line="360" w:lineRule="auto"/>
              <w:ind w:left="105" w:leftChars="50"/>
              <w:rPr>
                <w:rFonts w:ascii="宋体" w:hAnsi="宋体" w:cs="宋体"/>
                <w:szCs w:val="21"/>
                <w:highlight w:val="none"/>
              </w:rPr>
            </w:pPr>
            <w:r>
              <w:rPr>
                <w:rFonts w:hint="eastAsia" w:ascii="宋体" w:hAnsi="宋体" w:cs="宋体"/>
                <w:szCs w:val="21"/>
                <w:highlight w:val="none"/>
              </w:rPr>
              <w:t>确定中标人后3日内，由中标人向招标代理机构一次付清招标代理服务费。采购代理服务费的金额以预算金额为基数参照原《国家计委关于印发&lt;招标代理服务收费管理暂行办法&gt;的通知》（计价格【2002】1980号）执行。</w:t>
            </w:r>
          </w:p>
        </w:tc>
      </w:tr>
      <w:tr w14:paraId="13EB82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vAlign w:val="center"/>
          </w:tcPr>
          <w:p w14:paraId="139222FA">
            <w:pPr>
              <w:spacing w:line="360" w:lineRule="auto"/>
              <w:jc w:val="center"/>
              <w:rPr>
                <w:rFonts w:ascii="宋体" w:hAnsi="宋体" w:cs="宋体"/>
                <w:szCs w:val="21"/>
                <w:highlight w:val="none"/>
              </w:rPr>
            </w:pPr>
            <w:r>
              <w:rPr>
                <w:rFonts w:hint="eastAsia" w:ascii="宋体" w:hAnsi="宋体" w:cs="宋体"/>
                <w:szCs w:val="21"/>
                <w:highlight w:val="none"/>
              </w:rPr>
              <w:t>32</w:t>
            </w:r>
          </w:p>
        </w:tc>
        <w:tc>
          <w:tcPr>
            <w:tcW w:w="1888" w:type="dxa"/>
            <w:tcBorders>
              <w:tl2br w:val="nil"/>
              <w:tr2bl w:val="nil"/>
            </w:tcBorders>
            <w:vAlign w:val="center"/>
          </w:tcPr>
          <w:p w14:paraId="57BC9C7A">
            <w:pPr>
              <w:spacing w:line="360" w:lineRule="auto"/>
              <w:jc w:val="center"/>
              <w:rPr>
                <w:rFonts w:ascii="宋体" w:hAnsi="宋体" w:cs="宋体"/>
                <w:szCs w:val="21"/>
                <w:highlight w:val="none"/>
              </w:rPr>
            </w:pPr>
            <w:r>
              <w:rPr>
                <w:rFonts w:hint="eastAsia" w:ascii="宋体" w:hAnsi="宋体" w:cs="宋体"/>
                <w:szCs w:val="21"/>
                <w:highlight w:val="none"/>
              </w:rPr>
              <w:t>其他注意事项</w:t>
            </w:r>
          </w:p>
        </w:tc>
        <w:tc>
          <w:tcPr>
            <w:tcW w:w="5425" w:type="dxa"/>
            <w:tcBorders>
              <w:tl2br w:val="nil"/>
              <w:tr2bl w:val="nil"/>
            </w:tcBorders>
            <w:vAlign w:val="center"/>
          </w:tcPr>
          <w:p w14:paraId="182C6C47">
            <w:pPr>
              <w:spacing w:line="360" w:lineRule="auto"/>
              <w:ind w:left="105" w:leftChars="50"/>
              <w:rPr>
                <w:rFonts w:ascii="宋体" w:hAnsi="宋体" w:cs="宋体"/>
                <w:b/>
                <w:bCs/>
                <w:szCs w:val="21"/>
                <w:highlight w:val="none"/>
              </w:rPr>
            </w:pPr>
            <w:r>
              <w:rPr>
                <w:rFonts w:hint="eastAsia" w:ascii="宋体" w:hAnsi="宋体" w:cs="宋体"/>
                <w:b/>
                <w:bCs/>
                <w:szCs w:val="21"/>
                <w:highlight w:val="none"/>
              </w:rPr>
              <w:t>1.采购标的对应的中小企业划分标准所属行业为未列明行业；</w:t>
            </w:r>
          </w:p>
          <w:p w14:paraId="22885188">
            <w:pPr>
              <w:spacing w:line="360" w:lineRule="auto"/>
              <w:ind w:left="105" w:leftChars="50"/>
              <w:rPr>
                <w:rFonts w:ascii="宋体" w:hAnsi="宋体" w:cs="宋体"/>
                <w:b/>
                <w:bCs/>
                <w:szCs w:val="21"/>
                <w:highlight w:val="none"/>
              </w:rPr>
            </w:pPr>
            <w:r>
              <w:rPr>
                <w:rFonts w:hint="eastAsia" w:ascii="宋体" w:hAnsi="宋体" w:cs="宋体"/>
                <w:b/>
                <w:bCs/>
                <w:szCs w:val="21"/>
                <w:highlight w:val="none"/>
              </w:rPr>
              <w:t>2.请务必在采购文件获取期限内及时下载电子招标文件并做好备份，逾期下载通道将关闭，未及时下载招标文件将会影响投标文件编制及后续投标活动；</w:t>
            </w:r>
          </w:p>
          <w:p w14:paraId="6C9A5DA3">
            <w:pPr>
              <w:spacing w:line="360" w:lineRule="auto"/>
              <w:ind w:left="105" w:leftChars="50"/>
              <w:rPr>
                <w:rFonts w:ascii="宋体" w:hAnsi="宋体" w:cs="宋体"/>
                <w:szCs w:val="21"/>
                <w:highlight w:val="none"/>
              </w:rPr>
            </w:pPr>
            <w:r>
              <w:rPr>
                <w:rFonts w:hint="eastAsia" w:ascii="宋体" w:hAnsi="宋体" w:cs="宋体"/>
                <w:b/>
                <w:bCs/>
                <w:szCs w:val="21"/>
                <w:highlight w:val="none"/>
              </w:rPr>
              <w:t>3.各包应分别下载文件，单独制作投标文件分别投标。</w:t>
            </w:r>
          </w:p>
        </w:tc>
      </w:tr>
      <w:tr w14:paraId="6BED64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2881" w:type="dxa"/>
            <w:gridSpan w:val="2"/>
            <w:tcBorders>
              <w:tl2br w:val="nil"/>
              <w:tr2bl w:val="nil"/>
            </w:tcBorders>
            <w:vAlign w:val="center"/>
          </w:tcPr>
          <w:p w14:paraId="69EF0462">
            <w:pPr>
              <w:spacing w:line="360" w:lineRule="auto"/>
              <w:jc w:val="center"/>
              <w:rPr>
                <w:rFonts w:ascii="宋体" w:hAnsi="宋体" w:cs="宋体"/>
                <w:szCs w:val="21"/>
                <w:highlight w:val="none"/>
              </w:rPr>
            </w:pPr>
            <w:r>
              <w:rPr>
                <w:rFonts w:hint="eastAsia" w:ascii="宋体" w:hAnsi="宋体" w:cs="宋体"/>
                <w:b/>
                <w:bCs/>
                <w:szCs w:val="21"/>
                <w:highlight w:val="none"/>
              </w:rPr>
              <w:t>关于投标文件的雷同性分析</w:t>
            </w:r>
          </w:p>
        </w:tc>
        <w:tc>
          <w:tcPr>
            <w:tcW w:w="5425" w:type="dxa"/>
            <w:tcBorders>
              <w:tl2br w:val="nil"/>
              <w:tr2bl w:val="nil"/>
            </w:tcBorders>
            <w:vAlign w:val="center"/>
          </w:tcPr>
          <w:p w14:paraId="5FDBF48F">
            <w:pPr>
              <w:spacing w:line="360" w:lineRule="auto"/>
              <w:ind w:left="105" w:leftChars="50"/>
              <w:rPr>
                <w:rFonts w:ascii="宋体" w:hAnsi="宋体" w:cs="宋体"/>
                <w:b/>
                <w:bCs/>
                <w:szCs w:val="21"/>
                <w:highlight w:val="none"/>
              </w:rPr>
            </w:pPr>
            <w:r>
              <w:rPr>
                <w:rFonts w:hint="eastAsia" w:ascii="宋体" w:hAnsi="宋体" w:cs="宋体"/>
                <w:b/>
                <w:bCs/>
                <w:szCs w:val="21"/>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04A03867">
            <w:pPr>
              <w:spacing w:line="360" w:lineRule="auto"/>
              <w:ind w:left="105" w:leftChars="50"/>
              <w:rPr>
                <w:rFonts w:ascii="宋体" w:hAnsi="宋体" w:cs="宋体"/>
                <w:b/>
                <w:bCs/>
                <w:szCs w:val="21"/>
                <w:highlight w:val="none"/>
              </w:rPr>
            </w:pPr>
            <w:r>
              <w:rPr>
                <w:rFonts w:hint="eastAsia" w:ascii="宋体" w:hAnsi="宋体" w:cs="宋体"/>
                <w:b/>
                <w:bCs/>
                <w:szCs w:val="21"/>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79DEFF82">
            <w:pPr>
              <w:spacing w:line="360" w:lineRule="auto"/>
              <w:ind w:left="105" w:leftChars="50"/>
              <w:rPr>
                <w:rFonts w:ascii="宋体" w:hAnsi="宋体" w:cs="宋体"/>
                <w:b/>
                <w:bCs/>
                <w:szCs w:val="21"/>
                <w:highlight w:val="none"/>
              </w:rPr>
            </w:pPr>
            <w:r>
              <w:rPr>
                <w:rFonts w:hint="eastAsia" w:ascii="宋体" w:hAnsi="宋体" w:cs="宋体"/>
                <w:b/>
                <w:bCs/>
                <w:szCs w:val="21"/>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7FC2BC6B">
            <w:pPr>
              <w:spacing w:line="360" w:lineRule="auto"/>
              <w:ind w:left="105" w:leftChars="50"/>
              <w:rPr>
                <w:rFonts w:ascii="宋体" w:hAnsi="宋体" w:cs="宋体"/>
                <w:szCs w:val="21"/>
                <w:highlight w:val="none"/>
              </w:rPr>
            </w:pPr>
            <w:r>
              <w:rPr>
                <w:rFonts w:hint="eastAsia" w:ascii="宋体" w:hAnsi="宋体" w:cs="宋体"/>
                <w:b/>
                <w:bCs/>
                <w:szCs w:val="21"/>
                <w:highlight w:val="none"/>
              </w:rPr>
              <w:t>若“文件创建标识码”一致，则表示不同投标供应商使用投标文件制作软件时，使用同一源工程文件，该情形建议由评标委员会结合项目情况综合判定。</w:t>
            </w:r>
          </w:p>
        </w:tc>
      </w:tr>
    </w:tbl>
    <w:p w14:paraId="286AF05D">
      <w:pPr>
        <w:widowControl/>
        <w:spacing w:line="360" w:lineRule="auto"/>
        <w:textAlignment w:val="baseline"/>
        <w:rPr>
          <w:b/>
          <w:bCs/>
          <w:szCs w:val="21"/>
          <w:highlight w:val="none"/>
        </w:rPr>
      </w:pPr>
      <w:r>
        <w:rPr>
          <w:rFonts w:hint="eastAsia" w:ascii="宋体" w:hAnsi="宋体" w:cs="宋体"/>
          <w:b/>
          <w:sz w:val="36"/>
          <w:highlight w:val="none"/>
        </w:rPr>
        <w:br w:type="page"/>
      </w:r>
      <w:bookmarkStart w:id="42" w:name="_Toc29842"/>
      <w:bookmarkStart w:id="43" w:name="_Toc2028"/>
      <w:r>
        <w:rPr>
          <w:rFonts w:hint="eastAsia"/>
          <w:b/>
          <w:bCs/>
          <w:szCs w:val="21"/>
          <w:highlight w:val="none"/>
        </w:rPr>
        <w:t>附件1：</w:t>
      </w:r>
    </w:p>
    <w:p w14:paraId="02F0C782">
      <w:pPr>
        <w:pStyle w:val="3"/>
        <w:keepNext w:val="0"/>
        <w:spacing w:before="312" w:beforeLines="100" w:after="156" w:afterLines="50" w:line="360" w:lineRule="auto"/>
        <w:rPr>
          <w:b/>
          <w:sz w:val="39"/>
          <w:szCs w:val="39"/>
          <w:highlight w:val="none"/>
        </w:rPr>
      </w:pPr>
      <w:r>
        <w:rPr>
          <w:b/>
          <w:sz w:val="24"/>
          <w:szCs w:val="24"/>
          <w:highlight w:val="none"/>
        </w:rPr>
        <w:t>陕西省财政厅关于印发《陕西省中小企业政府采购信用融资办法》</w:t>
      </w:r>
    </w:p>
    <w:p w14:paraId="5347B111">
      <w:pPr>
        <w:pStyle w:val="11"/>
        <w:spacing w:before="156" w:beforeLines="50" w:beforeAutospacing="0" w:after="156" w:afterLines="50" w:afterAutospacing="0" w:line="360" w:lineRule="auto"/>
        <w:jc w:val="center"/>
        <w:textAlignment w:val="baseline"/>
        <w:rPr>
          <w:highlight w:val="none"/>
        </w:rPr>
      </w:pPr>
      <w:r>
        <w:rPr>
          <w:rFonts w:hint="eastAsia"/>
          <w:sz w:val="21"/>
          <w:szCs w:val="21"/>
          <w:highlight w:val="none"/>
        </w:rPr>
        <w:t>陕财办采〔2018〕23号</w:t>
      </w:r>
    </w:p>
    <w:p w14:paraId="58B73AD2">
      <w:pPr>
        <w:widowControl/>
        <w:spacing w:line="360" w:lineRule="auto"/>
        <w:jc w:val="left"/>
        <w:rPr>
          <w:highlight w:val="none"/>
        </w:rPr>
      </w:pPr>
      <w:r>
        <w:rPr>
          <w:rFonts w:hint="eastAsia" w:ascii="宋体" w:hAnsi="宋体" w:cs="宋体"/>
          <w:kern w:val="0"/>
          <w:szCs w:val="21"/>
          <w:highlight w:val="none"/>
          <w:lang w:bidi="ar"/>
        </w:rPr>
        <w:t>各设区市、西咸新区、韩城市财政局，省级各部门、单位，各有关金融机构、有关企业：</w:t>
      </w:r>
    </w:p>
    <w:p w14:paraId="63BC1775">
      <w:pPr>
        <w:pStyle w:val="11"/>
        <w:spacing w:before="156" w:beforeLines="50" w:beforeAutospacing="0" w:after="0" w:afterAutospacing="0" w:line="360" w:lineRule="auto"/>
        <w:ind w:firstLine="420" w:firstLineChars="200"/>
        <w:rPr>
          <w:highlight w:val="none"/>
        </w:rPr>
      </w:pPr>
      <w:r>
        <w:rPr>
          <w:rFonts w:hint="eastAsia"/>
          <w:sz w:val="21"/>
          <w:szCs w:val="21"/>
          <w:highlight w:val="none"/>
        </w:rPr>
        <w:t>自2012年起，我省启动了政府采购信用担保融资试点工作，取得了一定成效。为进一步贯彻落实国务院和我省关于支持中小企业发展的政策措施，发挥政府采购政策导向作用，充分利用信息化技术，通过搭建信息对称、相互对接的平台，有效缓解中小企业融资难、融资贵问题。结合我省政府采购信息化建设实际，我们制定了《陕西省中小企业政府采购信用融资办法》，现印发给你们，请遵照执行。</w:t>
      </w:r>
    </w:p>
    <w:p w14:paraId="342566BF">
      <w:pPr>
        <w:pStyle w:val="11"/>
        <w:spacing w:before="0" w:beforeAutospacing="0" w:after="0" w:afterAutospacing="0" w:line="360" w:lineRule="auto"/>
        <w:jc w:val="right"/>
        <w:rPr>
          <w:highlight w:val="none"/>
        </w:rPr>
      </w:pPr>
      <w:r>
        <w:rPr>
          <w:rFonts w:hint="eastAsia"/>
          <w:sz w:val="21"/>
          <w:szCs w:val="21"/>
          <w:highlight w:val="none"/>
        </w:rPr>
        <w:t>陕西省财政厅</w:t>
      </w:r>
    </w:p>
    <w:p w14:paraId="30ECE6E4">
      <w:pPr>
        <w:pStyle w:val="11"/>
        <w:spacing w:before="0" w:beforeAutospacing="0" w:after="0" w:afterAutospacing="0" w:line="360" w:lineRule="auto"/>
        <w:jc w:val="right"/>
        <w:rPr>
          <w:highlight w:val="none"/>
        </w:rPr>
      </w:pPr>
      <w:r>
        <w:rPr>
          <w:rFonts w:hint="eastAsia"/>
          <w:sz w:val="21"/>
          <w:szCs w:val="21"/>
          <w:highlight w:val="none"/>
        </w:rPr>
        <w:t>2018年10月8日</w:t>
      </w:r>
    </w:p>
    <w:p w14:paraId="63D96BC2">
      <w:pPr>
        <w:widowControl/>
        <w:spacing w:before="624" w:beforeLines="200" w:after="312" w:afterLines="100" w:line="360" w:lineRule="auto"/>
        <w:jc w:val="center"/>
        <w:rPr>
          <w:rFonts w:ascii="宋体" w:hAnsi="宋体" w:cs="宋体"/>
          <w:b/>
          <w:bCs/>
          <w:szCs w:val="21"/>
          <w:highlight w:val="none"/>
        </w:rPr>
      </w:pPr>
      <w:r>
        <w:rPr>
          <w:rFonts w:hint="eastAsia" w:ascii="宋体" w:hAnsi="宋体" w:cs="宋体"/>
          <w:b/>
          <w:bCs/>
          <w:kern w:val="0"/>
          <w:szCs w:val="21"/>
          <w:highlight w:val="none"/>
          <w:lang w:bidi="ar"/>
        </w:rPr>
        <w:t>陕西省中小企业政府采购信用融资办法</w:t>
      </w:r>
    </w:p>
    <w:p w14:paraId="61D6C8F4">
      <w:pPr>
        <w:widowControl/>
        <w:spacing w:line="360" w:lineRule="auto"/>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14:paraId="358142D7">
      <w:pPr>
        <w:widowControl/>
        <w:spacing w:line="360" w:lineRule="auto"/>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第二条 本办法所称“中小企业”包括中型、小型及微型企业，其划型标准按照《关于印发中小企业划型标准规定的通知》（工信部联企业〔2011〕300号）规定执行。</w:t>
      </w:r>
    </w:p>
    <w:p w14:paraId="4283D9F0">
      <w:pPr>
        <w:widowControl/>
        <w:spacing w:line="360" w:lineRule="auto"/>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14:paraId="59171C79">
      <w:pPr>
        <w:widowControl/>
        <w:spacing w:line="360" w:lineRule="auto"/>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第四条 开展政府采购信用融资的银行，应当为在陕西省境内注册或设立分支机构，并经财政部门审核且在我省政府采购信息系统搭建服务链接窗口的金融机构。</w:t>
      </w:r>
    </w:p>
    <w:p w14:paraId="44A9C26D">
      <w:pPr>
        <w:widowControl/>
        <w:spacing w:line="360" w:lineRule="auto"/>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第五条 政府采购信用融资应当坚持“财政引导，市场运行，银企自愿，互惠共赢”的原则。</w:t>
      </w:r>
    </w:p>
    <w:p w14:paraId="2B9F726C">
      <w:pPr>
        <w:widowControl/>
        <w:spacing w:line="360" w:lineRule="auto"/>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第六条 省财政厅以全省统一的电子化政府采购系统为平台，对接银行信息化系统，推进政府采购中标成交信息、合同信息、融资信息、支付信息和信用信息等信息资源共享。</w:t>
      </w:r>
    </w:p>
    <w:p w14:paraId="5A1BEB60">
      <w:pPr>
        <w:widowControl/>
        <w:spacing w:line="360" w:lineRule="auto"/>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第七条 各级财政部门应当以政府采购诚信考核和信息化建设为基础，积极为中小企业信用融资搭建平台，提供银企对接的机会和相关的服务支持，但不得为相关贷款项目提供任何形式的担保。</w:t>
      </w:r>
    </w:p>
    <w:p w14:paraId="5F0B47F2">
      <w:pPr>
        <w:widowControl/>
        <w:spacing w:line="360" w:lineRule="auto"/>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14:paraId="183395D4">
      <w:pPr>
        <w:widowControl/>
        <w:spacing w:line="360" w:lineRule="auto"/>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51A9CB74">
      <w:pPr>
        <w:widowControl/>
        <w:spacing w:line="360" w:lineRule="auto"/>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第十条 银行为参与政府采购融资的中小企业提供的产品，应以信用贷款为主，贷款利率应当优于一般中小企业的贷款利率水平，并将产品信息（包括贷款发放条件、利率优惠、贷款金额）等在陕西政府采购网予以展示。</w:t>
      </w:r>
    </w:p>
    <w:p w14:paraId="67C18AD2">
      <w:pPr>
        <w:widowControl/>
        <w:spacing w:line="360" w:lineRule="auto"/>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7B9BF64F">
      <w:pPr>
        <w:widowControl/>
        <w:spacing w:line="360" w:lineRule="auto"/>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第十二条 银行应按规定对申请信用融资的供应商的政府采购合同信息进行审查，必要时可通过陕西政府采购网对该政府采购合同进行审核，以确保政府采购合同的真实性和有效性。</w:t>
      </w:r>
    </w:p>
    <w:p w14:paraId="74EA2657">
      <w:pPr>
        <w:widowControl/>
        <w:spacing w:line="360" w:lineRule="auto"/>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40C68148">
      <w:pPr>
        <w:widowControl/>
        <w:spacing w:line="360" w:lineRule="auto"/>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14:paraId="6B08B723">
      <w:pPr>
        <w:widowControl/>
        <w:spacing w:line="360" w:lineRule="auto"/>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第十五条 省本级政府采购资金支付时，各采购单位必须将采购资金支付到备案合同中指定的融资银行及收款账号，以保障贷款资金的安全回收。</w:t>
      </w:r>
    </w:p>
    <w:p w14:paraId="724325C3">
      <w:pPr>
        <w:widowControl/>
        <w:spacing w:line="360" w:lineRule="auto"/>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第十六条 各市县操作程序由各地结合本地实际自行拟定，但应当体现“便捷高效、监管有效、风险可控”的原则。</w:t>
      </w:r>
    </w:p>
    <w:p w14:paraId="46E148BF">
      <w:pPr>
        <w:widowControl/>
        <w:spacing w:line="360" w:lineRule="auto"/>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14:paraId="0C8AF155">
      <w:pPr>
        <w:widowControl/>
        <w:spacing w:line="360" w:lineRule="auto"/>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第十八条 本办法由陕西省财政厅负责解释。</w:t>
      </w:r>
    </w:p>
    <w:p w14:paraId="30DE9CF4">
      <w:pPr>
        <w:widowControl/>
        <w:spacing w:line="360" w:lineRule="auto"/>
        <w:ind w:firstLine="420" w:firstLineChars="200"/>
        <w:jc w:val="left"/>
        <w:rPr>
          <w:rFonts w:ascii="宋体" w:hAnsi="宋体" w:cs="宋体"/>
          <w:b/>
          <w:szCs w:val="21"/>
          <w:highlight w:val="none"/>
        </w:rPr>
      </w:pPr>
      <w:r>
        <w:rPr>
          <w:rFonts w:hint="eastAsia" w:ascii="宋体" w:hAnsi="宋体" w:cs="宋体"/>
          <w:kern w:val="0"/>
          <w:szCs w:val="21"/>
          <w:highlight w:val="none"/>
          <w:lang w:bidi="ar"/>
        </w:rPr>
        <w:t>第十九条 本办法自2018年11月1日起施行。</w:t>
      </w:r>
    </w:p>
    <w:p w14:paraId="29BAC0B0">
      <w:pPr>
        <w:spacing w:line="360" w:lineRule="auto"/>
        <w:jc w:val="center"/>
        <w:rPr>
          <w:b/>
          <w:sz w:val="36"/>
          <w:highlight w:val="none"/>
        </w:rPr>
      </w:pPr>
      <w:r>
        <w:rPr>
          <w:rStyle w:val="29"/>
          <w:rFonts w:hint="eastAsia" w:ascii="宋体" w:hAnsi="宋体" w:eastAsia="宋体" w:cs="宋体"/>
          <w:sz w:val="30"/>
          <w:szCs w:val="30"/>
          <w:highlight w:val="none"/>
        </w:rPr>
        <w:br w:type="page"/>
      </w:r>
      <w:bookmarkEnd w:id="42"/>
      <w:bookmarkEnd w:id="43"/>
      <w:r>
        <w:rPr>
          <w:rFonts w:hint="eastAsia"/>
          <w:b/>
          <w:sz w:val="36"/>
          <w:highlight w:val="none"/>
        </w:rPr>
        <w:t>投标人须知</w:t>
      </w:r>
    </w:p>
    <w:p w14:paraId="1351ED0E">
      <w:pPr>
        <w:spacing w:before="312" w:beforeLines="100" w:after="312" w:afterLines="100" w:line="360" w:lineRule="auto"/>
        <w:jc w:val="center"/>
        <w:rPr>
          <w:rStyle w:val="29"/>
          <w:rFonts w:ascii="宋体" w:hAnsi="宋体" w:eastAsia="宋体" w:cs="宋体"/>
          <w:sz w:val="30"/>
          <w:szCs w:val="30"/>
          <w:highlight w:val="none"/>
        </w:rPr>
      </w:pPr>
      <w:r>
        <w:rPr>
          <w:rStyle w:val="29"/>
          <w:rFonts w:hint="eastAsia" w:ascii="宋体" w:hAnsi="宋体" w:eastAsia="宋体" w:cs="宋体"/>
          <w:sz w:val="30"/>
          <w:szCs w:val="30"/>
          <w:highlight w:val="none"/>
        </w:rPr>
        <w:t>一、总  则</w:t>
      </w:r>
    </w:p>
    <w:p w14:paraId="28AF8475">
      <w:pPr>
        <w:spacing w:line="360" w:lineRule="auto"/>
        <w:rPr>
          <w:rFonts w:ascii="宋体" w:hAnsi="宋体" w:cs="宋体"/>
          <w:b/>
          <w:szCs w:val="21"/>
          <w:highlight w:val="none"/>
        </w:rPr>
      </w:pPr>
      <w:r>
        <w:rPr>
          <w:rFonts w:hint="eastAsia" w:ascii="宋体" w:hAnsi="宋体" w:cs="宋体"/>
          <w:b/>
          <w:szCs w:val="21"/>
          <w:highlight w:val="none"/>
        </w:rPr>
        <w:t>1.采购人、采购代理机构和资金来源</w:t>
      </w:r>
    </w:p>
    <w:p w14:paraId="34B1D39F">
      <w:pPr>
        <w:spacing w:line="360" w:lineRule="auto"/>
        <w:ind w:firstLine="420" w:firstLineChars="200"/>
        <w:rPr>
          <w:rFonts w:ascii="宋体" w:hAnsi="宋体" w:cs="宋体"/>
          <w:szCs w:val="21"/>
          <w:highlight w:val="none"/>
        </w:rPr>
      </w:pPr>
      <w:r>
        <w:rPr>
          <w:rFonts w:hint="eastAsia" w:ascii="宋体" w:hAnsi="宋体" w:cs="宋体"/>
          <w:szCs w:val="21"/>
          <w:highlight w:val="none"/>
        </w:rPr>
        <w:t>1.1采购人名称、地址见前附表。</w:t>
      </w:r>
    </w:p>
    <w:p w14:paraId="5130D91D">
      <w:pPr>
        <w:spacing w:line="360" w:lineRule="auto"/>
        <w:ind w:firstLine="420" w:firstLineChars="200"/>
        <w:rPr>
          <w:rFonts w:ascii="宋体" w:hAnsi="宋体" w:cs="宋体"/>
          <w:szCs w:val="21"/>
          <w:highlight w:val="none"/>
        </w:rPr>
      </w:pPr>
      <w:r>
        <w:rPr>
          <w:rFonts w:hint="eastAsia" w:ascii="宋体" w:hAnsi="宋体" w:cs="宋体"/>
          <w:szCs w:val="21"/>
          <w:highlight w:val="none"/>
        </w:rPr>
        <w:t>1.2实施本次招标的采购代理机构为西北（陕西）国际招标有限公司。西北（陕西）国际招标有限公司具有中华人民共和国财政部授予的中华人民共和国政府采购代理机构甲级资格。</w:t>
      </w:r>
    </w:p>
    <w:p w14:paraId="08C8CD3D">
      <w:pPr>
        <w:spacing w:line="360" w:lineRule="auto"/>
        <w:ind w:firstLine="420" w:firstLineChars="200"/>
        <w:rPr>
          <w:rFonts w:ascii="宋体" w:hAnsi="宋体" w:cs="宋体"/>
          <w:szCs w:val="21"/>
          <w:highlight w:val="none"/>
        </w:rPr>
      </w:pPr>
      <w:r>
        <w:rPr>
          <w:rFonts w:hint="eastAsia" w:ascii="宋体" w:hAnsi="宋体" w:cs="宋体"/>
          <w:szCs w:val="21"/>
          <w:highlight w:val="none"/>
        </w:rPr>
        <w:t>1.3 本次招标采购所签订合同将使用财政性资金支付，资金已落实到位。</w:t>
      </w:r>
    </w:p>
    <w:p w14:paraId="7BC49F75">
      <w:pPr>
        <w:spacing w:line="360" w:lineRule="auto"/>
        <w:rPr>
          <w:rFonts w:ascii="宋体" w:hAnsi="宋体" w:cs="宋体"/>
          <w:b/>
          <w:szCs w:val="21"/>
          <w:highlight w:val="none"/>
        </w:rPr>
      </w:pPr>
      <w:r>
        <w:rPr>
          <w:rFonts w:hint="eastAsia" w:ascii="宋体" w:hAnsi="宋体" w:cs="宋体"/>
          <w:b/>
          <w:szCs w:val="21"/>
          <w:highlight w:val="none"/>
        </w:rPr>
        <w:t>2.合格的供应商</w:t>
      </w:r>
    </w:p>
    <w:p w14:paraId="6BC7E666">
      <w:pPr>
        <w:spacing w:line="360" w:lineRule="auto"/>
        <w:ind w:firstLine="420" w:firstLineChars="200"/>
        <w:rPr>
          <w:rFonts w:ascii="宋体" w:hAnsi="宋体" w:cs="宋体"/>
          <w:szCs w:val="21"/>
          <w:highlight w:val="none"/>
        </w:rPr>
      </w:pPr>
      <w:r>
        <w:rPr>
          <w:rFonts w:hint="eastAsia" w:ascii="宋体" w:hAnsi="宋体" w:cs="宋体"/>
          <w:szCs w:val="21"/>
          <w:highlight w:val="none"/>
        </w:rPr>
        <w:t>2.1合格供应商条件</w:t>
      </w:r>
    </w:p>
    <w:p w14:paraId="2A1A8547">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1）具有独立承担民事责任的能力；</w:t>
      </w:r>
    </w:p>
    <w:p w14:paraId="1770B1A4">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2）具有良好的商业信誉和健全的财务会计制度；</w:t>
      </w:r>
    </w:p>
    <w:p w14:paraId="59C8D8EC">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3）具有履行合同所必需的设备和专业技术能力；</w:t>
      </w:r>
    </w:p>
    <w:p w14:paraId="153CA737">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4）有依法缴纳税收和社会保障资金的良好纪录；</w:t>
      </w:r>
    </w:p>
    <w:p w14:paraId="2DA39A90">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5）参加政府采购活动前三年内，在经营活动中没有重大违法纪录；</w:t>
      </w:r>
    </w:p>
    <w:p w14:paraId="17D73E9B">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6）中华人民共和国法律、行政法规规定的其他条件（见供应商须知前附表）；</w:t>
      </w:r>
    </w:p>
    <w:p w14:paraId="60FC4806">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7）根据本次采购项目的特殊要求，规定的供应商特定条件（见供应商须知前附表）。</w:t>
      </w:r>
    </w:p>
    <w:p w14:paraId="289FBFB0">
      <w:pPr>
        <w:spacing w:line="360" w:lineRule="auto"/>
        <w:ind w:firstLine="420" w:firstLineChars="200"/>
        <w:rPr>
          <w:rFonts w:ascii="宋体" w:hAnsi="宋体" w:cs="宋体"/>
          <w:szCs w:val="21"/>
          <w:highlight w:val="none"/>
        </w:rPr>
      </w:pPr>
      <w:r>
        <w:rPr>
          <w:rFonts w:hint="eastAsia" w:ascii="宋体" w:hAnsi="宋体" w:cs="宋体"/>
          <w:szCs w:val="21"/>
          <w:highlight w:val="none"/>
        </w:rPr>
        <w:t>2.2单位负责人为同一人或者存在直接控股、管理关系的不同供应商，不得参加本项目同一合同项下的投标。如果供应商在投标中隐瞒了上述关系，则该投标无效。</w:t>
      </w:r>
    </w:p>
    <w:p w14:paraId="6EDF9EE9">
      <w:pPr>
        <w:spacing w:line="360" w:lineRule="auto"/>
        <w:ind w:firstLine="420" w:firstLineChars="200"/>
        <w:rPr>
          <w:rFonts w:ascii="宋体" w:hAnsi="宋体" w:cs="宋体"/>
          <w:szCs w:val="21"/>
          <w:highlight w:val="none"/>
        </w:rPr>
      </w:pPr>
      <w:r>
        <w:rPr>
          <w:rFonts w:hint="eastAsia" w:ascii="宋体" w:hAnsi="宋体" w:cs="宋体"/>
          <w:szCs w:val="21"/>
          <w:highlight w:val="none"/>
        </w:rPr>
        <w:t>2.3为本采购项目提供整体设计、规范编制或者项目管理、监理、检测等服务的供应商，不得再参加本采购项目的投标</w:t>
      </w:r>
      <w:r>
        <w:rPr>
          <w:rFonts w:hint="eastAsia" w:ascii="宋体" w:hAnsi="宋体" w:cs="宋体"/>
          <w:kern w:val="0"/>
          <w:szCs w:val="21"/>
          <w:highlight w:val="none"/>
        </w:rPr>
        <w:t>。</w:t>
      </w:r>
      <w:r>
        <w:rPr>
          <w:rFonts w:hint="eastAsia" w:ascii="宋体" w:hAnsi="宋体" w:cs="宋体"/>
          <w:szCs w:val="21"/>
          <w:highlight w:val="none"/>
        </w:rPr>
        <w:t>如果供应商在投标中隐瞒了上述事实，则该投标无效。</w:t>
      </w:r>
    </w:p>
    <w:p w14:paraId="23B92DA7">
      <w:pPr>
        <w:spacing w:line="360" w:lineRule="auto"/>
        <w:ind w:firstLine="420" w:firstLineChars="200"/>
        <w:rPr>
          <w:rFonts w:ascii="宋体" w:hAnsi="宋体" w:cs="宋体"/>
          <w:szCs w:val="21"/>
          <w:highlight w:val="none"/>
        </w:rPr>
      </w:pPr>
      <w:r>
        <w:rPr>
          <w:rFonts w:hint="eastAsia" w:ascii="宋体" w:hAnsi="宋体" w:cs="宋体"/>
          <w:szCs w:val="21"/>
          <w:highlight w:val="none"/>
        </w:rPr>
        <w:t>2.4两个以上的供应商可以组成一个联合体，以一个供应商的身份共同参加投标。以联合体形式参加投标的，联合体各方均应当具备政府采购法第二十二条第一款规定的条件。采购人根据采购项目的特殊要求规定供应商特定条件的，联合体各方中至少应当有一方符合采购人规定的特定条件。</w:t>
      </w:r>
    </w:p>
    <w:p w14:paraId="2C9C4AA0">
      <w:pPr>
        <w:spacing w:line="360" w:lineRule="auto"/>
        <w:ind w:firstLine="420" w:firstLineChars="200"/>
        <w:rPr>
          <w:rFonts w:ascii="宋体" w:hAnsi="宋体" w:cs="宋体"/>
          <w:szCs w:val="21"/>
          <w:highlight w:val="none"/>
        </w:rPr>
      </w:pPr>
      <w:r>
        <w:rPr>
          <w:rFonts w:hint="eastAsia" w:ascii="宋体" w:hAnsi="宋体" w:cs="宋体"/>
          <w:szCs w:val="21"/>
          <w:highlight w:val="none"/>
        </w:rPr>
        <w:t>2.4.1联合体各方之间应当签订共同投标协议，明确约定联合体各方承担的工作、合同份额和相应的责任，并将共同投标协议附在投标文件中一并提交。</w:t>
      </w:r>
    </w:p>
    <w:p w14:paraId="687723DF">
      <w:pPr>
        <w:spacing w:line="360" w:lineRule="auto"/>
        <w:ind w:firstLine="420" w:firstLineChars="200"/>
        <w:rPr>
          <w:rFonts w:ascii="宋体" w:hAnsi="宋体" w:cs="宋体"/>
          <w:szCs w:val="21"/>
          <w:highlight w:val="none"/>
        </w:rPr>
      </w:pPr>
      <w:r>
        <w:rPr>
          <w:rFonts w:hint="eastAsia" w:ascii="宋体" w:hAnsi="宋体" w:cs="宋体"/>
          <w:szCs w:val="21"/>
          <w:highlight w:val="none"/>
        </w:rPr>
        <w:t>2.4.2联合体中有同类资质的供应商按照联合体分工承担相同工作的，按照资质等级较低的供应商确定资质等级。</w:t>
      </w:r>
    </w:p>
    <w:p w14:paraId="3CDB0C5B">
      <w:pPr>
        <w:spacing w:line="360" w:lineRule="auto"/>
        <w:ind w:firstLine="420" w:firstLineChars="200"/>
        <w:rPr>
          <w:rFonts w:ascii="宋体" w:hAnsi="宋体" w:cs="宋体"/>
          <w:szCs w:val="21"/>
          <w:highlight w:val="none"/>
        </w:rPr>
      </w:pPr>
      <w:r>
        <w:rPr>
          <w:rFonts w:hint="eastAsia" w:ascii="宋体" w:hAnsi="宋体" w:cs="宋体"/>
          <w:szCs w:val="21"/>
          <w:highlight w:val="none"/>
        </w:rPr>
        <w:t>2.4.3以联合体形式参加投标的，联合体各方不得再单独参加或者与其他供应商另外组成联合体参加同一合同项下的投标，否则，其相关投标均为无效。</w:t>
      </w:r>
    </w:p>
    <w:p w14:paraId="5FC48BF1">
      <w:pPr>
        <w:spacing w:line="360" w:lineRule="auto"/>
        <w:ind w:firstLine="420" w:firstLineChars="200"/>
        <w:rPr>
          <w:rFonts w:ascii="宋体" w:hAnsi="宋体" w:cs="宋体"/>
          <w:szCs w:val="21"/>
          <w:highlight w:val="none"/>
        </w:rPr>
      </w:pPr>
      <w:r>
        <w:rPr>
          <w:rFonts w:hint="eastAsia" w:ascii="宋体" w:hAnsi="宋体" w:cs="宋体"/>
          <w:szCs w:val="21"/>
          <w:highlight w:val="none"/>
        </w:rPr>
        <w:t>2.5投标人必须在西北（陕西）国际招标有限公司依法获取招标文件，方可参加投标。招标文件售后不退。</w:t>
      </w:r>
    </w:p>
    <w:p w14:paraId="468371E0">
      <w:pPr>
        <w:spacing w:line="360" w:lineRule="auto"/>
        <w:ind w:firstLine="420" w:firstLineChars="200"/>
        <w:rPr>
          <w:rFonts w:ascii="宋体" w:hAnsi="宋体" w:cs="宋体"/>
          <w:szCs w:val="21"/>
          <w:highlight w:val="none"/>
        </w:rPr>
      </w:pPr>
      <w:r>
        <w:rPr>
          <w:rFonts w:hint="eastAsia" w:ascii="宋体" w:hAnsi="宋体" w:cs="宋体"/>
          <w:szCs w:val="21"/>
          <w:highlight w:val="none"/>
        </w:rPr>
        <w:t>2.6投标费用自理。不论投标的结果如何，供应商均应自行承担所有与参加投标有关的费用。</w:t>
      </w:r>
    </w:p>
    <w:p w14:paraId="2CA23688">
      <w:pPr>
        <w:spacing w:line="360" w:lineRule="auto"/>
        <w:rPr>
          <w:rFonts w:ascii="宋体" w:hAnsi="宋体" w:cs="宋体"/>
          <w:b/>
          <w:szCs w:val="21"/>
          <w:highlight w:val="none"/>
        </w:rPr>
      </w:pPr>
      <w:r>
        <w:rPr>
          <w:rFonts w:hint="eastAsia" w:ascii="宋体" w:hAnsi="宋体" w:cs="宋体"/>
          <w:b/>
          <w:szCs w:val="21"/>
          <w:highlight w:val="none"/>
        </w:rPr>
        <w:t>3.供应商信用记录查询及使用</w:t>
      </w:r>
    </w:p>
    <w:p w14:paraId="1114E593">
      <w:pPr>
        <w:spacing w:line="360" w:lineRule="auto"/>
        <w:ind w:firstLine="308" w:firstLineChars="147"/>
        <w:rPr>
          <w:rFonts w:ascii="宋体" w:hAnsi="宋体" w:cs="宋体"/>
          <w:b/>
          <w:szCs w:val="21"/>
          <w:highlight w:val="none"/>
        </w:rPr>
      </w:pPr>
      <w:r>
        <w:rPr>
          <w:rFonts w:hint="eastAsia" w:ascii="宋体" w:hAnsi="宋体" w:cs="宋体"/>
          <w:kern w:val="0"/>
          <w:szCs w:val="21"/>
          <w:highlight w:val="none"/>
        </w:rPr>
        <w:t>“信用中国”网站（www.creditchina.gov.cn）和“中国政府采购网”（www.ccgp.gov.cn）为供应商信用信息查询渠道，如果供应商被查实在投标截止时间前已列入失信被执行人、重大税收违法失信主体、政府采购严重违法失信行为记录名单，其投标为无效。采购代理机构将打印查询记录作为证据留存。</w:t>
      </w:r>
      <w:r>
        <w:rPr>
          <w:rFonts w:hint="eastAsia" w:ascii="宋体" w:hAnsi="宋体" w:cs="宋体"/>
          <w:b/>
          <w:szCs w:val="21"/>
          <w:highlight w:val="none"/>
        </w:rPr>
        <w:t xml:space="preserve"> </w:t>
      </w:r>
    </w:p>
    <w:p w14:paraId="30BB22DB">
      <w:pPr>
        <w:spacing w:line="360" w:lineRule="auto"/>
        <w:rPr>
          <w:rFonts w:ascii="宋体" w:hAnsi="宋体" w:cs="宋体"/>
          <w:b/>
          <w:szCs w:val="21"/>
          <w:highlight w:val="none"/>
        </w:rPr>
      </w:pPr>
      <w:r>
        <w:rPr>
          <w:rFonts w:hint="eastAsia" w:ascii="宋体" w:hAnsi="宋体" w:cs="宋体"/>
          <w:b/>
          <w:szCs w:val="21"/>
          <w:highlight w:val="none"/>
        </w:rPr>
        <w:t>4.投标文件内容的真实性</w:t>
      </w:r>
    </w:p>
    <w:p w14:paraId="30E4CFB8">
      <w:pPr>
        <w:spacing w:line="360" w:lineRule="auto"/>
        <w:ind w:firstLine="420" w:firstLineChars="200"/>
        <w:rPr>
          <w:rFonts w:ascii="宋体" w:hAnsi="宋体" w:cs="宋体"/>
          <w:szCs w:val="21"/>
          <w:highlight w:val="none"/>
        </w:rPr>
      </w:pPr>
      <w:r>
        <w:rPr>
          <w:rFonts w:hint="eastAsia" w:ascii="宋体" w:hAnsi="宋体" w:cs="宋体"/>
          <w:szCs w:val="21"/>
          <w:highlight w:val="none"/>
        </w:rPr>
        <w:t>4.1供应商应保证其投标文件中所提供的所有有关投标的资料、信息是真实的，并且来源于合法的渠道。因投标文件中所提供的有关投标的资料、信息不真实，或者其来源不合法而导致的所有法律责任，由供应商自行承担。</w:t>
      </w:r>
    </w:p>
    <w:p w14:paraId="217D4B45">
      <w:pPr>
        <w:spacing w:line="360" w:lineRule="auto"/>
        <w:rPr>
          <w:rFonts w:ascii="宋体" w:hAnsi="宋体" w:cs="宋体"/>
          <w:b/>
          <w:szCs w:val="21"/>
          <w:highlight w:val="none"/>
        </w:rPr>
      </w:pPr>
      <w:r>
        <w:rPr>
          <w:rFonts w:hint="eastAsia" w:ascii="宋体" w:hAnsi="宋体" w:cs="宋体"/>
          <w:b/>
          <w:szCs w:val="21"/>
          <w:highlight w:val="none"/>
        </w:rPr>
        <w:t>5.招标过程的监督和管理</w:t>
      </w:r>
    </w:p>
    <w:p w14:paraId="04024595">
      <w:pPr>
        <w:spacing w:line="360" w:lineRule="auto"/>
        <w:ind w:firstLine="420" w:firstLineChars="200"/>
        <w:rPr>
          <w:rFonts w:ascii="宋体" w:hAnsi="宋体" w:cs="宋体"/>
          <w:szCs w:val="21"/>
          <w:highlight w:val="none"/>
        </w:rPr>
      </w:pPr>
      <w:r>
        <w:rPr>
          <w:rFonts w:hint="eastAsia" w:ascii="宋体" w:hAnsi="宋体" w:cs="宋体"/>
          <w:szCs w:val="21"/>
          <w:highlight w:val="none"/>
        </w:rPr>
        <w:t>5.1同级人民政府财政部门及有关部门依法履行对招标过程的监督管理职责。</w:t>
      </w:r>
    </w:p>
    <w:p w14:paraId="29D0EDB9">
      <w:pPr>
        <w:spacing w:before="312" w:beforeLines="100" w:after="312" w:afterLines="100" w:line="360" w:lineRule="auto"/>
        <w:jc w:val="center"/>
        <w:rPr>
          <w:rStyle w:val="29"/>
          <w:rFonts w:ascii="宋体" w:hAnsi="宋体" w:eastAsia="宋体" w:cs="宋体"/>
          <w:sz w:val="30"/>
          <w:szCs w:val="30"/>
          <w:highlight w:val="none"/>
        </w:rPr>
      </w:pPr>
      <w:bookmarkStart w:id="44" w:name="_Toc2867"/>
      <w:bookmarkStart w:id="45" w:name="_Toc7999"/>
      <w:r>
        <w:rPr>
          <w:rStyle w:val="29"/>
          <w:rFonts w:hint="eastAsia" w:ascii="宋体" w:hAnsi="宋体" w:eastAsia="宋体" w:cs="宋体"/>
          <w:sz w:val="30"/>
          <w:szCs w:val="30"/>
          <w:highlight w:val="none"/>
        </w:rPr>
        <w:t>二、招标文件</w:t>
      </w:r>
    </w:p>
    <w:bookmarkEnd w:id="44"/>
    <w:bookmarkEnd w:id="45"/>
    <w:p w14:paraId="1915BF88">
      <w:pPr>
        <w:spacing w:line="360" w:lineRule="auto"/>
        <w:rPr>
          <w:rFonts w:ascii="宋体" w:hAnsi="宋体" w:cs="宋体"/>
          <w:b/>
          <w:szCs w:val="21"/>
          <w:highlight w:val="none"/>
        </w:rPr>
      </w:pPr>
      <w:r>
        <w:rPr>
          <w:rFonts w:hint="eastAsia" w:ascii="宋体" w:hAnsi="宋体" w:cs="宋体"/>
          <w:b/>
          <w:szCs w:val="21"/>
          <w:highlight w:val="none"/>
        </w:rPr>
        <w:t>6.招标文件构成</w:t>
      </w:r>
    </w:p>
    <w:p w14:paraId="226B3761">
      <w:pPr>
        <w:spacing w:line="360" w:lineRule="auto"/>
        <w:ind w:firstLine="420" w:firstLineChars="200"/>
        <w:rPr>
          <w:rFonts w:ascii="宋体" w:hAnsi="宋体" w:cs="宋体"/>
          <w:szCs w:val="21"/>
          <w:highlight w:val="none"/>
        </w:rPr>
      </w:pPr>
      <w:r>
        <w:rPr>
          <w:rFonts w:hint="eastAsia" w:ascii="宋体" w:hAnsi="宋体" w:cs="宋体"/>
          <w:szCs w:val="21"/>
          <w:highlight w:val="none"/>
        </w:rPr>
        <w:t>6.1 招标文件规定了要求提供的服务，招标程序和合同条件在招标文件中均有说明。招标文件共六章，内容如下：</w:t>
      </w:r>
    </w:p>
    <w:p w14:paraId="43D7190D">
      <w:pPr>
        <w:spacing w:line="360" w:lineRule="auto"/>
        <w:ind w:firstLine="420" w:firstLineChars="200"/>
        <w:rPr>
          <w:rFonts w:ascii="宋体" w:hAnsi="宋体" w:cs="宋体"/>
          <w:szCs w:val="21"/>
          <w:highlight w:val="none"/>
        </w:rPr>
      </w:pPr>
      <w:r>
        <w:rPr>
          <w:rFonts w:hint="eastAsia" w:ascii="宋体" w:hAnsi="宋体" w:cs="宋体"/>
          <w:szCs w:val="21"/>
          <w:highlight w:val="none"/>
        </w:rPr>
        <w:t>第一章 招标公告</w:t>
      </w:r>
    </w:p>
    <w:p w14:paraId="741EA4A6">
      <w:pPr>
        <w:spacing w:line="360" w:lineRule="auto"/>
        <w:ind w:firstLine="420" w:firstLineChars="200"/>
        <w:rPr>
          <w:rFonts w:ascii="宋体" w:hAnsi="宋体" w:cs="宋体"/>
          <w:szCs w:val="21"/>
          <w:highlight w:val="none"/>
        </w:rPr>
      </w:pPr>
      <w:r>
        <w:rPr>
          <w:rFonts w:hint="eastAsia" w:ascii="宋体" w:hAnsi="宋体" w:cs="宋体"/>
          <w:szCs w:val="21"/>
          <w:highlight w:val="none"/>
        </w:rPr>
        <w:t>第二章 供应商须知及前附表</w:t>
      </w:r>
    </w:p>
    <w:p w14:paraId="2FE5B769">
      <w:pPr>
        <w:spacing w:line="360" w:lineRule="auto"/>
        <w:ind w:firstLine="420" w:firstLineChars="200"/>
        <w:rPr>
          <w:rFonts w:ascii="宋体" w:hAnsi="宋体" w:cs="宋体"/>
          <w:szCs w:val="21"/>
          <w:highlight w:val="none"/>
        </w:rPr>
      </w:pPr>
      <w:r>
        <w:rPr>
          <w:rFonts w:hint="eastAsia" w:ascii="宋体" w:hAnsi="宋体" w:cs="宋体"/>
          <w:szCs w:val="21"/>
          <w:highlight w:val="none"/>
        </w:rPr>
        <w:t>第三章 合同格式</w:t>
      </w:r>
    </w:p>
    <w:p w14:paraId="5E4920D5">
      <w:pPr>
        <w:spacing w:line="360" w:lineRule="auto"/>
        <w:ind w:firstLine="420" w:firstLineChars="200"/>
        <w:rPr>
          <w:rFonts w:ascii="宋体" w:hAnsi="宋体" w:cs="宋体"/>
          <w:szCs w:val="21"/>
          <w:highlight w:val="none"/>
        </w:rPr>
      </w:pPr>
      <w:r>
        <w:rPr>
          <w:rFonts w:hint="eastAsia" w:ascii="宋体" w:hAnsi="宋体" w:cs="宋体"/>
          <w:szCs w:val="21"/>
          <w:highlight w:val="none"/>
        </w:rPr>
        <w:t>第四章 招标内容</w:t>
      </w:r>
    </w:p>
    <w:p w14:paraId="3199F6DB">
      <w:pPr>
        <w:spacing w:line="360" w:lineRule="auto"/>
        <w:ind w:firstLine="420" w:firstLineChars="200"/>
        <w:rPr>
          <w:rFonts w:ascii="宋体" w:hAnsi="宋体" w:cs="宋体"/>
          <w:szCs w:val="21"/>
          <w:highlight w:val="none"/>
        </w:rPr>
      </w:pPr>
      <w:r>
        <w:rPr>
          <w:rFonts w:hint="eastAsia" w:ascii="宋体" w:hAnsi="宋体" w:cs="宋体"/>
          <w:szCs w:val="21"/>
          <w:highlight w:val="none"/>
        </w:rPr>
        <w:t>第五章 评标方法</w:t>
      </w:r>
    </w:p>
    <w:p w14:paraId="7C423CDA">
      <w:pPr>
        <w:spacing w:line="360" w:lineRule="auto"/>
        <w:ind w:firstLine="420" w:firstLineChars="200"/>
        <w:rPr>
          <w:rFonts w:ascii="宋体" w:hAnsi="宋体" w:cs="宋体"/>
          <w:szCs w:val="21"/>
          <w:highlight w:val="none"/>
        </w:rPr>
      </w:pPr>
      <w:r>
        <w:rPr>
          <w:rFonts w:hint="eastAsia" w:ascii="宋体" w:hAnsi="宋体" w:cs="宋体"/>
          <w:szCs w:val="21"/>
          <w:highlight w:val="none"/>
        </w:rPr>
        <w:t>第六章 投标文件格式</w:t>
      </w:r>
    </w:p>
    <w:p w14:paraId="0DC6F947">
      <w:pPr>
        <w:spacing w:line="360" w:lineRule="auto"/>
        <w:ind w:firstLine="420" w:firstLineChars="200"/>
        <w:rPr>
          <w:rFonts w:ascii="宋体" w:hAnsi="宋体" w:cs="宋体"/>
          <w:szCs w:val="21"/>
          <w:highlight w:val="none"/>
        </w:rPr>
      </w:pPr>
      <w:r>
        <w:rPr>
          <w:rFonts w:hint="eastAsia" w:ascii="宋体" w:hAnsi="宋体" w:cs="宋体"/>
          <w:szCs w:val="21"/>
          <w:highlight w:val="none"/>
        </w:rPr>
        <w:t>6.2供应商应认真阅读招标文件中所有的事项、格式、条款和规范等要求。如果供应商没有按照招标文件的要求提交全部必要的资料，由此带来的不利于供应商的评标结果，其风险由供应商承担。</w:t>
      </w:r>
    </w:p>
    <w:p w14:paraId="5928E278">
      <w:pPr>
        <w:spacing w:line="360" w:lineRule="auto"/>
        <w:ind w:firstLine="420" w:firstLineChars="200"/>
        <w:rPr>
          <w:rFonts w:ascii="宋体" w:hAnsi="宋体" w:cs="宋体"/>
          <w:szCs w:val="21"/>
          <w:highlight w:val="none"/>
        </w:rPr>
      </w:pPr>
      <w:r>
        <w:rPr>
          <w:rFonts w:hint="eastAsia" w:ascii="宋体" w:hAnsi="宋体" w:cs="宋体"/>
          <w:szCs w:val="21"/>
          <w:highlight w:val="none"/>
        </w:rPr>
        <w:t>6.3如果投标文件没有对招标内容做出实质性响应，其投标为无效投标。</w:t>
      </w:r>
    </w:p>
    <w:p w14:paraId="64ADF7B9">
      <w:pPr>
        <w:spacing w:line="360" w:lineRule="auto"/>
        <w:ind w:firstLine="420" w:firstLineChars="200"/>
        <w:rPr>
          <w:rFonts w:ascii="宋体" w:hAnsi="宋体" w:cs="宋体"/>
          <w:szCs w:val="21"/>
          <w:highlight w:val="none"/>
        </w:rPr>
      </w:pPr>
      <w:r>
        <w:rPr>
          <w:rFonts w:hint="eastAsia" w:ascii="宋体" w:hAnsi="宋体" w:cs="宋体"/>
          <w:szCs w:val="21"/>
          <w:highlight w:val="none"/>
        </w:rPr>
        <w:t>6.4本招标文件的解释权归西北（陕西）国际招标有限公司。</w:t>
      </w:r>
    </w:p>
    <w:p w14:paraId="7ECF8596">
      <w:pPr>
        <w:spacing w:line="360" w:lineRule="auto"/>
        <w:rPr>
          <w:rFonts w:ascii="宋体" w:hAnsi="宋体" w:cs="宋体"/>
          <w:b/>
          <w:szCs w:val="21"/>
          <w:highlight w:val="none"/>
        </w:rPr>
      </w:pPr>
      <w:r>
        <w:rPr>
          <w:rFonts w:hint="eastAsia" w:ascii="宋体" w:hAnsi="宋体" w:cs="宋体"/>
          <w:b/>
          <w:szCs w:val="21"/>
          <w:highlight w:val="none"/>
        </w:rPr>
        <w:t>7.招标文件的澄清修改</w:t>
      </w:r>
    </w:p>
    <w:p w14:paraId="5A51B74E">
      <w:pPr>
        <w:spacing w:line="360" w:lineRule="auto"/>
        <w:ind w:firstLine="420" w:firstLineChars="200"/>
        <w:rPr>
          <w:rFonts w:ascii="宋体" w:hAnsi="宋体" w:cs="宋体"/>
          <w:szCs w:val="21"/>
          <w:highlight w:val="none"/>
        </w:rPr>
      </w:pPr>
      <w:r>
        <w:rPr>
          <w:rFonts w:hint="eastAsia" w:ascii="宋体" w:hAnsi="宋体" w:cs="宋体"/>
          <w:szCs w:val="21"/>
          <w:highlight w:val="none"/>
        </w:rPr>
        <w:t>7.1采购人如果对已发出的招标文件进行必要的澄清或者修改，将在交易平台发布答疑文件（*.SXSCF，即更新后的电子招标文件）。供应商应及时从西安市公共资源交易平台〖首页·〉电子交易平台·〉陕西政府采购交易系统·〉企业端〗登录，登录后切换到切换到〖我的项目〗模块，从【项目流程·&gt;项目管理·&gt;答疑文件下载〗获取更新后的电子招标文件（*.SXSCF）,使用旧版电子招标文件制作的电子投标文件（*.SXSTF），系统将拒绝接收。</w:t>
      </w:r>
    </w:p>
    <w:p w14:paraId="65D0707F">
      <w:pPr>
        <w:spacing w:line="360" w:lineRule="auto"/>
        <w:ind w:firstLine="420" w:firstLineChars="200"/>
        <w:rPr>
          <w:rFonts w:ascii="宋体" w:hAnsi="宋体" w:cs="宋体"/>
          <w:szCs w:val="21"/>
          <w:highlight w:val="none"/>
        </w:rPr>
      </w:pPr>
      <w:r>
        <w:rPr>
          <w:rFonts w:hint="eastAsia" w:ascii="宋体" w:hAnsi="宋体" w:cs="宋体"/>
          <w:szCs w:val="21"/>
          <w:highlight w:val="none"/>
        </w:rPr>
        <w:t>7.2澄清或者修改的内容可能影响投标文件编制的，采购代理机构将在投标截止时间至少15日前，以书面形式通知所有获取招标文件的潜在供应商；不足15日的，采购代理机构将顺延提交投标文件的截止时间。</w:t>
      </w:r>
    </w:p>
    <w:p w14:paraId="64CC23D7">
      <w:pPr>
        <w:spacing w:line="360" w:lineRule="auto"/>
        <w:rPr>
          <w:rFonts w:ascii="宋体" w:hAnsi="宋体" w:cs="宋体"/>
          <w:szCs w:val="21"/>
          <w:highlight w:val="none"/>
        </w:rPr>
      </w:pPr>
      <w:r>
        <w:rPr>
          <w:rFonts w:hint="eastAsia" w:ascii="宋体" w:hAnsi="宋体" w:cs="宋体"/>
          <w:b/>
          <w:bCs/>
          <w:szCs w:val="21"/>
          <w:highlight w:val="none"/>
        </w:rPr>
        <w:t>8.招标文件的质疑答复</w:t>
      </w:r>
    </w:p>
    <w:p w14:paraId="5B931CE1">
      <w:pPr>
        <w:spacing w:line="360" w:lineRule="auto"/>
        <w:ind w:firstLine="420" w:firstLineChars="200"/>
        <w:rPr>
          <w:rFonts w:ascii="宋体" w:hAnsi="宋体" w:cs="宋体"/>
          <w:szCs w:val="21"/>
          <w:highlight w:val="none"/>
        </w:rPr>
      </w:pPr>
      <w:r>
        <w:rPr>
          <w:rFonts w:hint="eastAsia" w:ascii="宋体" w:hAnsi="宋体" w:cs="宋体"/>
          <w:szCs w:val="21"/>
          <w:highlight w:val="none"/>
        </w:rPr>
        <w:t>8.1 已经合法获取招标文件的供应商认为招标文件使自己的权益受到损害的，应当在“供应商须知前附表”规定的时间内，以书面形式向采购代理机构指定的联系部门提出质疑，在此之后提出的质疑均为无效，采购代理机构不予受理。</w:t>
      </w:r>
    </w:p>
    <w:p w14:paraId="753CDD3F">
      <w:pPr>
        <w:spacing w:line="360" w:lineRule="auto"/>
        <w:ind w:firstLine="420" w:firstLineChars="200"/>
        <w:rPr>
          <w:rFonts w:ascii="宋体" w:hAnsi="宋体" w:cs="宋体"/>
          <w:szCs w:val="21"/>
          <w:highlight w:val="none"/>
        </w:rPr>
      </w:pPr>
      <w:r>
        <w:rPr>
          <w:rFonts w:hint="eastAsia" w:ascii="宋体" w:hAnsi="宋体" w:cs="宋体"/>
          <w:szCs w:val="21"/>
          <w:highlight w:val="none"/>
        </w:rPr>
        <w:t>8.2供应商提出质疑应当按照“供应商须知前附表”的要求提交质疑函和必要的证明材料。</w:t>
      </w:r>
    </w:p>
    <w:p w14:paraId="2432BEDE">
      <w:pPr>
        <w:spacing w:line="360" w:lineRule="auto"/>
        <w:ind w:firstLine="420" w:firstLineChars="200"/>
        <w:rPr>
          <w:rFonts w:ascii="宋体" w:hAnsi="宋体" w:cs="宋体"/>
          <w:szCs w:val="21"/>
          <w:highlight w:val="none"/>
        </w:rPr>
      </w:pPr>
      <w:r>
        <w:rPr>
          <w:rFonts w:hint="eastAsia" w:ascii="宋体" w:hAnsi="宋体" w:cs="宋体"/>
          <w:szCs w:val="21"/>
          <w:highlight w:val="none"/>
        </w:rPr>
        <w:t>8.3对于在规定时间内收到的供应商依法提出的询问或者质疑，采购代理机构将按程序在规定的时间内予以答复。</w:t>
      </w:r>
    </w:p>
    <w:p w14:paraId="44688CF6">
      <w:pPr>
        <w:spacing w:before="312" w:beforeLines="100" w:after="312" w:afterLines="100" w:line="360" w:lineRule="auto"/>
        <w:jc w:val="center"/>
        <w:rPr>
          <w:rStyle w:val="29"/>
          <w:rFonts w:ascii="宋体" w:hAnsi="宋体" w:eastAsia="宋体" w:cs="宋体"/>
          <w:sz w:val="30"/>
          <w:szCs w:val="30"/>
          <w:highlight w:val="none"/>
        </w:rPr>
      </w:pPr>
      <w:bookmarkStart w:id="46" w:name="_Toc8531"/>
      <w:bookmarkStart w:id="47" w:name="_Toc11140"/>
      <w:r>
        <w:rPr>
          <w:rStyle w:val="29"/>
          <w:rFonts w:hint="eastAsia" w:ascii="宋体" w:hAnsi="宋体" w:eastAsia="宋体" w:cs="宋体"/>
          <w:sz w:val="30"/>
          <w:szCs w:val="30"/>
          <w:highlight w:val="none"/>
        </w:rPr>
        <w:t>三、投标文件的编制</w:t>
      </w:r>
    </w:p>
    <w:bookmarkEnd w:id="46"/>
    <w:bookmarkEnd w:id="47"/>
    <w:p w14:paraId="18681A91">
      <w:pPr>
        <w:spacing w:line="360" w:lineRule="auto"/>
        <w:rPr>
          <w:rFonts w:ascii="宋体" w:hAnsi="宋体" w:cs="宋体"/>
          <w:b/>
          <w:szCs w:val="21"/>
          <w:highlight w:val="none"/>
        </w:rPr>
      </w:pPr>
      <w:r>
        <w:rPr>
          <w:rFonts w:hint="eastAsia" w:ascii="宋体" w:hAnsi="宋体" w:cs="宋体"/>
          <w:b/>
          <w:szCs w:val="21"/>
          <w:highlight w:val="none"/>
        </w:rPr>
        <w:t>9.投标语言和投标货币</w:t>
      </w:r>
    </w:p>
    <w:p w14:paraId="42596136">
      <w:pPr>
        <w:spacing w:line="360" w:lineRule="auto"/>
        <w:ind w:firstLine="420" w:firstLineChars="200"/>
        <w:rPr>
          <w:rFonts w:ascii="宋体" w:hAnsi="宋体" w:cs="宋体"/>
          <w:b/>
          <w:szCs w:val="21"/>
          <w:highlight w:val="none"/>
        </w:rPr>
      </w:pPr>
      <w:r>
        <w:rPr>
          <w:rFonts w:hint="eastAsia" w:ascii="宋体" w:hAnsi="宋体" w:cs="宋体"/>
          <w:szCs w:val="21"/>
          <w:highlight w:val="none"/>
        </w:rPr>
        <w:t>9.1供应商提交的投标文件以及供应商与采购代理机构就有关投标的所有来往函电均应使用中文。对不同文字文本投标文件（包括产品样本、彩页、说明书等）的解释发生异议的，以中文文本为准。</w:t>
      </w:r>
    </w:p>
    <w:p w14:paraId="3AEE13BB">
      <w:pPr>
        <w:spacing w:line="360" w:lineRule="auto"/>
        <w:ind w:firstLine="420" w:firstLineChars="200"/>
        <w:rPr>
          <w:rFonts w:ascii="宋体" w:hAnsi="宋体" w:cs="宋体"/>
          <w:szCs w:val="21"/>
          <w:highlight w:val="none"/>
        </w:rPr>
      </w:pPr>
      <w:r>
        <w:rPr>
          <w:rFonts w:hint="eastAsia" w:ascii="宋体" w:hAnsi="宋体" w:cs="宋体"/>
          <w:szCs w:val="21"/>
          <w:highlight w:val="none"/>
        </w:rPr>
        <w:t>9.2投标应以人民币报价。任何包含非人民币报价的投标均按照无效投标处理。</w:t>
      </w:r>
    </w:p>
    <w:p w14:paraId="5AFAB872">
      <w:pPr>
        <w:spacing w:line="360" w:lineRule="auto"/>
        <w:rPr>
          <w:rFonts w:ascii="宋体" w:hAnsi="宋体" w:cs="宋体"/>
          <w:b/>
          <w:szCs w:val="21"/>
          <w:highlight w:val="none"/>
        </w:rPr>
      </w:pPr>
      <w:r>
        <w:rPr>
          <w:rFonts w:hint="eastAsia" w:ascii="宋体" w:hAnsi="宋体" w:cs="宋体"/>
          <w:b/>
          <w:szCs w:val="21"/>
          <w:highlight w:val="none"/>
        </w:rPr>
        <w:t>10.投标文件格式</w:t>
      </w:r>
    </w:p>
    <w:p w14:paraId="52114BF3">
      <w:pPr>
        <w:spacing w:line="360" w:lineRule="auto"/>
        <w:ind w:firstLine="420" w:firstLineChars="200"/>
        <w:rPr>
          <w:rFonts w:ascii="宋体" w:hAnsi="宋体" w:cs="宋体"/>
          <w:szCs w:val="21"/>
          <w:highlight w:val="none"/>
        </w:rPr>
      </w:pPr>
      <w:r>
        <w:rPr>
          <w:rFonts w:hint="eastAsia" w:ascii="宋体" w:hAnsi="宋体" w:cs="宋体"/>
          <w:szCs w:val="21"/>
          <w:highlight w:val="none"/>
        </w:rPr>
        <w:t>10.1供应商应按照招标文件中“投标文件格式”所提供的格式和要求制作投标文件，明确表达投标意愿，详细说明投标方案和投标价格。</w:t>
      </w:r>
    </w:p>
    <w:p w14:paraId="475316F8">
      <w:pPr>
        <w:spacing w:line="360" w:lineRule="auto"/>
        <w:ind w:firstLine="420" w:firstLineChars="200"/>
        <w:rPr>
          <w:rFonts w:ascii="宋体" w:hAnsi="宋体" w:cs="宋体"/>
          <w:szCs w:val="21"/>
          <w:highlight w:val="none"/>
        </w:rPr>
      </w:pPr>
      <w:r>
        <w:rPr>
          <w:rFonts w:hint="eastAsia" w:ascii="宋体" w:hAnsi="宋体" w:cs="宋体"/>
          <w:szCs w:val="21"/>
          <w:highlight w:val="none"/>
        </w:rPr>
        <w:t>10.2供应商应完整地提供招标文件要求的所有数据和资料。</w:t>
      </w:r>
    </w:p>
    <w:p w14:paraId="2281E77E">
      <w:pPr>
        <w:spacing w:line="360" w:lineRule="auto"/>
        <w:rPr>
          <w:rFonts w:ascii="宋体" w:hAnsi="宋体" w:cs="宋体"/>
          <w:b/>
          <w:szCs w:val="21"/>
          <w:highlight w:val="none"/>
        </w:rPr>
      </w:pPr>
      <w:r>
        <w:rPr>
          <w:rFonts w:hint="eastAsia" w:ascii="宋体" w:hAnsi="宋体" w:cs="宋体"/>
          <w:b/>
          <w:szCs w:val="21"/>
          <w:highlight w:val="none"/>
        </w:rPr>
        <w:t>11.投标报价和投标方案要求</w:t>
      </w:r>
    </w:p>
    <w:p w14:paraId="71C657C1">
      <w:pPr>
        <w:spacing w:line="360" w:lineRule="auto"/>
        <w:ind w:firstLine="420" w:firstLineChars="200"/>
        <w:rPr>
          <w:rFonts w:ascii="宋体" w:hAnsi="宋体" w:cs="宋体"/>
          <w:szCs w:val="21"/>
          <w:highlight w:val="none"/>
        </w:rPr>
      </w:pPr>
      <w:r>
        <w:rPr>
          <w:rFonts w:hint="eastAsia" w:ascii="宋体" w:hAnsi="宋体" w:cs="宋体"/>
          <w:szCs w:val="21"/>
          <w:highlight w:val="none"/>
        </w:rPr>
        <w:t>11.1供应商应按照“供应商须知前附表”中的规定和要求报价，任何不符合报价要求的投标将按照无效投标处理。</w:t>
      </w:r>
    </w:p>
    <w:p w14:paraId="78EE18C6">
      <w:pPr>
        <w:spacing w:line="360" w:lineRule="auto"/>
        <w:ind w:firstLine="420" w:firstLineChars="200"/>
        <w:rPr>
          <w:rFonts w:ascii="宋体" w:hAnsi="宋体" w:cs="宋体"/>
          <w:szCs w:val="21"/>
          <w:highlight w:val="none"/>
        </w:rPr>
      </w:pPr>
      <w:r>
        <w:rPr>
          <w:rFonts w:hint="eastAsia" w:ascii="宋体" w:hAnsi="宋体" w:cs="宋体"/>
          <w:szCs w:val="21"/>
          <w:highlight w:val="none"/>
        </w:rPr>
        <w:t>11.2供应商应按照投标报价表的内容标明投标的所有单项价格和总价。投标分项报价表中标明的价格应为履行合同的固定价格，不得以任何理由予以变更。任何有选择的报价及以可调整价格提交的投标均按照无效投标处理。</w:t>
      </w:r>
    </w:p>
    <w:p w14:paraId="2AA9768C">
      <w:pPr>
        <w:spacing w:line="360" w:lineRule="auto"/>
        <w:ind w:firstLine="420" w:firstLineChars="200"/>
        <w:rPr>
          <w:rFonts w:ascii="宋体" w:hAnsi="宋体" w:cs="宋体"/>
          <w:szCs w:val="21"/>
          <w:highlight w:val="none"/>
        </w:rPr>
      </w:pPr>
      <w:r>
        <w:rPr>
          <w:rFonts w:hint="eastAsia" w:ascii="宋体" w:hAnsi="宋体" w:cs="宋体"/>
          <w:szCs w:val="21"/>
          <w:highlight w:val="none"/>
        </w:rPr>
        <w:t>11.3 如果在招标文件中没有允许提供备选方案，则每个供应商只允许提交一个投标方案，否则，其投标按照无效投标处理。如果允许提供备选方案，则按照评标方法中的规定对备选方案进行评审。</w:t>
      </w:r>
    </w:p>
    <w:p w14:paraId="36D44C27">
      <w:pPr>
        <w:spacing w:line="360" w:lineRule="auto"/>
        <w:ind w:firstLine="420" w:firstLineChars="200"/>
        <w:rPr>
          <w:rFonts w:ascii="宋体" w:hAnsi="宋体" w:cs="宋体"/>
          <w:szCs w:val="21"/>
          <w:highlight w:val="none"/>
        </w:rPr>
      </w:pPr>
      <w:r>
        <w:rPr>
          <w:rFonts w:hint="eastAsia" w:ascii="宋体" w:hAnsi="宋体" w:cs="宋体"/>
          <w:szCs w:val="21"/>
          <w:highlight w:val="none"/>
        </w:rPr>
        <w:t>11.4本次投标的最小单元见“供应商须知前附表”中的规定，供应商可对任一最小单元进行投标，但不能对最小单元中的部分内容或者分项内容进行不完全投标。任何不完全的投标将按照无效投标处理。</w:t>
      </w:r>
    </w:p>
    <w:p w14:paraId="1F6D945E">
      <w:pPr>
        <w:spacing w:line="360" w:lineRule="auto"/>
        <w:rPr>
          <w:rFonts w:ascii="宋体" w:hAnsi="宋体" w:cs="宋体"/>
          <w:b/>
          <w:szCs w:val="21"/>
          <w:highlight w:val="none"/>
        </w:rPr>
      </w:pPr>
      <w:r>
        <w:rPr>
          <w:rFonts w:hint="eastAsia" w:ascii="宋体" w:hAnsi="宋体" w:cs="宋体"/>
          <w:b/>
          <w:szCs w:val="21"/>
          <w:highlight w:val="none"/>
        </w:rPr>
        <w:t>12.投标文件的构成</w:t>
      </w:r>
    </w:p>
    <w:p w14:paraId="4838B772">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供应商提交的投标文件应包括下列内容：</w:t>
      </w:r>
    </w:p>
    <w:p w14:paraId="1A246F1E">
      <w:pPr>
        <w:spacing w:line="360" w:lineRule="auto"/>
        <w:ind w:firstLine="420" w:firstLineChars="200"/>
        <w:rPr>
          <w:rFonts w:ascii="宋体" w:hAnsi="宋体" w:cs="宋体"/>
          <w:szCs w:val="21"/>
          <w:highlight w:val="none"/>
        </w:rPr>
      </w:pPr>
      <w:r>
        <w:rPr>
          <w:rFonts w:hint="eastAsia" w:ascii="宋体" w:hAnsi="宋体" w:cs="宋体"/>
          <w:szCs w:val="21"/>
          <w:highlight w:val="none"/>
        </w:rPr>
        <w:t>12.1按照供应商须知的要求和投标文件规定格式填写的投标书、投标报价表；按要求格式出具的法人代表授权书。</w:t>
      </w:r>
    </w:p>
    <w:p w14:paraId="793AAB43">
      <w:pPr>
        <w:spacing w:line="360" w:lineRule="auto"/>
        <w:ind w:firstLine="420" w:firstLineChars="200"/>
        <w:rPr>
          <w:rFonts w:ascii="宋体" w:hAnsi="宋体" w:cs="宋体"/>
          <w:szCs w:val="21"/>
          <w:highlight w:val="none"/>
        </w:rPr>
      </w:pPr>
      <w:r>
        <w:rPr>
          <w:rFonts w:hint="eastAsia" w:ascii="宋体" w:hAnsi="宋体" w:cs="宋体"/>
          <w:szCs w:val="21"/>
          <w:highlight w:val="none"/>
        </w:rPr>
        <w:t>12.2按照招标文件要求提交的资格证明文件（详见“供应商须知前附表”）。</w:t>
      </w:r>
    </w:p>
    <w:p w14:paraId="411C34DC">
      <w:pPr>
        <w:spacing w:line="360" w:lineRule="auto"/>
        <w:ind w:firstLine="420" w:firstLineChars="200"/>
        <w:rPr>
          <w:rFonts w:ascii="宋体" w:hAnsi="宋体" w:cs="宋体"/>
          <w:szCs w:val="21"/>
          <w:highlight w:val="none"/>
        </w:rPr>
      </w:pPr>
      <w:r>
        <w:rPr>
          <w:rFonts w:hint="eastAsia" w:ascii="宋体" w:hAnsi="宋体" w:cs="宋体"/>
          <w:szCs w:val="21"/>
          <w:highlight w:val="none"/>
        </w:rPr>
        <w:t>12.3按照招标文件要求提交的商务响应证明文件。</w:t>
      </w:r>
    </w:p>
    <w:p w14:paraId="51DB7666">
      <w:pPr>
        <w:spacing w:line="360" w:lineRule="auto"/>
        <w:ind w:firstLine="420" w:firstLineChars="200"/>
        <w:rPr>
          <w:rFonts w:ascii="宋体" w:hAnsi="宋体" w:cs="宋体"/>
          <w:szCs w:val="21"/>
          <w:highlight w:val="none"/>
        </w:rPr>
      </w:pPr>
      <w:r>
        <w:rPr>
          <w:rFonts w:hint="eastAsia" w:ascii="宋体" w:hAnsi="宋体" w:cs="宋体"/>
          <w:szCs w:val="21"/>
          <w:highlight w:val="none"/>
        </w:rPr>
        <w:t>12.4按照招标文件的要求编制的投标方案说明书，内容应包括所提供服务的详细说明和售后服务承诺等。</w:t>
      </w:r>
    </w:p>
    <w:p w14:paraId="00FA0948">
      <w:pPr>
        <w:spacing w:line="360" w:lineRule="auto"/>
        <w:ind w:firstLine="420" w:firstLineChars="200"/>
        <w:rPr>
          <w:rFonts w:ascii="宋体" w:hAnsi="宋体" w:cs="宋体"/>
          <w:szCs w:val="21"/>
          <w:highlight w:val="none"/>
        </w:rPr>
      </w:pPr>
      <w:r>
        <w:rPr>
          <w:rFonts w:hint="eastAsia" w:ascii="宋体" w:hAnsi="宋体" w:cs="宋体"/>
          <w:szCs w:val="21"/>
          <w:highlight w:val="none"/>
        </w:rPr>
        <w:t>12.4.1供应商应在投标文件中提交服务满足招标文件要求并符合国家法律法规、行业管理部门要求的其他强制性标准的证明及文件。缺少上述证明及文件或证明及文件不合格的投标，与招标文件要求有重大偏离的投标，不符合国家法律法规、行业管理部门要求的其他强制性标准的投标将按照无效投标处理。</w:t>
      </w:r>
    </w:p>
    <w:p w14:paraId="42292585">
      <w:pPr>
        <w:spacing w:line="360" w:lineRule="auto"/>
        <w:ind w:firstLine="420" w:firstLineChars="200"/>
        <w:rPr>
          <w:rFonts w:ascii="宋体" w:hAnsi="宋体" w:cs="宋体"/>
          <w:szCs w:val="21"/>
          <w:highlight w:val="none"/>
        </w:rPr>
      </w:pPr>
      <w:r>
        <w:rPr>
          <w:rFonts w:hint="eastAsia" w:ascii="宋体" w:hAnsi="宋体" w:cs="宋体"/>
          <w:szCs w:val="21"/>
          <w:highlight w:val="none"/>
        </w:rPr>
        <w:t>12.4.2上述证明可以是文字资料、图纸、图片和数据等，也可以是实物，它包括：</w:t>
      </w:r>
    </w:p>
    <w:p w14:paraId="62F25D81">
      <w:pPr>
        <w:spacing w:line="360" w:lineRule="auto"/>
        <w:ind w:firstLine="420" w:firstLineChars="200"/>
        <w:rPr>
          <w:rFonts w:ascii="宋体" w:hAnsi="宋体" w:cs="宋体"/>
          <w:szCs w:val="21"/>
          <w:highlight w:val="none"/>
        </w:rPr>
      </w:pPr>
      <w:r>
        <w:rPr>
          <w:rFonts w:hint="eastAsia" w:ascii="宋体" w:hAnsi="宋体" w:cs="宋体"/>
          <w:szCs w:val="21"/>
          <w:highlight w:val="none"/>
        </w:rPr>
        <w:t>12.4.2.1本次采购特别要求的服务合格性证明文件；</w:t>
      </w:r>
    </w:p>
    <w:p w14:paraId="0D091257">
      <w:pPr>
        <w:spacing w:line="360" w:lineRule="auto"/>
        <w:ind w:firstLine="420" w:firstLineChars="200"/>
        <w:rPr>
          <w:rFonts w:ascii="宋体" w:hAnsi="宋体" w:cs="宋体"/>
          <w:szCs w:val="21"/>
          <w:highlight w:val="none"/>
        </w:rPr>
      </w:pPr>
      <w:r>
        <w:rPr>
          <w:rFonts w:hint="eastAsia" w:ascii="宋体" w:hAnsi="宋体" w:cs="宋体"/>
          <w:szCs w:val="21"/>
          <w:highlight w:val="none"/>
        </w:rPr>
        <w:t>12.4.2.2服务内容、实施方案、人员组织和质量保证措施等的详细说明；</w:t>
      </w:r>
    </w:p>
    <w:p w14:paraId="63B83DB4">
      <w:pPr>
        <w:spacing w:line="360" w:lineRule="auto"/>
        <w:ind w:firstLine="420" w:firstLineChars="200"/>
        <w:rPr>
          <w:rFonts w:ascii="宋体" w:hAnsi="宋体" w:cs="宋体"/>
          <w:szCs w:val="21"/>
          <w:highlight w:val="none"/>
        </w:rPr>
      </w:pPr>
      <w:r>
        <w:rPr>
          <w:rFonts w:hint="eastAsia" w:ascii="宋体" w:hAnsi="宋体" w:cs="宋体"/>
          <w:szCs w:val="21"/>
          <w:highlight w:val="none"/>
        </w:rPr>
        <w:t>12.4.2.3国家法定检验机构出具的检验报告；</w:t>
      </w:r>
    </w:p>
    <w:p w14:paraId="085CA287">
      <w:pPr>
        <w:spacing w:line="360" w:lineRule="auto"/>
        <w:ind w:firstLine="420" w:firstLineChars="200"/>
        <w:rPr>
          <w:rFonts w:ascii="宋体" w:hAnsi="宋体" w:cs="宋体"/>
          <w:szCs w:val="21"/>
          <w:highlight w:val="none"/>
        </w:rPr>
      </w:pPr>
      <w:r>
        <w:rPr>
          <w:rFonts w:hint="eastAsia" w:ascii="宋体" w:hAnsi="宋体" w:cs="宋体"/>
          <w:szCs w:val="21"/>
          <w:highlight w:val="none"/>
        </w:rPr>
        <w:t>12.4.2.4逐条对招标文件提出的技术要求和商务要求进行应答，说明所提供的服务对招标的技术和商务要求是否做出了实质性响应并提供支持文件；</w:t>
      </w:r>
    </w:p>
    <w:p w14:paraId="38390DEE">
      <w:pPr>
        <w:spacing w:line="360" w:lineRule="auto"/>
        <w:ind w:firstLine="420" w:firstLineChars="200"/>
        <w:rPr>
          <w:rFonts w:ascii="宋体" w:hAnsi="宋体" w:cs="宋体"/>
          <w:szCs w:val="21"/>
          <w:highlight w:val="none"/>
        </w:rPr>
      </w:pPr>
      <w:r>
        <w:rPr>
          <w:rFonts w:hint="eastAsia" w:ascii="宋体" w:hAnsi="宋体" w:cs="宋体"/>
          <w:szCs w:val="21"/>
          <w:highlight w:val="none"/>
        </w:rPr>
        <w:t>12.4.2.5服务成果模型等。</w:t>
      </w:r>
    </w:p>
    <w:p w14:paraId="44AC6786">
      <w:pPr>
        <w:spacing w:line="360" w:lineRule="auto"/>
        <w:rPr>
          <w:rFonts w:ascii="宋体" w:hAnsi="宋体" w:cs="宋体"/>
          <w:b/>
          <w:szCs w:val="21"/>
          <w:highlight w:val="none"/>
        </w:rPr>
      </w:pPr>
      <w:r>
        <w:rPr>
          <w:rFonts w:hint="eastAsia" w:ascii="宋体" w:hAnsi="宋体" w:cs="宋体"/>
          <w:b/>
          <w:szCs w:val="21"/>
          <w:highlight w:val="none"/>
        </w:rPr>
        <w:t>13.落实优先采购节能、环保产品的政策</w:t>
      </w:r>
    </w:p>
    <w:p w14:paraId="310DDB0E">
      <w:pPr>
        <w:spacing w:line="360" w:lineRule="auto"/>
        <w:ind w:firstLine="420" w:firstLineChars="200"/>
        <w:rPr>
          <w:rFonts w:ascii="宋体" w:hAnsi="宋体" w:cs="宋体"/>
          <w:bCs/>
          <w:szCs w:val="21"/>
          <w:highlight w:val="none"/>
          <w:lang w:bidi="ar"/>
        </w:rPr>
      </w:pPr>
      <w:r>
        <w:rPr>
          <w:rFonts w:hint="eastAsia" w:ascii="宋体" w:hAnsi="宋体" w:cs="宋体"/>
          <w:bCs/>
          <w:szCs w:val="21"/>
          <w:highlight w:val="none"/>
          <w:lang w:bidi="ar"/>
        </w:rPr>
        <w:t>按照政府采购政策，优先采购节能产品，环境标志产品。投标产品进入“节能产品政府采购品目清单”的；进入“环境标志产品政府采购品目清单”的，提供证明文件，在评标中给予加分优惠（详见评标方法）。</w:t>
      </w:r>
    </w:p>
    <w:p w14:paraId="746663FE">
      <w:pPr>
        <w:spacing w:line="360" w:lineRule="auto"/>
        <w:rPr>
          <w:rFonts w:ascii="宋体" w:hAnsi="宋体" w:cs="宋体"/>
          <w:b/>
          <w:szCs w:val="21"/>
          <w:highlight w:val="none"/>
        </w:rPr>
      </w:pPr>
      <w:r>
        <w:rPr>
          <w:rFonts w:hint="eastAsia" w:ascii="宋体" w:hAnsi="宋体" w:cs="宋体"/>
          <w:b/>
          <w:szCs w:val="21"/>
          <w:highlight w:val="none"/>
        </w:rPr>
        <w:t>14.落实促进支持小微企业、监狱企业、残疾人企业发展、</w:t>
      </w:r>
      <w:r>
        <w:rPr>
          <w:rFonts w:hint="eastAsia" w:ascii="宋体" w:hAnsi="宋体" w:cs="宋体"/>
          <w:b/>
          <w:szCs w:val="21"/>
          <w:highlight w:val="none"/>
          <w:lang w:bidi="ar"/>
        </w:rPr>
        <w:t>乡村产业振兴等</w:t>
      </w:r>
      <w:r>
        <w:rPr>
          <w:rFonts w:hint="eastAsia" w:ascii="宋体" w:hAnsi="宋体" w:cs="宋体"/>
          <w:b/>
          <w:szCs w:val="21"/>
          <w:highlight w:val="none"/>
        </w:rPr>
        <w:t>政策</w:t>
      </w:r>
    </w:p>
    <w:p w14:paraId="58D28B37">
      <w:pPr>
        <w:spacing w:line="360" w:lineRule="auto"/>
        <w:ind w:firstLine="420" w:firstLineChars="200"/>
        <w:rPr>
          <w:rFonts w:ascii="宋体" w:hAnsi="宋体" w:cs="宋体"/>
          <w:bCs/>
          <w:szCs w:val="21"/>
          <w:highlight w:val="none"/>
          <w:lang w:bidi="ar"/>
        </w:rPr>
      </w:pPr>
      <w:r>
        <w:rPr>
          <w:rFonts w:hint="eastAsia" w:ascii="宋体" w:hAnsi="宋体" w:cs="宋体"/>
          <w:bCs/>
          <w:szCs w:val="21"/>
          <w:highlight w:val="none"/>
          <w:lang w:bidi="ar"/>
        </w:rPr>
        <w:t>按照政府采购政策，在评标中对于符合文件要求的小微企业投标的产品和服务，给予价格折扣优惠 (详见评标方法)。投标单位属于（财库〔2020〕46号）文件规定的小微企业的，提供中小企业声明函；投标单位属于（财库〔2014〕68号）文件规定的监狱企业的，提供由省级以上监狱管理局、戒毒管理局（含新疆生产建设兵团）出具的属于监狱企业的证明文件，视同小微企业；投标单位属于（财库〔2017〕141号）文件规定的残疾人福利性单位的，提供《残疾人福利性单位声明函》，视同小微企业。</w:t>
      </w:r>
    </w:p>
    <w:p w14:paraId="57D27222">
      <w:pPr>
        <w:spacing w:line="360" w:lineRule="auto"/>
        <w:rPr>
          <w:rFonts w:ascii="宋体" w:hAnsi="宋体" w:cs="宋体"/>
          <w:b/>
          <w:szCs w:val="21"/>
          <w:highlight w:val="none"/>
        </w:rPr>
      </w:pPr>
      <w:r>
        <w:rPr>
          <w:rFonts w:hint="eastAsia" w:ascii="宋体" w:hAnsi="宋体" w:cs="宋体"/>
          <w:b/>
          <w:szCs w:val="21"/>
          <w:highlight w:val="none"/>
        </w:rPr>
        <w:t>15.投标保证金</w:t>
      </w:r>
    </w:p>
    <w:p w14:paraId="256428CE">
      <w:pPr>
        <w:spacing w:line="360" w:lineRule="auto"/>
        <w:ind w:firstLine="420" w:firstLineChars="200"/>
        <w:rPr>
          <w:rFonts w:ascii="宋体" w:hAnsi="宋体" w:cs="宋体"/>
          <w:szCs w:val="21"/>
          <w:highlight w:val="none"/>
        </w:rPr>
      </w:pPr>
      <w:r>
        <w:rPr>
          <w:rFonts w:hint="eastAsia" w:ascii="宋体" w:hAnsi="宋体" w:cs="宋体"/>
          <w:szCs w:val="21"/>
          <w:highlight w:val="none"/>
        </w:rPr>
        <w:t>15.1如果招标文件有要求，供应商应按照“供应商须知前附表”的要求，在投标时向招标文件中有关账户提交投标保证金,其有效期与投标有效期一致，并作为其投标的一部分。</w:t>
      </w:r>
    </w:p>
    <w:p w14:paraId="2C07708F">
      <w:pPr>
        <w:spacing w:line="360" w:lineRule="auto"/>
        <w:ind w:firstLine="420" w:firstLineChars="200"/>
        <w:rPr>
          <w:rFonts w:ascii="宋体" w:hAnsi="宋体" w:cs="宋体"/>
          <w:szCs w:val="21"/>
          <w:highlight w:val="none"/>
        </w:rPr>
      </w:pPr>
      <w:r>
        <w:rPr>
          <w:rFonts w:hint="eastAsia" w:ascii="宋体" w:hAnsi="宋体" w:cs="宋体"/>
          <w:szCs w:val="21"/>
          <w:highlight w:val="none"/>
        </w:rPr>
        <w:t>15.2投标保证金的数额、形式、交纳办法和交纳时间见“供应商须知前附表”。</w:t>
      </w:r>
    </w:p>
    <w:p w14:paraId="7E41525E">
      <w:pPr>
        <w:spacing w:line="360" w:lineRule="auto"/>
        <w:ind w:firstLine="420" w:firstLineChars="200"/>
        <w:rPr>
          <w:rFonts w:ascii="宋体" w:hAnsi="宋体" w:cs="宋体"/>
          <w:szCs w:val="21"/>
          <w:highlight w:val="none"/>
        </w:rPr>
      </w:pPr>
      <w:r>
        <w:rPr>
          <w:rFonts w:hint="eastAsia" w:ascii="宋体" w:hAnsi="宋体" w:cs="宋体"/>
          <w:szCs w:val="21"/>
          <w:highlight w:val="none"/>
        </w:rPr>
        <w:t>15.3供应商为联合体的，应当以联合体中牵头单位（自然人）的名义缴纳保证金，并对联合体各成员均具有约束力。</w:t>
      </w:r>
    </w:p>
    <w:p w14:paraId="2E410264">
      <w:pPr>
        <w:spacing w:line="360" w:lineRule="auto"/>
        <w:ind w:firstLine="420" w:firstLineChars="200"/>
        <w:rPr>
          <w:rFonts w:ascii="宋体" w:hAnsi="宋体" w:cs="宋体"/>
          <w:szCs w:val="21"/>
          <w:highlight w:val="none"/>
        </w:rPr>
      </w:pPr>
      <w:r>
        <w:rPr>
          <w:rFonts w:hint="eastAsia" w:ascii="宋体" w:hAnsi="宋体" w:cs="宋体"/>
          <w:szCs w:val="21"/>
          <w:highlight w:val="none"/>
        </w:rPr>
        <w:t>15.4开标后经审查，未按照“供应商须知前附表”的要求交纳投标保证金的、已交纳的投标保证金金额不足的或有效期不足的，其投标按照无效投标处理。</w:t>
      </w:r>
    </w:p>
    <w:p w14:paraId="49883F08">
      <w:pPr>
        <w:spacing w:line="360" w:lineRule="auto"/>
        <w:ind w:firstLine="420" w:firstLineChars="200"/>
        <w:rPr>
          <w:rFonts w:ascii="宋体" w:hAnsi="宋体" w:cs="宋体"/>
          <w:szCs w:val="21"/>
          <w:highlight w:val="none"/>
        </w:rPr>
      </w:pPr>
      <w:r>
        <w:rPr>
          <w:rFonts w:hint="eastAsia" w:ascii="宋体" w:hAnsi="宋体" w:cs="宋体"/>
          <w:szCs w:val="21"/>
          <w:highlight w:val="none"/>
        </w:rPr>
        <w:t>15.5未中标供应商的投标保证金，在中标通知书发出后五个工作日内退还；中标供应商的投标保证金，在采购合同签订并按规定交纳代理服务费后五个工作日内退还。</w:t>
      </w:r>
      <w:r>
        <w:rPr>
          <w:rFonts w:hint="eastAsia" w:ascii="宋体" w:hAnsi="宋体" w:cs="宋体"/>
          <w:highlight w:val="none"/>
        </w:rPr>
        <w:t>采购项目采购失败或终止的，投标保证金自采购失败或终止公告发布之日起 5 个工作日内退还。</w:t>
      </w:r>
    </w:p>
    <w:p w14:paraId="69E4C8BB">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15.6有下列情形之一的，投标保证金不予退还： </w:t>
      </w:r>
    </w:p>
    <w:p w14:paraId="5B70A6D9">
      <w:pPr>
        <w:spacing w:line="360" w:lineRule="auto"/>
        <w:ind w:firstLine="420" w:firstLineChars="200"/>
        <w:rPr>
          <w:rFonts w:ascii="宋体" w:hAnsi="宋体" w:cs="宋体"/>
          <w:szCs w:val="21"/>
          <w:highlight w:val="none"/>
        </w:rPr>
      </w:pPr>
      <w:r>
        <w:rPr>
          <w:rFonts w:hint="eastAsia" w:ascii="宋体" w:hAnsi="宋体" w:cs="宋体"/>
          <w:szCs w:val="21"/>
          <w:highlight w:val="none"/>
        </w:rPr>
        <w:t>15.6.1供应商在提交投标文件截止时间后撤回其投标的；</w:t>
      </w:r>
    </w:p>
    <w:p w14:paraId="2E4311B2">
      <w:pPr>
        <w:spacing w:line="360" w:lineRule="auto"/>
        <w:ind w:firstLine="420" w:firstLineChars="200"/>
        <w:rPr>
          <w:rFonts w:ascii="宋体" w:hAnsi="宋体" w:cs="宋体"/>
          <w:szCs w:val="21"/>
          <w:highlight w:val="none"/>
        </w:rPr>
      </w:pPr>
      <w:r>
        <w:rPr>
          <w:rFonts w:hint="eastAsia" w:ascii="宋体" w:hAnsi="宋体" w:cs="宋体"/>
          <w:szCs w:val="21"/>
          <w:highlight w:val="none"/>
        </w:rPr>
        <w:t>15.6.2供应商在投标文件中提供虚假材料的；</w:t>
      </w:r>
    </w:p>
    <w:p w14:paraId="44A71FA9">
      <w:pPr>
        <w:spacing w:line="360" w:lineRule="auto"/>
        <w:ind w:firstLine="420" w:firstLineChars="200"/>
        <w:rPr>
          <w:rFonts w:ascii="宋体" w:hAnsi="宋体" w:cs="宋体"/>
          <w:szCs w:val="21"/>
          <w:highlight w:val="none"/>
        </w:rPr>
      </w:pPr>
      <w:r>
        <w:rPr>
          <w:rFonts w:hint="eastAsia" w:ascii="宋体" w:hAnsi="宋体" w:cs="宋体"/>
          <w:szCs w:val="21"/>
          <w:highlight w:val="none"/>
        </w:rPr>
        <w:t>15.6.3除因不可抗力或招标文件认可的情形以外，中标供应商不与采购人签订合同的；</w:t>
      </w:r>
    </w:p>
    <w:p w14:paraId="0739A0FB">
      <w:pPr>
        <w:spacing w:line="360" w:lineRule="auto"/>
        <w:ind w:firstLine="420" w:firstLineChars="200"/>
        <w:rPr>
          <w:rFonts w:ascii="宋体" w:hAnsi="宋体" w:cs="宋体"/>
          <w:szCs w:val="21"/>
          <w:highlight w:val="none"/>
        </w:rPr>
      </w:pPr>
      <w:r>
        <w:rPr>
          <w:rFonts w:hint="eastAsia" w:ascii="宋体" w:hAnsi="宋体" w:cs="宋体"/>
          <w:szCs w:val="21"/>
          <w:highlight w:val="none"/>
        </w:rPr>
        <w:t>15.6.4供应商与采购人、其他供应商恶意串通的；</w:t>
      </w:r>
    </w:p>
    <w:p w14:paraId="2F0C6FA6">
      <w:pPr>
        <w:spacing w:line="360" w:lineRule="auto"/>
        <w:ind w:firstLine="420" w:firstLineChars="200"/>
        <w:rPr>
          <w:rFonts w:ascii="宋体" w:hAnsi="宋体" w:cs="宋体"/>
          <w:szCs w:val="21"/>
          <w:highlight w:val="none"/>
        </w:rPr>
      </w:pPr>
      <w:r>
        <w:rPr>
          <w:rFonts w:hint="eastAsia" w:ascii="宋体" w:hAnsi="宋体" w:cs="宋体"/>
          <w:szCs w:val="21"/>
          <w:highlight w:val="none"/>
        </w:rPr>
        <w:t>15.6.5中标供应商未能按规定交纳代理服务费的。</w:t>
      </w:r>
    </w:p>
    <w:p w14:paraId="2D6A34BE">
      <w:pPr>
        <w:spacing w:line="360" w:lineRule="auto"/>
        <w:rPr>
          <w:rFonts w:ascii="宋体" w:hAnsi="宋体" w:cs="宋体"/>
          <w:b/>
          <w:szCs w:val="21"/>
          <w:highlight w:val="none"/>
        </w:rPr>
      </w:pPr>
      <w:r>
        <w:rPr>
          <w:rFonts w:hint="eastAsia" w:ascii="宋体" w:hAnsi="宋体" w:cs="宋体"/>
          <w:b/>
          <w:szCs w:val="21"/>
          <w:highlight w:val="none"/>
        </w:rPr>
        <w:t>16.投标有效期</w:t>
      </w:r>
    </w:p>
    <w:p w14:paraId="53FBF32A">
      <w:pPr>
        <w:spacing w:line="360" w:lineRule="auto"/>
        <w:ind w:firstLine="420" w:firstLineChars="200"/>
        <w:rPr>
          <w:rFonts w:ascii="宋体" w:hAnsi="宋体" w:cs="宋体"/>
          <w:szCs w:val="21"/>
          <w:highlight w:val="none"/>
        </w:rPr>
      </w:pPr>
      <w:r>
        <w:rPr>
          <w:rFonts w:hint="eastAsia" w:ascii="宋体" w:hAnsi="宋体" w:cs="宋体"/>
          <w:szCs w:val="21"/>
          <w:highlight w:val="none"/>
        </w:rPr>
        <w:t>16.1投标应在 “供应商须知前附表”中规定的投标有效期内保持有效。不满足规定有效期的投标将按照无效投标处理。</w:t>
      </w:r>
    </w:p>
    <w:p w14:paraId="650775C9">
      <w:pPr>
        <w:spacing w:line="360" w:lineRule="auto"/>
        <w:ind w:firstLine="420" w:firstLineChars="200"/>
        <w:rPr>
          <w:rFonts w:ascii="宋体" w:hAnsi="宋体" w:cs="宋体"/>
          <w:szCs w:val="21"/>
          <w:highlight w:val="none"/>
        </w:rPr>
      </w:pPr>
      <w:r>
        <w:rPr>
          <w:rFonts w:hint="eastAsia" w:ascii="宋体" w:hAnsi="宋体" w:cs="宋体"/>
          <w:szCs w:val="21"/>
          <w:highlight w:val="none"/>
        </w:rPr>
        <w:t>16.2在特殊情况下，在原投标有效期期满之前，采购代理机构可向供应商提出延长投标有效期的要求。这种要求与答复均应以书面的形式。供应商可以拒绝采购代理机构的这种要求,其投标保证金予以退还。同意延长的供应商既不能要求也不允许修改其投标文件，但要相应延长其投标保证金的有效期。</w:t>
      </w:r>
    </w:p>
    <w:p w14:paraId="3996CB93">
      <w:pPr>
        <w:spacing w:line="360" w:lineRule="auto"/>
        <w:rPr>
          <w:rFonts w:ascii="宋体" w:hAnsi="宋体" w:cs="宋体"/>
          <w:b/>
          <w:szCs w:val="21"/>
          <w:highlight w:val="none"/>
        </w:rPr>
      </w:pPr>
      <w:r>
        <w:rPr>
          <w:rFonts w:hint="eastAsia" w:ascii="宋体" w:hAnsi="宋体" w:cs="宋体"/>
          <w:b/>
          <w:szCs w:val="21"/>
          <w:highlight w:val="none"/>
        </w:rPr>
        <w:t>17.投标文件的格式和签署</w:t>
      </w:r>
    </w:p>
    <w:p w14:paraId="4BFD2CA3">
      <w:pPr>
        <w:spacing w:line="360" w:lineRule="auto"/>
        <w:ind w:firstLine="420" w:firstLineChars="200"/>
        <w:rPr>
          <w:rFonts w:ascii="宋体" w:hAnsi="宋体" w:cs="宋体"/>
          <w:szCs w:val="21"/>
          <w:highlight w:val="none"/>
        </w:rPr>
      </w:pPr>
      <w:r>
        <w:rPr>
          <w:rFonts w:hint="eastAsia" w:ascii="宋体" w:hAnsi="宋体" w:cs="宋体"/>
          <w:szCs w:val="21"/>
          <w:highlight w:val="none"/>
        </w:rPr>
        <w:t>17.1需要使用专用制作软件“新点投标文件制作软件（陕西公共资源）”进行编制。软件下载地址及操作手册：见西安市公共资源交易平台〖首页〉服务指南〉下载专区〗中的《政府采购项目投标文件制作软件及操作手册》。</w:t>
      </w:r>
    </w:p>
    <w:p w14:paraId="0A259FCE">
      <w:pPr>
        <w:spacing w:line="360" w:lineRule="auto"/>
        <w:jc w:val="left"/>
        <w:rPr>
          <w:rFonts w:ascii="宋体" w:hAnsi="宋体" w:cs="宋体"/>
          <w:szCs w:val="21"/>
          <w:highlight w:val="none"/>
        </w:rPr>
      </w:pPr>
      <w:r>
        <w:rPr>
          <w:rFonts w:hint="eastAsia" w:ascii="宋体" w:hAnsi="宋体" w:cs="宋体"/>
          <w:szCs w:val="21"/>
          <w:highlight w:val="none"/>
        </w:rPr>
        <w:t>链接地址：</w:t>
      </w:r>
      <w:r>
        <w:rPr>
          <w:highlight w:val="none"/>
        </w:rPr>
        <w:fldChar w:fldCharType="begin"/>
      </w:r>
      <w:r>
        <w:rPr>
          <w:highlight w:val="none"/>
        </w:rPr>
        <w:instrText xml:space="preserve"> HYPERLINK "http://sxggzyjy.xa.gov.cn/fwzn/004003/20181115/4d59c184-e8f6-4d5a-a416-c2f6b0601e66.html" </w:instrText>
      </w:r>
      <w:r>
        <w:rPr>
          <w:highlight w:val="none"/>
        </w:rPr>
        <w:fldChar w:fldCharType="separate"/>
      </w:r>
      <w:r>
        <w:rPr>
          <w:rFonts w:hint="eastAsia" w:ascii="宋体" w:hAnsi="宋体" w:cs="宋体"/>
          <w:szCs w:val="21"/>
          <w:highlight w:val="none"/>
        </w:rPr>
        <w:t>http://sxggzyjy.xa.gov.cn/fwzn/004003/20181115/4d59c184-e8f6-4d5a-a416-c2f6b0601e66.html</w:t>
      </w:r>
      <w:r>
        <w:rPr>
          <w:rFonts w:hint="eastAsia" w:ascii="宋体" w:hAnsi="宋体" w:cs="宋体"/>
          <w:szCs w:val="21"/>
          <w:highlight w:val="none"/>
        </w:rPr>
        <w:fldChar w:fldCharType="end"/>
      </w:r>
      <w:r>
        <w:rPr>
          <w:rFonts w:hint="eastAsia" w:ascii="宋体" w:hAnsi="宋体" w:cs="宋体"/>
          <w:szCs w:val="21"/>
          <w:highlight w:val="none"/>
        </w:rPr>
        <w:t>。</w:t>
      </w:r>
    </w:p>
    <w:p w14:paraId="61507822">
      <w:pPr>
        <w:spacing w:line="360" w:lineRule="auto"/>
        <w:ind w:firstLine="420" w:firstLineChars="200"/>
        <w:rPr>
          <w:rFonts w:ascii="宋体" w:hAnsi="宋体" w:cs="宋体"/>
          <w:szCs w:val="21"/>
          <w:highlight w:val="none"/>
        </w:rPr>
      </w:pPr>
      <w:r>
        <w:rPr>
          <w:rFonts w:hint="eastAsia" w:ascii="宋体" w:hAnsi="宋体" w:cs="宋体"/>
          <w:szCs w:val="21"/>
          <w:highlight w:val="none"/>
        </w:rPr>
        <w:t>17.2编制电子投标文件前，务必做好电子招标文件的备份工 。然后按操作手册中给出的方法将电子招标文件（*.SXSZF)或答疑文件（*.SXSCF，即更新后的电子招标文件）导入制作软件，最后按照章节分别编制投标文件各个部分。</w:t>
      </w:r>
    </w:p>
    <w:p w14:paraId="7DCB3635">
      <w:pPr>
        <w:spacing w:line="360" w:lineRule="auto"/>
        <w:ind w:firstLine="420" w:firstLineChars="200"/>
        <w:rPr>
          <w:rFonts w:ascii="宋体" w:hAnsi="宋体" w:cs="宋体"/>
          <w:szCs w:val="21"/>
          <w:highlight w:val="none"/>
        </w:rPr>
      </w:pPr>
      <w:r>
        <w:rPr>
          <w:rFonts w:hint="eastAsia" w:ascii="宋体" w:hAnsi="宋体" w:cs="宋体"/>
          <w:szCs w:val="21"/>
          <w:highlight w:val="none"/>
        </w:rPr>
        <w:t>17.3电子投标文件制作过程中，需要法定代表人签字或盖章的地方，请使用“法人CA锁”进行签章；需要加盖供应商公章的地方，请使用“企业CA锁”进行签章。</w:t>
      </w:r>
    </w:p>
    <w:p w14:paraId="1ACA5B3C">
      <w:pPr>
        <w:spacing w:line="360" w:lineRule="auto"/>
        <w:ind w:firstLine="420" w:firstLineChars="200"/>
        <w:rPr>
          <w:rFonts w:ascii="宋体" w:hAnsi="宋体" w:cs="宋体"/>
          <w:szCs w:val="21"/>
          <w:highlight w:val="none"/>
        </w:rPr>
      </w:pPr>
      <w:r>
        <w:rPr>
          <w:rFonts w:hint="eastAsia" w:ascii="宋体" w:hAnsi="宋体" w:cs="宋体"/>
          <w:szCs w:val="21"/>
          <w:highlight w:val="none"/>
        </w:rPr>
        <w:t>若导出的PDF文件里看不到签章，请尝试使用专用制作软件中的“查看投标文件工具”找开未加密的电子投标文件重新导出。在制作过程中，如有其他技术性问题，请先翻阅操作手册，或致电软件开发商。</w:t>
      </w:r>
    </w:p>
    <w:p w14:paraId="151E109D">
      <w:pPr>
        <w:spacing w:before="312" w:beforeLines="100" w:after="312" w:afterLines="100" w:line="360" w:lineRule="auto"/>
        <w:jc w:val="center"/>
        <w:rPr>
          <w:rStyle w:val="29"/>
          <w:rFonts w:ascii="宋体" w:hAnsi="宋体" w:eastAsia="宋体" w:cs="宋体"/>
          <w:sz w:val="30"/>
          <w:szCs w:val="30"/>
          <w:highlight w:val="none"/>
        </w:rPr>
      </w:pPr>
      <w:bookmarkStart w:id="48" w:name="_Toc22752"/>
      <w:bookmarkStart w:id="49" w:name="_Toc9441"/>
      <w:r>
        <w:rPr>
          <w:rStyle w:val="29"/>
          <w:rFonts w:hint="eastAsia" w:ascii="宋体" w:hAnsi="宋体" w:eastAsia="宋体" w:cs="宋体"/>
          <w:sz w:val="30"/>
          <w:szCs w:val="30"/>
          <w:highlight w:val="none"/>
        </w:rPr>
        <w:t>四、投标文件的递交</w:t>
      </w:r>
    </w:p>
    <w:bookmarkEnd w:id="48"/>
    <w:bookmarkEnd w:id="49"/>
    <w:p w14:paraId="6AB24F64">
      <w:pPr>
        <w:spacing w:line="360" w:lineRule="auto"/>
        <w:rPr>
          <w:rFonts w:ascii="宋体" w:hAnsi="宋体" w:cs="宋体"/>
          <w:b/>
          <w:szCs w:val="21"/>
          <w:highlight w:val="none"/>
        </w:rPr>
      </w:pPr>
      <w:r>
        <w:rPr>
          <w:rFonts w:hint="eastAsia" w:ascii="宋体" w:hAnsi="宋体" w:cs="宋体"/>
          <w:b/>
          <w:szCs w:val="21"/>
          <w:highlight w:val="none"/>
        </w:rPr>
        <w:t>18.投标文件的加密</w:t>
      </w:r>
    </w:p>
    <w:p w14:paraId="35B43276">
      <w:pPr>
        <w:spacing w:line="360" w:lineRule="auto"/>
        <w:ind w:firstLine="420" w:firstLineChars="200"/>
        <w:rPr>
          <w:rFonts w:ascii="宋体" w:hAnsi="宋体" w:cs="宋体"/>
          <w:szCs w:val="21"/>
          <w:highlight w:val="none"/>
        </w:rPr>
      </w:pPr>
      <w:r>
        <w:rPr>
          <w:rFonts w:hint="eastAsia" w:ascii="宋体" w:hAnsi="宋体" w:cs="宋体"/>
          <w:szCs w:val="21"/>
          <w:highlight w:val="none"/>
        </w:rPr>
        <w:t>18.1在生成电子投标文件时，需要使用CA锁对投标文件进行加密。</w:t>
      </w:r>
    </w:p>
    <w:p w14:paraId="10F8F37B">
      <w:pPr>
        <w:spacing w:line="360" w:lineRule="auto"/>
        <w:ind w:firstLine="420" w:firstLineChars="200"/>
        <w:rPr>
          <w:rFonts w:ascii="宋体" w:hAnsi="宋体" w:cs="宋体"/>
          <w:szCs w:val="21"/>
          <w:highlight w:val="none"/>
        </w:rPr>
      </w:pPr>
      <w:r>
        <w:rPr>
          <w:rFonts w:hint="eastAsia" w:ascii="宋体" w:hAnsi="宋体" w:cs="宋体"/>
          <w:szCs w:val="21"/>
          <w:highlight w:val="none"/>
        </w:rPr>
        <w:t>注意：加密投标文件和开标时解密投标文件应当使用同一CA，否则会导致解密失败。</w:t>
      </w:r>
    </w:p>
    <w:p w14:paraId="11D7F362">
      <w:pPr>
        <w:spacing w:line="360" w:lineRule="auto"/>
        <w:rPr>
          <w:rFonts w:ascii="宋体" w:hAnsi="宋体" w:cs="宋体"/>
          <w:b/>
          <w:szCs w:val="21"/>
          <w:highlight w:val="none"/>
        </w:rPr>
      </w:pPr>
      <w:r>
        <w:rPr>
          <w:rFonts w:hint="eastAsia" w:ascii="宋体" w:hAnsi="宋体" w:cs="宋体"/>
          <w:b/>
          <w:szCs w:val="21"/>
          <w:highlight w:val="none"/>
        </w:rPr>
        <w:t>19．投标文件递交方式和投标截止时间</w:t>
      </w:r>
    </w:p>
    <w:p w14:paraId="6D02DE0B">
      <w:pPr>
        <w:spacing w:line="360" w:lineRule="auto"/>
        <w:ind w:firstLine="420" w:firstLineChars="200"/>
        <w:rPr>
          <w:rFonts w:ascii="宋体" w:hAnsi="宋体" w:cs="宋体"/>
          <w:szCs w:val="21"/>
          <w:highlight w:val="none"/>
        </w:rPr>
      </w:pPr>
      <w:r>
        <w:rPr>
          <w:rFonts w:hint="eastAsia" w:ascii="宋体" w:hAnsi="宋体" w:cs="宋体"/>
          <w:szCs w:val="21"/>
          <w:highlight w:val="none"/>
        </w:rPr>
        <w:t>19.1电子投标文件可于提交投标文件截止时间前任意时段，登录西安市公共资源交易平台〖首页·〉电子交易平台·〉陕西政府采购交易系统·〉企业端〗，登录后切换到〖我的项目〗模块，依次点选〖项目流程·〉项目管理·〉上传响应文件〗，上传加密后的电子投标文件（（*.SXSTF）。上传成功后，西安市公共资源交易平台政府采购系统将予以记录。</w:t>
      </w:r>
    </w:p>
    <w:p w14:paraId="3F505773">
      <w:pPr>
        <w:spacing w:line="360" w:lineRule="auto"/>
        <w:ind w:firstLine="420" w:firstLineChars="200"/>
        <w:rPr>
          <w:rFonts w:ascii="宋体" w:hAnsi="宋体" w:cs="宋体"/>
          <w:szCs w:val="21"/>
          <w:highlight w:val="none"/>
        </w:rPr>
      </w:pPr>
      <w:r>
        <w:rPr>
          <w:rFonts w:hint="eastAsia" w:ascii="宋体" w:hAnsi="宋体" w:cs="宋体"/>
          <w:szCs w:val="21"/>
          <w:highlight w:val="none"/>
        </w:rPr>
        <w:t>上传文件有误或需要重新提交的，可先撤销已经上传的文件，然后重新上传新文件。</w:t>
      </w:r>
    </w:p>
    <w:p w14:paraId="7760454C">
      <w:pPr>
        <w:spacing w:line="360" w:lineRule="auto"/>
        <w:ind w:firstLine="420" w:firstLineChars="200"/>
        <w:rPr>
          <w:rFonts w:ascii="宋体" w:hAnsi="宋体" w:cs="宋体"/>
          <w:szCs w:val="21"/>
          <w:highlight w:val="none"/>
        </w:rPr>
      </w:pPr>
      <w:r>
        <w:rPr>
          <w:rFonts w:hint="eastAsia" w:ascii="宋体" w:hAnsi="宋体" w:cs="宋体"/>
          <w:szCs w:val="21"/>
          <w:highlight w:val="none"/>
        </w:rPr>
        <w:t>19.2 以邮寄方式递交投标文件的按照无效投标处理。</w:t>
      </w:r>
    </w:p>
    <w:p w14:paraId="1F72E420">
      <w:pPr>
        <w:spacing w:line="360" w:lineRule="auto"/>
        <w:ind w:firstLine="420" w:firstLineChars="200"/>
        <w:rPr>
          <w:rFonts w:ascii="宋体" w:hAnsi="宋体" w:cs="宋体"/>
          <w:szCs w:val="21"/>
          <w:highlight w:val="none"/>
        </w:rPr>
      </w:pPr>
      <w:r>
        <w:rPr>
          <w:rFonts w:hint="eastAsia" w:ascii="宋体" w:hAnsi="宋体" w:cs="宋体"/>
          <w:szCs w:val="21"/>
          <w:highlight w:val="none"/>
        </w:rPr>
        <w:t>19.3 逾期提交、误投或采用旧版电子招标文件的投标文件将被拒绝接收。</w:t>
      </w:r>
    </w:p>
    <w:p w14:paraId="7373A19C">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20．投标的修改与撤回</w:t>
      </w:r>
    </w:p>
    <w:p w14:paraId="59647944">
      <w:pPr>
        <w:spacing w:line="360" w:lineRule="auto"/>
        <w:ind w:firstLine="420" w:firstLineChars="200"/>
        <w:rPr>
          <w:rFonts w:ascii="宋体" w:hAnsi="宋体" w:cs="宋体"/>
          <w:szCs w:val="21"/>
          <w:highlight w:val="none"/>
        </w:rPr>
      </w:pPr>
      <w:r>
        <w:rPr>
          <w:rFonts w:hint="eastAsia" w:ascii="宋体" w:hAnsi="宋体" w:cs="宋体"/>
          <w:szCs w:val="21"/>
          <w:highlight w:val="none"/>
        </w:rPr>
        <w:t>20.1供应商在递交投标文件后，可以修改或撤回其投标文件。对已提交的电子投标文件进行补充、修改的，应先从电子交易平台上撤回旧文件，再重新提供新文件；中标后提交的纸质文件（备案用，若有要求）应从专用制作软件中直接打印，与电子投标文件保持一致，不允许补充和修改。</w:t>
      </w:r>
    </w:p>
    <w:p w14:paraId="40BD26DE">
      <w:pPr>
        <w:spacing w:line="360" w:lineRule="auto"/>
        <w:ind w:firstLine="420" w:firstLineChars="200"/>
        <w:rPr>
          <w:rFonts w:ascii="宋体" w:hAnsi="宋体" w:cs="宋体"/>
          <w:szCs w:val="21"/>
          <w:highlight w:val="none"/>
        </w:rPr>
      </w:pPr>
      <w:r>
        <w:rPr>
          <w:rFonts w:hint="eastAsia" w:ascii="宋体" w:hAnsi="宋体" w:cs="宋体"/>
          <w:szCs w:val="21"/>
          <w:highlight w:val="none"/>
        </w:rPr>
        <w:t>20.2投标文件的修改或重新提交应按本须知第17条和18条的规定编制和提交。</w:t>
      </w:r>
    </w:p>
    <w:p w14:paraId="7A996CA3">
      <w:pPr>
        <w:spacing w:line="360" w:lineRule="auto"/>
        <w:ind w:firstLine="420" w:firstLineChars="200"/>
        <w:rPr>
          <w:rFonts w:ascii="宋体" w:hAnsi="宋体" w:cs="宋体"/>
          <w:szCs w:val="21"/>
          <w:highlight w:val="none"/>
        </w:rPr>
      </w:pPr>
      <w:r>
        <w:rPr>
          <w:rFonts w:hint="eastAsia" w:ascii="宋体" w:hAnsi="宋体" w:cs="宋体"/>
          <w:szCs w:val="21"/>
          <w:highlight w:val="none"/>
        </w:rPr>
        <w:t>20.3 在投标截止时间之后，供应商不得对其投标做任何修改或撤回。</w:t>
      </w:r>
    </w:p>
    <w:p w14:paraId="62335B2E">
      <w:pPr>
        <w:spacing w:line="360" w:lineRule="auto"/>
        <w:ind w:firstLine="420" w:firstLineChars="200"/>
        <w:rPr>
          <w:rFonts w:ascii="宋体" w:hAnsi="宋体"/>
          <w:sz w:val="24"/>
          <w:szCs w:val="24"/>
          <w:highlight w:val="none"/>
        </w:rPr>
      </w:pPr>
      <w:r>
        <w:rPr>
          <w:rFonts w:hint="eastAsia" w:ascii="宋体" w:hAnsi="宋体" w:cs="宋体"/>
          <w:szCs w:val="21"/>
          <w:highlight w:val="none"/>
        </w:rPr>
        <w:t>20.4在开标之后，对于供应商正常经营活动必须的资质和其他证明文件原件（包括但不限于：营业执照、税务登记证、经营许可证、资质等级证书、中标通知书、合同等），经审查后予以退还。其他投标文件和资料一律不予退还。</w:t>
      </w:r>
    </w:p>
    <w:p w14:paraId="4CEB1195">
      <w:pPr>
        <w:spacing w:before="312" w:beforeLines="100" w:after="312" w:afterLines="100" w:line="360" w:lineRule="auto"/>
        <w:jc w:val="center"/>
        <w:rPr>
          <w:rStyle w:val="29"/>
          <w:rFonts w:ascii="宋体" w:hAnsi="宋体" w:eastAsia="宋体" w:cs="宋体"/>
          <w:sz w:val="30"/>
          <w:szCs w:val="30"/>
          <w:highlight w:val="none"/>
        </w:rPr>
      </w:pPr>
      <w:bookmarkStart w:id="50" w:name="_Toc30477"/>
      <w:bookmarkStart w:id="51" w:name="_Toc21768"/>
      <w:r>
        <w:rPr>
          <w:rStyle w:val="29"/>
          <w:rFonts w:hint="eastAsia" w:ascii="宋体" w:hAnsi="宋体" w:eastAsia="宋体" w:cs="宋体"/>
          <w:sz w:val="30"/>
          <w:szCs w:val="30"/>
          <w:highlight w:val="none"/>
        </w:rPr>
        <w:t>五、开标、审查与评标</w:t>
      </w:r>
    </w:p>
    <w:bookmarkEnd w:id="50"/>
    <w:bookmarkEnd w:id="51"/>
    <w:p w14:paraId="0D15274B">
      <w:pPr>
        <w:spacing w:line="360" w:lineRule="auto"/>
        <w:rPr>
          <w:rFonts w:ascii="宋体" w:hAnsi="宋体" w:cs="宋体"/>
          <w:b/>
          <w:szCs w:val="21"/>
          <w:highlight w:val="none"/>
        </w:rPr>
      </w:pPr>
      <w:r>
        <w:rPr>
          <w:rFonts w:hint="eastAsia" w:ascii="宋体" w:hAnsi="宋体" w:cs="宋体"/>
          <w:b/>
          <w:szCs w:val="21"/>
          <w:highlight w:val="none"/>
        </w:rPr>
        <w:t>21.开标</w:t>
      </w:r>
    </w:p>
    <w:p w14:paraId="4A00F6D2">
      <w:pPr>
        <w:spacing w:line="360" w:lineRule="auto"/>
        <w:ind w:firstLine="420" w:firstLineChars="200"/>
        <w:rPr>
          <w:rFonts w:ascii="宋体" w:hAnsi="宋体" w:cs="宋体"/>
          <w:szCs w:val="21"/>
          <w:highlight w:val="none"/>
        </w:rPr>
      </w:pPr>
      <w:r>
        <w:rPr>
          <w:rFonts w:hint="eastAsia" w:ascii="宋体" w:hAnsi="宋体" w:cs="宋体"/>
          <w:szCs w:val="21"/>
          <w:highlight w:val="none"/>
        </w:rPr>
        <w:t>21.1采购代理机构在规定的时间和地点组织公开开标。开标前，请各供应商至少提前半小时登录西安市公共资源交易平台〖首页·〉不见面开标〗系统。</w:t>
      </w:r>
    </w:p>
    <w:p w14:paraId="6612197C">
      <w:pPr>
        <w:spacing w:line="360" w:lineRule="auto"/>
        <w:ind w:firstLine="420" w:firstLineChars="200"/>
        <w:rPr>
          <w:rFonts w:ascii="宋体" w:hAnsi="宋体" w:cs="宋体"/>
          <w:szCs w:val="21"/>
          <w:highlight w:val="none"/>
        </w:rPr>
      </w:pPr>
      <w:r>
        <w:rPr>
          <w:rFonts w:hint="eastAsia" w:ascii="宋体" w:hAnsi="宋体" w:cs="宋体"/>
          <w:szCs w:val="21"/>
          <w:highlight w:val="none"/>
        </w:rPr>
        <w:t>21.2解密投标文件：收到主持人“开始解密”指令后，使用CA锁（必须与加密文件时的CA锁为同一把锁）在线对电子投标文件进行解密。除因“西安市公共资源交易中心”断电、断网、系统故障及其他不可抗力等因素，导致“不见面开标”系统无法正常运行外，供应商应在规定的解密时间内完成解密。</w:t>
      </w:r>
    </w:p>
    <w:p w14:paraId="7358E308">
      <w:pPr>
        <w:spacing w:line="360" w:lineRule="auto"/>
        <w:ind w:firstLine="420" w:firstLineChars="200"/>
        <w:rPr>
          <w:rFonts w:ascii="宋体" w:hAnsi="宋体" w:cs="宋体"/>
          <w:szCs w:val="21"/>
          <w:highlight w:val="none"/>
        </w:rPr>
      </w:pPr>
      <w:r>
        <w:rPr>
          <w:rFonts w:hint="eastAsia" w:ascii="宋体" w:hAnsi="宋体" w:cs="宋体"/>
          <w:szCs w:val="21"/>
          <w:highlight w:val="none"/>
        </w:rPr>
        <w:t>21.3唱标：详见“投标人须知前附表”。</w:t>
      </w:r>
    </w:p>
    <w:p w14:paraId="079F540D">
      <w:pPr>
        <w:spacing w:line="360" w:lineRule="auto"/>
        <w:ind w:firstLine="420" w:firstLineChars="200"/>
        <w:rPr>
          <w:rFonts w:ascii="宋体" w:hAnsi="宋体" w:cs="宋体"/>
          <w:szCs w:val="21"/>
          <w:highlight w:val="none"/>
        </w:rPr>
      </w:pPr>
      <w:r>
        <w:rPr>
          <w:rFonts w:hint="eastAsia" w:ascii="宋体" w:hAnsi="宋体" w:cs="宋体"/>
          <w:szCs w:val="21"/>
          <w:highlight w:val="none"/>
        </w:rPr>
        <w:t>21.4开标结束：进入评审环节。供应商请保持在线，评审期间评标委员会可能会要求供应商做相应的澄清。因供应商擅自离席造成的不利后果，由供应商自行承担。</w:t>
      </w:r>
    </w:p>
    <w:p w14:paraId="72760DA6">
      <w:pPr>
        <w:spacing w:line="360" w:lineRule="auto"/>
        <w:ind w:firstLine="420" w:firstLineChars="200"/>
        <w:rPr>
          <w:rFonts w:ascii="宋体" w:hAnsi="宋体" w:cs="宋体"/>
          <w:szCs w:val="21"/>
          <w:highlight w:val="none"/>
        </w:rPr>
      </w:pPr>
      <w:r>
        <w:rPr>
          <w:rFonts w:hint="eastAsia" w:ascii="宋体" w:hAnsi="宋体" w:cs="宋体"/>
          <w:szCs w:val="21"/>
          <w:highlight w:val="none"/>
        </w:rPr>
        <w:t>21.5“不见面开标”系统操作说明：详见西安市公共资源交易平台〖首页〉服务指南〉下载专区〗中的《政府采购项目投标文件制作软件及操作手册》。</w:t>
      </w:r>
    </w:p>
    <w:p w14:paraId="393311D3">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链接地址：</w:t>
      </w:r>
      <w:r>
        <w:rPr>
          <w:highlight w:val="none"/>
        </w:rPr>
        <w:fldChar w:fldCharType="begin"/>
      </w:r>
      <w:r>
        <w:rPr>
          <w:highlight w:val="none"/>
        </w:rPr>
        <w:instrText xml:space="preserve"> HYPERLINK "http://sxggzyjy.xa.gov.cn/fwzn/004003/20181115/4d59c184-e8f6-4d5a-a416-c2f6b0601e66.html" </w:instrText>
      </w:r>
      <w:r>
        <w:rPr>
          <w:highlight w:val="none"/>
        </w:rPr>
        <w:fldChar w:fldCharType="separate"/>
      </w:r>
      <w:r>
        <w:rPr>
          <w:rFonts w:hint="eastAsia" w:ascii="宋体" w:hAnsi="宋体" w:cs="宋体"/>
          <w:szCs w:val="21"/>
          <w:highlight w:val="none"/>
        </w:rPr>
        <w:t>http://sxggzyjy.xa.gov.cn/fwzn/004003/20181115/4d59c184-e8f6-4d5a-a416-c2f6b0601e66.html</w:t>
      </w:r>
      <w:r>
        <w:rPr>
          <w:rFonts w:hint="eastAsia" w:ascii="宋体" w:hAnsi="宋体" w:cs="宋体"/>
          <w:szCs w:val="21"/>
          <w:highlight w:val="none"/>
        </w:rPr>
        <w:fldChar w:fldCharType="end"/>
      </w:r>
      <w:r>
        <w:rPr>
          <w:rFonts w:hint="eastAsia" w:ascii="宋体" w:hAnsi="宋体" w:cs="宋体"/>
          <w:szCs w:val="21"/>
          <w:highlight w:val="none"/>
        </w:rPr>
        <w:t>。</w:t>
      </w:r>
    </w:p>
    <w:p w14:paraId="55C00FA6">
      <w:pPr>
        <w:spacing w:line="360" w:lineRule="auto"/>
        <w:ind w:firstLine="420" w:firstLineChars="200"/>
        <w:rPr>
          <w:rFonts w:ascii="宋体" w:hAnsi="宋体" w:cs="宋体"/>
          <w:szCs w:val="21"/>
          <w:highlight w:val="none"/>
        </w:rPr>
      </w:pPr>
      <w:r>
        <w:rPr>
          <w:rFonts w:hint="eastAsia" w:ascii="宋体" w:hAnsi="宋体" w:cs="宋体"/>
          <w:szCs w:val="21"/>
          <w:highlight w:val="none"/>
        </w:rPr>
        <w:t>21.6开标结束后，采购人或者采购代理机构将依法对投标人的资格和投标保证金缴纳情况进行审查。合格投标人不足三家的，不进行评标。</w:t>
      </w:r>
    </w:p>
    <w:p w14:paraId="6A283FED">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22．评标组织及评标原则</w:t>
      </w:r>
    </w:p>
    <w:p w14:paraId="0CF76011">
      <w:pPr>
        <w:spacing w:line="360" w:lineRule="auto"/>
        <w:ind w:firstLine="525" w:firstLineChars="250"/>
        <w:rPr>
          <w:rFonts w:ascii="宋体" w:hAnsi="宋体" w:cs="宋体"/>
          <w:szCs w:val="21"/>
          <w:highlight w:val="none"/>
        </w:rPr>
      </w:pPr>
      <w:r>
        <w:rPr>
          <w:rFonts w:hint="eastAsia" w:ascii="宋体" w:hAnsi="宋体" w:cs="宋体"/>
          <w:szCs w:val="21"/>
          <w:highlight w:val="none"/>
        </w:rPr>
        <w:t>22.1按照《中华人民共和国政府采购法》、《中华人民共和国政府采购法实施条例》和《政府采购货物和服务招标投标管理办法》的规定，依法组建评标委员会。评标委员会按照招标文件规定的评标方法独立进行评标工作。</w:t>
      </w:r>
    </w:p>
    <w:p w14:paraId="046B9A1F">
      <w:pPr>
        <w:spacing w:line="360" w:lineRule="auto"/>
        <w:ind w:firstLine="525" w:firstLineChars="250"/>
        <w:rPr>
          <w:rFonts w:ascii="宋体" w:hAnsi="宋体" w:cs="宋体"/>
          <w:szCs w:val="21"/>
          <w:highlight w:val="none"/>
        </w:rPr>
      </w:pPr>
      <w:r>
        <w:rPr>
          <w:rFonts w:hint="eastAsia" w:ascii="宋体" w:hAnsi="宋体" w:cs="宋体"/>
          <w:szCs w:val="21"/>
          <w:highlight w:val="none"/>
        </w:rPr>
        <w:t>22.2招标文件和投标文件是评标的依据。在评标中，不得改变招标文件中规定的评标标准、方法和中标条件。供应商不得在开标后使用任何方式对投标文件的实质性内容做任何更改。</w:t>
      </w:r>
    </w:p>
    <w:p w14:paraId="13B84EE6">
      <w:pPr>
        <w:spacing w:line="360" w:lineRule="auto"/>
        <w:ind w:firstLine="525" w:firstLineChars="250"/>
        <w:rPr>
          <w:rFonts w:ascii="宋体" w:hAnsi="宋体" w:cs="宋体"/>
          <w:szCs w:val="21"/>
          <w:highlight w:val="none"/>
        </w:rPr>
      </w:pPr>
      <w:r>
        <w:rPr>
          <w:rFonts w:hint="eastAsia" w:ascii="宋体" w:hAnsi="宋体" w:cs="宋体"/>
          <w:szCs w:val="21"/>
          <w:highlight w:val="none"/>
        </w:rPr>
        <w:t>22.3在评标期间，对于投标文件中含义不明确、同类问题表述不一致或者有明显文字和计算错误的内容，评标委员会应当以书面形式（由评标委员会专家签字）要求供应商做出必要的澄清、说明或者纠正。供应商的澄清、说明或者补正应当采用书面形式，并由其法人代表或授权代表签署全名。供应商的澄清、说明或者补正不得超出投标文件的范围或者改变投标文件的实质性内容。</w:t>
      </w:r>
    </w:p>
    <w:p w14:paraId="276EFA05">
      <w:pPr>
        <w:spacing w:line="360" w:lineRule="auto"/>
        <w:ind w:firstLine="525" w:firstLineChars="250"/>
        <w:rPr>
          <w:rFonts w:ascii="宋体" w:hAnsi="宋体" w:cs="宋体"/>
          <w:szCs w:val="21"/>
          <w:highlight w:val="none"/>
        </w:rPr>
      </w:pPr>
      <w:r>
        <w:rPr>
          <w:rFonts w:hint="eastAsia" w:ascii="宋体" w:hAnsi="宋体" w:cs="宋体"/>
          <w:szCs w:val="21"/>
          <w:highlight w:val="none"/>
        </w:rPr>
        <w:t>22.4如果供应商在规定时限内，未能答复或拒绝答复评委会提出的澄清、说明或者补正的要求，将由评委会根据其投标文件按最大风险进行评标。</w:t>
      </w:r>
    </w:p>
    <w:p w14:paraId="3BBAAE81">
      <w:pPr>
        <w:spacing w:line="360" w:lineRule="auto"/>
        <w:rPr>
          <w:rFonts w:ascii="宋体" w:hAnsi="宋体" w:cs="宋体"/>
          <w:b/>
          <w:szCs w:val="21"/>
          <w:highlight w:val="none"/>
        </w:rPr>
      </w:pPr>
      <w:r>
        <w:rPr>
          <w:rFonts w:hint="eastAsia" w:ascii="宋体" w:hAnsi="宋体" w:cs="宋体"/>
          <w:b/>
          <w:szCs w:val="21"/>
          <w:highlight w:val="none"/>
        </w:rPr>
        <w:t>23．评标过程的保密</w:t>
      </w:r>
    </w:p>
    <w:p w14:paraId="413FC088">
      <w:pPr>
        <w:spacing w:line="360" w:lineRule="auto"/>
        <w:ind w:firstLine="525" w:firstLineChars="250"/>
        <w:rPr>
          <w:rFonts w:ascii="宋体" w:hAnsi="宋体" w:cs="宋体"/>
          <w:szCs w:val="21"/>
          <w:highlight w:val="none"/>
        </w:rPr>
      </w:pPr>
      <w:r>
        <w:rPr>
          <w:rFonts w:hint="eastAsia" w:ascii="宋体" w:hAnsi="宋体" w:cs="宋体"/>
          <w:szCs w:val="21"/>
          <w:highlight w:val="none"/>
        </w:rPr>
        <w:t>23.1评标委员会成员、采购人与采购代理机构有关人员对评标情况以及在评标过程中获悉的国家秘密、商业秘密负有保密责任。</w:t>
      </w:r>
    </w:p>
    <w:p w14:paraId="033D457A">
      <w:pPr>
        <w:spacing w:line="360" w:lineRule="auto"/>
        <w:ind w:firstLine="525" w:firstLineChars="250"/>
        <w:rPr>
          <w:rFonts w:ascii="宋体" w:hAnsi="宋体" w:cs="宋体"/>
          <w:szCs w:val="21"/>
          <w:highlight w:val="none"/>
        </w:rPr>
      </w:pPr>
      <w:r>
        <w:rPr>
          <w:rFonts w:hint="eastAsia" w:ascii="宋体" w:hAnsi="宋体" w:cs="宋体"/>
          <w:szCs w:val="21"/>
          <w:highlight w:val="none"/>
        </w:rPr>
        <w:t>23.2在评标过程中，如果供应商试图在投标文件的评审和比较、中标候选人的推荐以及与评标有关的其他方面，向评标人、采购人和采购代理机构施加任何影响，其投标将按照无效投标处理。</w:t>
      </w:r>
    </w:p>
    <w:p w14:paraId="63CC7417">
      <w:pPr>
        <w:spacing w:line="360" w:lineRule="auto"/>
        <w:rPr>
          <w:rFonts w:ascii="宋体" w:hAnsi="宋体" w:cs="宋体"/>
          <w:b/>
          <w:szCs w:val="21"/>
          <w:highlight w:val="none"/>
        </w:rPr>
      </w:pPr>
      <w:r>
        <w:rPr>
          <w:rFonts w:hint="eastAsia" w:ascii="宋体" w:hAnsi="宋体" w:cs="宋体"/>
          <w:b/>
          <w:szCs w:val="21"/>
          <w:highlight w:val="none"/>
        </w:rPr>
        <w:t>24．评标方法</w:t>
      </w:r>
    </w:p>
    <w:p w14:paraId="24942FC9">
      <w:pPr>
        <w:spacing w:line="360" w:lineRule="auto"/>
        <w:ind w:firstLine="525" w:firstLineChars="250"/>
        <w:rPr>
          <w:rFonts w:ascii="宋体" w:hAnsi="宋体" w:cs="宋体"/>
          <w:szCs w:val="21"/>
          <w:highlight w:val="none"/>
        </w:rPr>
      </w:pPr>
      <w:r>
        <w:rPr>
          <w:rFonts w:hint="eastAsia" w:ascii="宋体" w:hAnsi="宋体" w:cs="宋体"/>
          <w:szCs w:val="21"/>
          <w:highlight w:val="none"/>
        </w:rPr>
        <w:t>24.1按照《中华人民共和国政府采购法》、《中华人民共和国政府采购法实施条例》和《政府采购货物和服务招标投标管理办法》的规定，本次评标采用以下评标方法中的一种：具体见“投标人须知前附表”。</w:t>
      </w:r>
    </w:p>
    <w:p w14:paraId="17227520">
      <w:pPr>
        <w:spacing w:line="360" w:lineRule="auto"/>
        <w:ind w:firstLine="525" w:firstLineChars="250"/>
        <w:rPr>
          <w:rFonts w:ascii="宋体" w:hAnsi="宋体" w:cs="宋体"/>
          <w:szCs w:val="21"/>
          <w:highlight w:val="none"/>
        </w:rPr>
      </w:pPr>
      <w:r>
        <w:rPr>
          <w:rFonts w:hint="eastAsia" w:ascii="宋体" w:hAnsi="宋体" w:cs="宋体"/>
          <w:szCs w:val="21"/>
          <w:highlight w:val="none"/>
        </w:rPr>
        <w:t>1） 最低评标价法，是指投标文件满足招标文件全部实质性要求，且投标报价最低的投标人为中标候选人的评标方法。</w:t>
      </w:r>
    </w:p>
    <w:p w14:paraId="396286CB">
      <w:pPr>
        <w:spacing w:line="360" w:lineRule="auto"/>
        <w:ind w:firstLine="525" w:firstLineChars="250"/>
        <w:rPr>
          <w:rFonts w:ascii="宋体" w:hAnsi="宋体" w:cs="宋体"/>
          <w:szCs w:val="21"/>
          <w:highlight w:val="none"/>
        </w:rPr>
      </w:pPr>
      <w:r>
        <w:rPr>
          <w:rFonts w:hint="eastAsia" w:ascii="宋体" w:hAnsi="宋体" w:cs="宋体"/>
          <w:szCs w:val="21"/>
          <w:highlight w:val="none"/>
        </w:rPr>
        <w:t>2） 综合评分法，是指投标文件满足招标文件全部实质性要求，且按照评审因素的量化指标评审得分最高的投标人为中标候选人的评标方法。</w:t>
      </w:r>
    </w:p>
    <w:p w14:paraId="08491919">
      <w:pPr>
        <w:spacing w:line="360" w:lineRule="auto"/>
        <w:rPr>
          <w:rFonts w:ascii="宋体" w:hAnsi="宋体" w:cs="宋体"/>
          <w:b/>
          <w:szCs w:val="21"/>
          <w:highlight w:val="none"/>
        </w:rPr>
      </w:pPr>
      <w:r>
        <w:rPr>
          <w:rFonts w:hint="eastAsia" w:ascii="宋体" w:hAnsi="宋体" w:cs="宋体"/>
          <w:b/>
          <w:szCs w:val="21"/>
          <w:highlight w:val="none"/>
        </w:rPr>
        <w:t>25．评标程序</w:t>
      </w:r>
    </w:p>
    <w:p w14:paraId="5F9D0099">
      <w:pPr>
        <w:spacing w:line="360" w:lineRule="auto"/>
        <w:ind w:firstLine="420" w:firstLineChars="200"/>
        <w:rPr>
          <w:rFonts w:ascii="宋体" w:hAnsi="宋体" w:cs="宋体"/>
          <w:szCs w:val="21"/>
          <w:highlight w:val="none"/>
        </w:rPr>
      </w:pPr>
      <w:r>
        <w:rPr>
          <w:rFonts w:hint="eastAsia" w:ascii="宋体" w:hAnsi="宋体" w:cs="宋体"/>
          <w:szCs w:val="21"/>
          <w:highlight w:val="none"/>
        </w:rPr>
        <w:t>评标程序为投标文件审查、澄清、比较与评价、确定中标候选人名单。</w:t>
      </w:r>
    </w:p>
    <w:p w14:paraId="083E0DC0">
      <w:pPr>
        <w:spacing w:before="312" w:beforeLines="100" w:after="312" w:afterLines="100" w:line="360" w:lineRule="auto"/>
        <w:jc w:val="center"/>
        <w:rPr>
          <w:rStyle w:val="29"/>
          <w:rFonts w:ascii="宋体" w:hAnsi="宋体" w:eastAsia="宋体" w:cs="宋体"/>
          <w:sz w:val="30"/>
          <w:szCs w:val="30"/>
          <w:highlight w:val="none"/>
        </w:rPr>
      </w:pPr>
      <w:bookmarkStart w:id="52" w:name="_Toc11854"/>
      <w:bookmarkStart w:id="53" w:name="_Toc4990"/>
      <w:r>
        <w:rPr>
          <w:rStyle w:val="29"/>
          <w:rFonts w:hint="eastAsia" w:ascii="宋体" w:hAnsi="宋体" w:eastAsia="宋体" w:cs="宋体"/>
          <w:sz w:val="30"/>
          <w:szCs w:val="30"/>
          <w:highlight w:val="none"/>
        </w:rPr>
        <w:t>六、定标、中标通知与签约</w:t>
      </w:r>
    </w:p>
    <w:bookmarkEnd w:id="52"/>
    <w:bookmarkEnd w:id="53"/>
    <w:p w14:paraId="7AA9E2B0">
      <w:pPr>
        <w:spacing w:line="360" w:lineRule="auto"/>
        <w:rPr>
          <w:rFonts w:ascii="宋体" w:hAnsi="宋体" w:cs="宋体"/>
          <w:b/>
          <w:szCs w:val="21"/>
          <w:highlight w:val="none"/>
        </w:rPr>
      </w:pPr>
      <w:r>
        <w:rPr>
          <w:rFonts w:hint="eastAsia" w:ascii="宋体" w:hAnsi="宋体" w:cs="宋体"/>
          <w:b/>
          <w:szCs w:val="21"/>
          <w:highlight w:val="none"/>
        </w:rPr>
        <w:t>26．定标</w:t>
      </w:r>
    </w:p>
    <w:p w14:paraId="6226E6F0">
      <w:pPr>
        <w:spacing w:line="360" w:lineRule="auto"/>
        <w:ind w:firstLine="420" w:firstLineChars="200"/>
        <w:rPr>
          <w:rFonts w:ascii="宋体" w:hAnsi="宋体" w:cs="宋体"/>
          <w:szCs w:val="21"/>
          <w:highlight w:val="none"/>
        </w:rPr>
      </w:pPr>
      <w:r>
        <w:rPr>
          <w:rFonts w:hint="eastAsia" w:ascii="宋体" w:hAnsi="宋体" w:cs="宋体"/>
          <w:szCs w:val="21"/>
          <w:highlight w:val="none"/>
        </w:rPr>
        <w:t>26.1评委会根据评标方法的规定对供应商进行评审排序，推荐1～3名中标候选人，作为评标结果。评标结果由全体评委签字确认。</w:t>
      </w:r>
    </w:p>
    <w:p w14:paraId="5276F33A">
      <w:pPr>
        <w:spacing w:line="360" w:lineRule="auto"/>
        <w:ind w:firstLine="420" w:firstLineChars="200"/>
        <w:rPr>
          <w:rFonts w:ascii="宋体" w:hAnsi="宋体" w:cs="宋体"/>
          <w:szCs w:val="21"/>
          <w:highlight w:val="none"/>
        </w:rPr>
      </w:pPr>
      <w:r>
        <w:rPr>
          <w:rFonts w:hint="eastAsia" w:ascii="宋体" w:hAnsi="宋体" w:cs="宋体"/>
          <w:szCs w:val="21"/>
          <w:highlight w:val="none"/>
        </w:rPr>
        <w:t>26.2采购人应当自收到评标报告之日起5个工作日内，在评标报告确定的中标候选人名单中按顺序确定中标供应商。中标候选人并列的，由采购人自行确定中标供应商。</w:t>
      </w:r>
    </w:p>
    <w:p w14:paraId="6476AB1A">
      <w:pPr>
        <w:spacing w:line="360" w:lineRule="auto"/>
        <w:ind w:firstLine="420" w:firstLineChars="200"/>
        <w:rPr>
          <w:rFonts w:ascii="宋体" w:hAnsi="宋体" w:cs="宋体"/>
          <w:szCs w:val="21"/>
          <w:highlight w:val="none"/>
        </w:rPr>
      </w:pPr>
      <w:r>
        <w:rPr>
          <w:rFonts w:hint="eastAsia" w:ascii="宋体" w:hAnsi="宋体" w:cs="宋体"/>
          <w:szCs w:val="21"/>
          <w:highlight w:val="none"/>
        </w:rPr>
        <w:t>26.3</w:t>
      </w:r>
      <w:r>
        <w:rPr>
          <w:rFonts w:hint="eastAsia" w:ascii="宋体" w:hAnsi="宋体" w:cs="宋体"/>
          <w:spacing w:val="4"/>
          <w:szCs w:val="21"/>
          <w:highlight w:val="none"/>
        </w:rPr>
        <w:t>采购人也可以委托评委会直接确定中标供应商。</w:t>
      </w:r>
    </w:p>
    <w:p w14:paraId="23A722C6">
      <w:pPr>
        <w:spacing w:line="360" w:lineRule="auto"/>
        <w:ind w:firstLine="420" w:firstLineChars="200"/>
        <w:rPr>
          <w:rFonts w:ascii="宋体" w:hAnsi="宋体" w:cs="宋体"/>
          <w:szCs w:val="21"/>
          <w:highlight w:val="none"/>
        </w:rPr>
      </w:pPr>
      <w:r>
        <w:rPr>
          <w:rFonts w:hint="eastAsia" w:ascii="宋体" w:hAnsi="宋体" w:cs="宋体"/>
          <w:szCs w:val="21"/>
          <w:highlight w:val="none"/>
        </w:rPr>
        <w:t>26.4中标人确定之后，中标结果将在省级以上财政部门指定的媒体上公告，如果中标人为小微企业或残疾人福利性单位的，将同时公告其《中小企业声明函》或《残疾人福利性单位声明函》。</w:t>
      </w:r>
    </w:p>
    <w:p w14:paraId="1CBE5A18">
      <w:pPr>
        <w:spacing w:line="360" w:lineRule="auto"/>
        <w:ind w:firstLine="420" w:firstLineChars="200"/>
        <w:rPr>
          <w:rFonts w:ascii="宋体" w:hAnsi="宋体" w:cs="宋体"/>
          <w:szCs w:val="21"/>
          <w:highlight w:val="none"/>
        </w:rPr>
      </w:pPr>
      <w:r>
        <w:rPr>
          <w:rFonts w:hint="eastAsia" w:ascii="宋体" w:hAnsi="宋体" w:cs="宋体"/>
          <w:szCs w:val="21"/>
          <w:highlight w:val="none"/>
        </w:rPr>
        <w:t>26.5供应商对中标公告有异议的，按照《中华人民共和国政府采购法》第五十二条之规定执行。提出质疑的供应商应当有明确的请求和必要的证明材料，应保证提出的质疑内容及相应证明材料的真实性及来源的合法性，并承担相应的法律责任。</w:t>
      </w:r>
    </w:p>
    <w:p w14:paraId="320E3722">
      <w:pPr>
        <w:spacing w:line="360" w:lineRule="auto"/>
        <w:ind w:firstLine="420" w:firstLineChars="200"/>
        <w:rPr>
          <w:rFonts w:ascii="宋体" w:hAnsi="宋体" w:cs="宋体"/>
          <w:szCs w:val="21"/>
          <w:highlight w:val="none"/>
        </w:rPr>
      </w:pPr>
      <w:r>
        <w:rPr>
          <w:rFonts w:hint="eastAsia" w:ascii="宋体" w:hAnsi="宋体" w:cs="宋体"/>
          <w:szCs w:val="21"/>
          <w:highlight w:val="none"/>
        </w:rPr>
        <w:t>26.6中标供应商拒绝与采购人签订合同的，采购人可以按照评审报告推荐的中标候选人名单排序，确定下一候选人为中标供应商，也可以重新开展政府采购活动。</w:t>
      </w:r>
    </w:p>
    <w:p w14:paraId="1058D5D0">
      <w:pPr>
        <w:spacing w:line="360" w:lineRule="auto"/>
        <w:ind w:firstLine="420" w:firstLineChars="200"/>
        <w:rPr>
          <w:rFonts w:ascii="宋体" w:hAnsi="宋体" w:cs="宋体"/>
          <w:szCs w:val="21"/>
          <w:highlight w:val="none"/>
        </w:rPr>
      </w:pPr>
      <w:r>
        <w:rPr>
          <w:rFonts w:hint="eastAsia" w:ascii="宋体" w:hAnsi="宋体" w:cs="宋体"/>
          <w:szCs w:val="21"/>
          <w:highlight w:val="none"/>
        </w:rPr>
        <w:t>26.7关于本次评标的特别规定（见“供应商须知前附表）。</w:t>
      </w:r>
    </w:p>
    <w:p w14:paraId="3E152344">
      <w:pPr>
        <w:spacing w:line="360" w:lineRule="auto"/>
        <w:rPr>
          <w:rFonts w:ascii="宋体" w:hAnsi="宋体" w:cs="宋体"/>
          <w:b/>
          <w:szCs w:val="21"/>
          <w:highlight w:val="none"/>
        </w:rPr>
      </w:pPr>
      <w:r>
        <w:rPr>
          <w:rFonts w:hint="eastAsia" w:ascii="宋体" w:hAnsi="宋体" w:cs="宋体"/>
          <w:b/>
          <w:szCs w:val="21"/>
          <w:highlight w:val="none"/>
        </w:rPr>
        <w:t>27．中标与落标通知</w:t>
      </w:r>
    </w:p>
    <w:p w14:paraId="20702570">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27.1中标供应商确定之后，西北（陕西）国际招标有限公司将发出《中标通知书》。 </w:t>
      </w:r>
    </w:p>
    <w:p w14:paraId="35D8ED5D">
      <w:pPr>
        <w:spacing w:line="360" w:lineRule="auto"/>
        <w:ind w:firstLine="420" w:firstLineChars="200"/>
        <w:rPr>
          <w:rFonts w:ascii="宋体" w:hAnsi="宋体" w:cs="宋体"/>
          <w:szCs w:val="21"/>
          <w:highlight w:val="none"/>
        </w:rPr>
      </w:pPr>
      <w:r>
        <w:rPr>
          <w:rFonts w:hint="eastAsia" w:ascii="宋体" w:hAnsi="宋体" w:cs="宋体"/>
          <w:szCs w:val="21"/>
          <w:highlight w:val="none"/>
        </w:rPr>
        <w:t>27.2中标通知书对采购人和中标供应商具有同等法律效力。中标通知书发出之后，采购人改变中标结果，或者中标供应商放弃中标，应当承担相应的法律责任。</w:t>
      </w:r>
    </w:p>
    <w:p w14:paraId="10CF3A49">
      <w:pPr>
        <w:spacing w:line="360" w:lineRule="auto"/>
        <w:ind w:firstLine="420" w:firstLineChars="200"/>
        <w:rPr>
          <w:rFonts w:ascii="宋体" w:hAnsi="宋体" w:cs="宋体"/>
          <w:szCs w:val="21"/>
          <w:highlight w:val="none"/>
        </w:rPr>
      </w:pPr>
      <w:r>
        <w:rPr>
          <w:rFonts w:hint="eastAsia" w:ascii="宋体" w:hAnsi="宋体" w:cs="宋体"/>
          <w:szCs w:val="21"/>
          <w:highlight w:val="none"/>
        </w:rPr>
        <w:t>27.3 中标通知书发出后五个工作日内，西北（陕西）国际招标有限公司将通知未中标的供应商，并由西北（陕西）国际招标有限公司退还其投标保证金。中标供应商的投标保证金将在合同签订之后五个工作日内退还。</w:t>
      </w:r>
    </w:p>
    <w:p w14:paraId="53277B88">
      <w:pPr>
        <w:spacing w:line="360" w:lineRule="auto"/>
        <w:rPr>
          <w:rFonts w:ascii="宋体" w:hAnsi="宋体" w:cs="宋体"/>
          <w:b/>
          <w:szCs w:val="21"/>
          <w:highlight w:val="none"/>
        </w:rPr>
      </w:pPr>
      <w:r>
        <w:rPr>
          <w:rFonts w:hint="eastAsia" w:ascii="宋体" w:hAnsi="宋体" w:cs="宋体"/>
          <w:b/>
          <w:szCs w:val="21"/>
          <w:highlight w:val="none"/>
        </w:rPr>
        <w:t>28. 中标合同的签订</w:t>
      </w:r>
    </w:p>
    <w:p w14:paraId="330965A0">
      <w:pPr>
        <w:spacing w:line="360" w:lineRule="auto"/>
        <w:ind w:firstLine="420" w:firstLineChars="200"/>
        <w:rPr>
          <w:rFonts w:ascii="宋体" w:hAnsi="宋体" w:cs="宋体"/>
          <w:szCs w:val="21"/>
          <w:highlight w:val="none"/>
        </w:rPr>
      </w:pPr>
      <w:r>
        <w:rPr>
          <w:rFonts w:hint="eastAsia" w:ascii="宋体" w:hAnsi="宋体" w:cs="宋体"/>
          <w:szCs w:val="21"/>
          <w:highlight w:val="none"/>
        </w:rPr>
        <w:t>28.1采购人应当自中标通知书发出之日起三十日内，按照招标文件和中标供应商投标文件（包括评标中形成的澄清文件）的规定，与中标供应商签订书面合同。所签订的合同不得对招标文件确定的事项和中标供应商投标文件作实质性修改。</w:t>
      </w:r>
    </w:p>
    <w:p w14:paraId="5FD2655A">
      <w:pPr>
        <w:spacing w:line="360" w:lineRule="auto"/>
        <w:ind w:firstLine="420" w:firstLineChars="200"/>
        <w:rPr>
          <w:rFonts w:ascii="宋体" w:hAnsi="宋体" w:cs="宋体"/>
          <w:szCs w:val="21"/>
          <w:highlight w:val="none"/>
        </w:rPr>
      </w:pPr>
      <w:r>
        <w:rPr>
          <w:rFonts w:hint="eastAsia" w:ascii="宋体" w:hAnsi="宋体" w:cs="宋体"/>
          <w:szCs w:val="21"/>
          <w:highlight w:val="none"/>
        </w:rPr>
        <w:t>28.2采购人自政府采购合同签订之日起2个工作日内，将政府采购合同在省级以上人民政府财政部门指定的媒体上公告，但政府采购合同中涉及国家秘密、商业秘密的内容除外。</w:t>
      </w:r>
    </w:p>
    <w:p w14:paraId="3A956B27">
      <w:pPr>
        <w:spacing w:line="360" w:lineRule="auto"/>
        <w:rPr>
          <w:rFonts w:ascii="宋体" w:hAnsi="宋体" w:cs="宋体"/>
          <w:b/>
          <w:szCs w:val="21"/>
          <w:highlight w:val="none"/>
        </w:rPr>
      </w:pPr>
      <w:r>
        <w:rPr>
          <w:rFonts w:hint="eastAsia" w:ascii="宋体" w:hAnsi="宋体" w:cs="宋体"/>
          <w:b/>
          <w:szCs w:val="21"/>
          <w:highlight w:val="none"/>
        </w:rPr>
        <w:t>29．中标合同的履约验收</w:t>
      </w:r>
    </w:p>
    <w:p w14:paraId="7DE35E78">
      <w:pPr>
        <w:spacing w:line="360" w:lineRule="auto"/>
        <w:ind w:firstLine="420" w:firstLineChars="200"/>
        <w:rPr>
          <w:rFonts w:ascii="宋体" w:hAnsi="宋体" w:cs="宋体"/>
          <w:szCs w:val="21"/>
          <w:highlight w:val="none"/>
        </w:rPr>
      </w:pPr>
      <w:r>
        <w:rPr>
          <w:rFonts w:hint="eastAsia" w:ascii="宋体" w:hAnsi="宋体" w:cs="宋体"/>
          <w:szCs w:val="21"/>
          <w:highlight w:val="none"/>
        </w:rPr>
        <w:t>29.1</w:t>
      </w:r>
      <w:r>
        <w:rPr>
          <w:rFonts w:hint="eastAsia" w:ascii="宋体" w:hAnsi="宋体" w:cs="宋体"/>
          <w:kern w:val="0"/>
          <w:szCs w:val="21"/>
          <w:highlight w:val="none"/>
        </w:rPr>
        <w:t>政府采购合同的履行、违约责任和解决争议的方法等适用《中华人民共和国民法典》。</w:t>
      </w:r>
      <w:r>
        <w:rPr>
          <w:rFonts w:hint="eastAsia" w:ascii="宋体" w:hAnsi="宋体" w:cs="宋体"/>
          <w:szCs w:val="21"/>
          <w:highlight w:val="none"/>
        </w:rPr>
        <w:t>采购人按照政府采购合同规定的技术、服务、安全标准组织对供应商履约情况进行验收，并出具验收书。</w:t>
      </w:r>
    </w:p>
    <w:p w14:paraId="06E4724A">
      <w:pPr>
        <w:spacing w:line="360" w:lineRule="auto"/>
        <w:rPr>
          <w:rFonts w:ascii="宋体" w:hAnsi="宋体" w:cs="宋体"/>
          <w:b/>
          <w:szCs w:val="21"/>
          <w:highlight w:val="none"/>
        </w:rPr>
      </w:pPr>
      <w:r>
        <w:rPr>
          <w:rFonts w:hint="eastAsia" w:ascii="宋体" w:hAnsi="宋体" w:cs="宋体"/>
          <w:b/>
          <w:szCs w:val="21"/>
          <w:highlight w:val="none"/>
        </w:rPr>
        <w:t>30．招标代理服务费</w:t>
      </w:r>
    </w:p>
    <w:p w14:paraId="1CA52F99">
      <w:pPr>
        <w:spacing w:line="360" w:lineRule="auto"/>
        <w:ind w:firstLine="420" w:firstLineChars="200"/>
        <w:rPr>
          <w:rFonts w:ascii="宋体" w:hAnsi="宋体" w:cs="宋体"/>
          <w:szCs w:val="21"/>
          <w:highlight w:val="none"/>
        </w:rPr>
      </w:pPr>
      <w:r>
        <w:rPr>
          <w:rFonts w:hint="eastAsia" w:ascii="宋体" w:hAnsi="宋体" w:cs="宋体"/>
          <w:szCs w:val="21"/>
          <w:highlight w:val="none"/>
        </w:rPr>
        <w:t>30.1中标供应商应在收到中标通知书3日内，向西北（陕西）国际招标有限公司一次性支付招标代理服务费。</w:t>
      </w:r>
    </w:p>
    <w:p w14:paraId="0E7CA796">
      <w:pPr>
        <w:spacing w:line="360" w:lineRule="auto"/>
        <w:ind w:firstLine="420" w:firstLineChars="200"/>
        <w:rPr>
          <w:rFonts w:ascii="宋体" w:hAnsi="宋体" w:cs="宋体"/>
          <w:szCs w:val="21"/>
          <w:highlight w:val="none"/>
        </w:rPr>
      </w:pPr>
      <w:r>
        <w:rPr>
          <w:rFonts w:hint="eastAsia" w:ascii="宋体" w:hAnsi="宋体" w:cs="宋体"/>
          <w:szCs w:val="21"/>
          <w:highlight w:val="none"/>
        </w:rPr>
        <w:t>30.2招标代理服务费的金额见前附表。</w:t>
      </w:r>
    </w:p>
    <w:p w14:paraId="05E69E79">
      <w:pPr>
        <w:spacing w:line="360" w:lineRule="auto"/>
        <w:rPr>
          <w:rFonts w:ascii="宋体" w:hAnsi="宋体" w:cs="宋体"/>
          <w:b/>
          <w:szCs w:val="21"/>
          <w:highlight w:val="none"/>
        </w:rPr>
      </w:pPr>
      <w:r>
        <w:rPr>
          <w:rFonts w:hint="eastAsia" w:ascii="宋体" w:hAnsi="宋体" w:cs="宋体"/>
          <w:b/>
          <w:szCs w:val="21"/>
          <w:highlight w:val="none"/>
        </w:rPr>
        <w:t>31.废标与采购方式的变更</w:t>
      </w:r>
    </w:p>
    <w:p w14:paraId="79A49C14">
      <w:pPr>
        <w:spacing w:line="360" w:lineRule="auto"/>
        <w:ind w:firstLine="420" w:firstLineChars="200"/>
        <w:rPr>
          <w:rFonts w:ascii="宋体" w:hAnsi="宋体" w:cs="宋体"/>
          <w:szCs w:val="21"/>
          <w:highlight w:val="none"/>
        </w:rPr>
      </w:pPr>
      <w:r>
        <w:rPr>
          <w:rFonts w:hint="eastAsia" w:ascii="宋体" w:hAnsi="宋体" w:cs="宋体"/>
          <w:szCs w:val="21"/>
          <w:highlight w:val="none"/>
        </w:rPr>
        <w:t>31.1在招标采购中，出现下列情形之一的，应予废标：　　</w:t>
      </w:r>
    </w:p>
    <w:p w14:paraId="176053BD">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（一）符合专业条件的供应商或者对招标文件作实质响应的供应商不足三家的； </w:t>
      </w:r>
    </w:p>
    <w:p w14:paraId="607F7D32">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（二）出现影响采购公正的违法、违规行为的； </w:t>
      </w:r>
    </w:p>
    <w:p w14:paraId="7852FA3D">
      <w:pPr>
        <w:spacing w:line="360" w:lineRule="auto"/>
        <w:ind w:firstLine="420" w:firstLineChars="200"/>
        <w:rPr>
          <w:rFonts w:ascii="宋体" w:hAnsi="宋体" w:cs="宋体"/>
          <w:szCs w:val="21"/>
          <w:highlight w:val="none"/>
        </w:rPr>
      </w:pPr>
      <w:r>
        <w:rPr>
          <w:rFonts w:hint="eastAsia" w:ascii="宋体" w:hAnsi="宋体" w:cs="宋体"/>
          <w:szCs w:val="21"/>
          <w:highlight w:val="none"/>
        </w:rPr>
        <w:t>（三）投标人的报价均超过了采购预算，采购人不能支付的；</w:t>
      </w:r>
    </w:p>
    <w:p w14:paraId="24C5BF48">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（四）因重大变故，采购任务取消的。 </w:t>
      </w:r>
    </w:p>
    <w:p w14:paraId="424BAFF4">
      <w:pPr>
        <w:spacing w:line="360" w:lineRule="auto"/>
        <w:ind w:firstLine="420" w:firstLineChars="200"/>
        <w:rPr>
          <w:rFonts w:ascii="宋体" w:hAnsi="宋体" w:cs="宋体"/>
          <w:szCs w:val="21"/>
          <w:highlight w:val="none"/>
        </w:rPr>
      </w:pPr>
      <w:r>
        <w:rPr>
          <w:rFonts w:hint="eastAsia" w:ascii="宋体" w:hAnsi="宋体" w:cs="宋体"/>
          <w:szCs w:val="21"/>
          <w:highlight w:val="none"/>
        </w:rPr>
        <w:t>31.2 废标后，除采购任务取消情形外，按照以下方式处理：</w:t>
      </w:r>
    </w:p>
    <w:p w14:paraId="76ECDB79">
      <w:pPr>
        <w:spacing w:line="360" w:lineRule="auto"/>
        <w:ind w:firstLine="420" w:firstLineChars="200"/>
        <w:rPr>
          <w:rFonts w:ascii="宋体" w:hAnsi="宋体" w:cs="宋体"/>
          <w:szCs w:val="21"/>
          <w:highlight w:val="none"/>
        </w:rPr>
      </w:pPr>
      <w:r>
        <w:rPr>
          <w:rFonts w:hint="eastAsia" w:ascii="宋体" w:hAnsi="宋体" w:cs="宋体"/>
          <w:szCs w:val="21"/>
          <w:highlight w:val="none"/>
        </w:rPr>
        <w:t>（一）招标文件存在不合理条款或者招标程序不符合规定的，采购人、采购代理机构改正后依法重新招标；</w:t>
      </w:r>
    </w:p>
    <w:p w14:paraId="221684DC">
      <w:pPr>
        <w:spacing w:line="360" w:lineRule="auto"/>
        <w:ind w:firstLine="420" w:firstLineChars="200"/>
        <w:rPr>
          <w:rFonts w:ascii="宋体" w:hAnsi="宋体" w:cs="宋体"/>
          <w:szCs w:val="21"/>
          <w:highlight w:val="none"/>
        </w:rPr>
      </w:pPr>
      <w:r>
        <w:rPr>
          <w:rFonts w:hint="eastAsia" w:ascii="宋体" w:hAnsi="宋体" w:cs="宋体"/>
          <w:szCs w:val="21"/>
          <w:highlight w:val="none"/>
        </w:rPr>
        <w:t>（二）招标文件没有不合理条款、招标程序符合规定，需要重新招标的，依法重新招标；需要采用其他采购方式采购的，采购人应当依法报财政部门批准。</w:t>
      </w:r>
    </w:p>
    <w:p w14:paraId="19CD1C6C">
      <w:pPr>
        <w:numPr>
          <w:ilvl w:val="0"/>
          <w:numId w:val="2"/>
        </w:numPr>
        <w:spacing w:line="360" w:lineRule="auto"/>
        <w:rPr>
          <w:rFonts w:ascii="宋体" w:hAnsi="宋体" w:cs="宋体"/>
          <w:b/>
          <w:szCs w:val="21"/>
          <w:highlight w:val="none"/>
        </w:rPr>
      </w:pPr>
      <w:r>
        <w:rPr>
          <w:rFonts w:hint="eastAsia" w:ascii="宋体" w:hAnsi="宋体" w:cs="宋体"/>
          <w:b/>
          <w:szCs w:val="21"/>
          <w:highlight w:val="none"/>
        </w:rPr>
        <w:t>其他</w:t>
      </w:r>
    </w:p>
    <w:p w14:paraId="273F2C90">
      <w:pPr>
        <w:spacing w:line="360" w:lineRule="auto"/>
        <w:ind w:firstLine="420" w:firstLineChars="200"/>
        <w:rPr>
          <w:rFonts w:ascii="宋体" w:hAnsi="宋体" w:cs="宋体"/>
          <w:szCs w:val="21"/>
          <w:highlight w:val="none"/>
        </w:rPr>
      </w:pPr>
      <w:r>
        <w:rPr>
          <w:rFonts w:hint="eastAsia" w:ascii="宋体" w:hAnsi="宋体" w:cs="宋体"/>
          <w:szCs w:val="21"/>
          <w:highlight w:val="none"/>
        </w:rPr>
        <w:t>其他说明详见前附表。</w:t>
      </w:r>
    </w:p>
    <w:p w14:paraId="01EC5A1D">
      <w:pPr>
        <w:pStyle w:val="3"/>
        <w:spacing w:before="312" w:beforeLines="100" w:after="312" w:afterLines="100" w:line="360" w:lineRule="auto"/>
        <w:rPr>
          <w:rStyle w:val="28"/>
          <w:rFonts w:ascii="宋体" w:hAnsi="宋体" w:cs="宋体"/>
          <w:b/>
          <w:bCs/>
          <w:sz w:val="36"/>
          <w:szCs w:val="36"/>
          <w:highlight w:val="none"/>
        </w:rPr>
      </w:pPr>
      <w:bookmarkStart w:id="54" w:name="_Toc27135"/>
      <w:r>
        <w:rPr>
          <w:rStyle w:val="28"/>
          <w:rFonts w:hint="eastAsia" w:ascii="宋体" w:hAnsi="宋体" w:cs="宋体"/>
          <w:b/>
          <w:bCs/>
          <w:sz w:val="36"/>
          <w:szCs w:val="36"/>
          <w:highlight w:val="none"/>
        </w:rPr>
        <w:br w:type="page"/>
      </w:r>
      <w:r>
        <w:rPr>
          <w:rStyle w:val="28"/>
          <w:rFonts w:hint="eastAsia" w:ascii="宋体" w:hAnsi="宋体" w:cs="宋体"/>
          <w:b/>
          <w:bCs/>
          <w:sz w:val="36"/>
          <w:szCs w:val="36"/>
          <w:highlight w:val="none"/>
        </w:rPr>
        <w:t>第三章 合同条款及格式</w:t>
      </w:r>
      <w:bookmarkEnd w:id="54"/>
    </w:p>
    <w:p w14:paraId="5160D2BB">
      <w:pPr>
        <w:jc w:val="center"/>
        <w:rPr>
          <w:rFonts w:ascii="宋体" w:hAnsi="宋体" w:cs="宋体"/>
          <w:b/>
          <w:szCs w:val="24"/>
          <w:highlight w:val="none"/>
        </w:rPr>
      </w:pPr>
      <w:r>
        <w:rPr>
          <w:rFonts w:hint="eastAsia" w:ascii="宋体" w:hAnsi="宋体" w:cs="宋体"/>
          <w:b/>
          <w:szCs w:val="24"/>
          <w:highlight w:val="none"/>
        </w:rPr>
        <w:br w:type="page"/>
      </w:r>
    </w:p>
    <w:p w14:paraId="79B4DA29">
      <w:pPr>
        <w:jc w:val="center"/>
        <w:rPr>
          <w:rFonts w:ascii="宋体" w:hAnsi="宋体" w:cs="宋体"/>
          <w:b/>
          <w:bCs/>
          <w:sz w:val="36"/>
          <w:szCs w:val="36"/>
          <w:highlight w:val="none"/>
        </w:rPr>
      </w:pPr>
    </w:p>
    <w:p w14:paraId="60E92346">
      <w:pPr>
        <w:pStyle w:val="9"/>
        <w:jc w:val="center"/>
        <w:rPr>
          <w:rFonts w:ascii="宋体" w:hAnsi="宋体" w:cs="宋体"/>
          <w:b/>
          <w:bCs/>
          <w:sz w:val="36"/>
          <w:szCs w:val="36"/>
          <w:highlight w:val="none"/>
        </w:rPr>
      </w:pPr>
    </w:p>
    <w:p w14:paraId="55F70058">
      <w:pPr>
        <w:jc w:val="center"/>
        <w:rPr>
          <w:highlight w:val="none"/>
        </w:rPr>
      </w:pPr>
    </w:p>
    <w:p w14:paraId="7D2C3984">
      <w:pPr>
        <w:jc w:val="center"/>
        <w:rPr>
          <w:rFonts w:ascii="宋体" w:hAnsi="宋体" w:cs="宋体"/>
          <w:b/>
          <w:bCs/>
          <w:sz w:val="36"/>
          <w:szCs w:val="36"/>
          <w:highlight w:val="none"/>
        </w:rPr>
      </w:pPr>
      <w:r>
        <w:rPr>
          <w:rFonts w:hint="eastAsia" w:ascii="宋体" w:hAnsi="宋体" w:cs="宋体"/>
          <w:b/>
          <w:bCs/>
          <w:sz w:val="36"/>
          <w:szCs w:val="36"/>
          <w:highlight w:val="none"/>
        </w:rPr>
        <w:t>西安市公安局交通警察支队</w:t>
      </w:r>
    </w:p>
    <w:p w14:paraId="139EF6AA">
      <w:pPr>
        <w:jc w:val="center"/>
        <w:rPr>
          <w:rFonts w:ascii="宋体" w:hAnsi="宋体" w:cs="宋体"/>
          <w:b/>
          <w:bCs/>
          <w:sz w:val="36"/>
          <w:szCs w:val="36"/>
          <w:highlight w:val="none"/>
        </w:rPr>
      </w:pPr>
      <w:r>
        <w:rPr>
          <w:rFonts w:hint="eastAsia" w:ascii="宋体" w:hAnsi="宋体" w:cs="宋体"/>
          <w:b/>
          <w:bCs/>
          <w:sz w:val="36"/>
          <w:szCs w:val="36"/>
          <w:highlight w:val="none"/>
        </w:rPr>
        <w:t>2024年违法停放车辆拖移转运社会化服务项目</w:t>
      </w:r>
    </w:p>
    <w:p w14:paraId="61236523">
      <w:pPr>
        <w:jc w:val="center"/>
        <w:rPr>
          <w:rFonts w:ascii="宋体" w:hAnsi="宋体" w:cs="宋体"/>
          <w:sz w:val="44"/>
          <w:szCs w:val="44"/>
          <w:highlight w:val="none"/>
        </w:rPr>
      </w:pPr>
    </w:p>
    <w:p w14:paraId="2C4CD68B">
      <w:pPr>
        <w:jc w:val="center"/>
        <w:rPr>
          <w:rFonts w:ascii="宋体" w:hAnsi="宋体" w:cs="宋体"/>
          <w:b/>
          <w:bCs/>
          <w:sz w:val="44"/>
          <w:szCs w:val="44"/>
          <w:highlight w:val="none"/>
        </w:rPr>
      </w:pPr>
    </w:p>
    <w:p w14:paraId="0D345DB2">
      <w:pPr>
        <w:jc w:val="center"/>
        <w:rPr>
          <w:rFonts w:ascii="宋体" w:hAnsi="宋体" w:cs="宋体"/>
          <w:b/>
          <w:bCs/>
          <w:sz w:val="44"/>
          <w:szCs w:val="44"/>
          <w:highlight w:val="none"/>
        </w:rPr>
      </w:pPr>
      <w:r>
        <w:rPr>
          <w:rFonts w:hint="eastAsia" w:ascii="宋体" w:hAnsi="宋体" w:cs="宋体"/>
          <w:b/>
          <w:bCs/>
          <w:sz w:val="44"/>
          <w:szCs w:val="44"/>
          <w:highlight w:val="none"/>
        </w:rPr>
        <w:t>服务合同</w:t>
      </w:r>
    </w:p>
    <w:p w14:paraId="1725C7DA">
      <w:pPr>
        <w:pStyle w:val="9"/>
        <w:jc w:val="center"/>
        <w:rPr>
          <w:rFonts w:ascii="宋体" w:hAnsi="宋体" w:cs="宋体"/>
          <w:highlight w:val="none"/>
        </w:rPr>
      </w:pPr>
    </w:p>
    <w:p w14:paraId="47AFBC2A">
      <w:pPr>
        <w:jc w:val="center"/>
        <w:rPr>
          <w:rFonts w:ascii="宋体" w:hAnsi="宋体" w:cs="宋体"/>
          <w:b/>
          <w:bCs/>
          <w:sz w:val="32"/>
          <w:szCs w:val="32"/>
          <w:highlight w:val="none"/>
        </w:rPr>
      </w:pPr>
    </w:p>
    <w:p w14:paraId="05D588C2">
      <w:pPr>
        <w:jc w:val="center"/>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rPr>
        <w:t>项目编号：</w:t>
      </w:r>
      <w:r>
        <w:rPr>
          <w:rFonts w:hint="eastAsia" w:ascii="宋体" w:hAnsi="宋体" w:cs="宋体"/>
          <w:b/>
          <w:bCs/>
          <w:sz w:val="36"/>
          <w:szCs w:val="36"/>
          <w:highlight w:val="none"/>
          <w:lang w:eastAsia="zh-CN"/>
        </w:rPr>
        <w:t>0617-2423FZ1573</w:t>
      </w:r>
    </w:p>
    <w:p w14:paraId="66EBA492">
      <w:pPr>
        <w:jc w:val="center"/>
        <w:rPr>
          <w:rFonts w:ascii="宋体" w:hAnsi="宋体" w:cs="宋体"/>
          <w:b/>
          <w:bCs/>
          <w:sz w:val="36"/>
          <w:szCs w:val="36"/>
          <w:highlight w:val="none"/>
        </w:rPr>
      </w:pPr>
      <w:r>
        <w:rPr>
          <w:rFonts w:hint="eastAsia" w:ascii="宋体" w:hAnsi="宋体" w:cs="宋体"/>
          <w:b/>
          <w:bCs/>
          <w:sz w:val="36"/>
          <w:szCs w:val="36"/>
          <w:highlight w:val="none"/>
        </w:rPr>
        <w:t>（第</w:t>
      </w:r>
      <w:r>
        <w:rPr>
          <w:rFonts w:hint="eastAsia" w:ascii="宋体" w:hAnsi="宋体" w:cs="宋体"/>
          <w:b/>
          <w:bCs/>
          <w:sz w:val="36"/>
          <w:szCs w:val="36"/>
          <w:highlight w:val="none"/>
          <w:u w:val="single"/>
        </w:rPr>
        <w:t>11</w:t>
      </w:r>
      <w:r>
        <w:rPr>
          <w:rFonts w:hint="eastAsia" w:ascii="宋体" w:hAnsi="宋体" w:cs="宋体"/>
          <w:b/>
          <w:bCs/>
          <w:sz w:val="36"/>
          <w:szCs w:val="36"/>
          <w:highlight w:val="none"/>
        </w:rPr>
        <w:t>包）</w:t>
      </w:r>
    </w:p>
    <w:p w14:paraId="4E05B4DF">
      <w:pPr>
        <w:jc w:val="center"/>
        <w:rPr>
          <w:rFonts w:ascii="宋体" w:hAnsi="宋体" w:cs="宋体"/>
          <w:sz w:val="36"/>
          <w:szCs w:val="36"/>
          <w:highlight w:val="none"/>
        </w:rPr>
      </w:pPr>
    </w:p>
    <w:p w14:paraId="7CBF0246">
      <w:pPr>
        <w:jc w:val="center"/>
        <w:rPr>
          <w:rFonts w:ascii="宋体" w:hAnsi="宋体" w:cs="宋体"/>
          <w:sz w:val="36"/>
          <w:szCs w:val="36"/>
          <w:highlight w:val="none"/>
        </w:rPr>
      </w:pPr>
    </w:p>
    <w:p w14:paraId="189CD8ED">
      <w:pPr>
        <w:ind w:firstLine="1446" w:firstLineChars="400"/>
        <w:rPr>
          <w:rFonts w:ascii="宋体" w:hAnsi="宋体" w:cs="宋体"/>
          <w:b/>
          <w:bCs/>
          <w:sz w:val="36"/>
          <w:szCs w:val="36"/>
          <w:highlight w:val="none"/>
          <w:u w:val="single"/>
        </w:rPr>
      </w:pPr>
      <w:r>
        <w:rPr>
          <w:rFonts w:hint="eastAsia" w:ascii="宋体" w:hAnsi="宋体" w:cs="宋体"/>
          <w:b/>
          <w:bCs/>
          <w:sz w:val="36"/>
          <w:szCs w:val="36"/>
          <w:highlight w:val="none"/>
        </w:rPr>
        <w:t>甲  方：</w:t>
      </w:r>
      <w:r>
        <w:rPr>
          <w:rFonts w:hint="eastAsia" w:ascii="宋体" w:hAnsi="宋体" w:cs="宋体"/>
          <w:b/>
          <w:bCs/>
          <w:sz w:val="36"/>
          <w:szCs w:val="36"/>
          <w:highlight w:val="none"/>
          <w:u w:val="single"/>
        </w:rPr>
        <w:t>西安市公安局交通警察支队</w:t>
      </w:r>
    </w:p>
    <w:p w14:paraId="2F176FFD">
      <w:pPr>
        <w:spacing w:before="468" w:beforeLines="150" w:line="360" w:lineRule="auto"/>
        <w:ind w:firstLine="1446" w:firstLineChars="400"/>
        <w:rPr>
          <w:rFonts w:ascii="宋体" w:hAnsi="宋体" w:cs="宋体"/>
          <w:b/>
          <w:bCs/>
          <w:sz w:val="36"/>
          <w:szCs w:val="36"/>
          <w:highlight w:val="none"/>
          <w:u w:val="single"/>
        </w:rPr>
      </w:pPr>
      <w:r>
        <w:rPr>
          <w:rFonts w:hint="eastAsia" w:ascii="宋体" w:hAnsi="宋体" w:cs="宋体"/>
          <w:b/>
          <w:bCs/>
          <w:sz w:val="36"/>
          <w:szCs w:val="36"/>
          <w:highlight w:val="none"/>
        </w:rPr>
        <w:t>乙  方：</w:t>
      </w:r>
      <w:r>
        <w:rPr>
          <w:rFonts w:hint="eastAsia" w:ascii="宋体" w:hAnsi="宋体" w:cs="宋体"/>
          <w:b/>
          <w:bCs/>
          <w:sz w:val="36"/>
          <w:szCs w:val="36"/>
          <w:highlight w:val="none"/>
          <w:u w:val="single"/>
        </w:rPr>
        <w:t xml:space="preserve">                        </w:t>
      </w:r>
    </w:p>
    <w:p w14:paraId="5B2CBC9C">
      <w:pPr>
        <w:jc w:val="center"/>
        <w:rPr>
          <w:rFonts w:ascii="宋体" w:hAnsi="宋体" w:cs="宋体"/>
          <w:b/>
          <w:bCs/>
          <w:sz w:val="36"/>
          <w:szCs w:val="36"/>
          <w:highlight w:val="none"/>
        </w:rPr>
      </w:pPr>
    </w:p>
    <w:p w14:paraId="0CA71A21">
      <w:pPr>
        <w:tabs>
          <w:tab w:val="left" w:pos="5460"/>
        </w:tabs>
        <w:autoSpaceDE w:val="0"/>
        <w:autoSpaceDN w:val="0"/>
        <w:adjustRightInd w:val="0"/>
        <w:spacing w:line="360" w:lineRule="auto"/>
        <w:jc w:val="center"/>
        <w:rPr>
          <w:rFonts w:ascii="宋体" w:hAnsi="宋体" w:cs="宋体"/>
          <w:b/>
          <w:bCs/>
          <w:sz w:val="32"/>
          <w:szCs w:val="32"/>
          <w:highlight w:val="none"/>
          <w:lang w:val="zh-CN"/>
        </w:rPr>
      </w:pPr>
    </w:p>
    <w:p w14:paraId="27097AD5">
      <w:pPr>
        <w:tabs>
          <w:tab w:val="left" w:pos="5460"/>
        </w:tabs>
        <w:autoSpaceDE w:val="0"/>
        <w:autoSpaceDN w:val="0"/>
        <w:adjustRightInd w:val="0"/>
        <w:spacing w:line="360" w:lineRule="auto"/>
        <w:jc w:val="center"/>
        <w:rPr>
          <w:rFonts w:ascii="宋体" w:hAnsi="宋体" w:cs="宋体"/>
          <w:b/>
          <w:bCs/>
          <w:sz w:val="36"/>
          <w:szCs w:val="36"/>
          <w:highlight w:val="none"/>
        </w:rPr>
      </w:pPr>
      <w:r>
        <w:rPr>
          <w:rFonts w:hint="eastAsia" w:ascii="宋体" w:hAnsi="宋体" w:cs="宋体"/>
          <w:b/>
          <w:bCs/>
          <w:sz w:val="36"/>
          <w:szCs w:val="36"/>
          <w:highlight w:val="none"/>
          <w:lang w:val="zh-CN"/>
        </w:rPr>
        <w:t>二零</w:t>
      </w:r>
      <w:r>
        <w:rPr>
          <w:rFonts w:hint="eastAsia" w:ascii="宋体" w:hAnsi="宋体" w:cs="宋体"/>
          <w:b/>
          <w:bCs/>
          <w:sz w:val="36"/>
          <w:szCs w:val="36"/>
          <w:highlight w:val="none"/>
        </w:rPr>
        <w:t>二四</w:t>
      </w:r>
      <w:r>
        <w:rPr>
          <w:rFonts w:hint="eastAsia" w:ascii="宋体" w:hAnsi="宋体" w:cs="宋体"/>
          <w:b/>
          <w:bCs/>
          <w:sz w:val="36"/>
          <w:szCs w:val="36"/>
          <w:highlight w:val="none"/>
          <w:lang w:val="zh-CN"/>
        </w:rPr>
        <w:t>年</w:t>
      </w:r>
      <w:r>
        <w:rPr>
          <w:rFonts w:hint="eastAsia" w:ascii="宋体" w:hAnsi="宋体" w:cs="宋体"/>
          <w:b/>
          <w:bCs/>
          <w:sz w:val="36"/>
          <w:szCs w:val="36"/>
          <w:highlight w:val="none"/>
          <w:u w:val="single"/>
        </w:rPr>
        <w:t xml:space="preserve">     </w:t>
      </w:r>
      <w:r>
        <w:rPr>
          <w:rFonts w:hint="eastAsia" w:ascii="宋体" w:hAnsi="宋体" w:cs="宋体"/>
          <w:b/>
          <w:bCs/>
          <w:sz w:val="36"/>
          <w:szCs w:val="36"/>
          <w:highlight w:val="none"/>
          <w:lang w:val="zh-CN"/>
        </w:rPr>
        <w:t>月</w:t>
      </w:r>
    </w:p>
    <w:p w14:paraId="6CD7937E">
      <w:pPr>
        <w:tabs>
          <w:tab w:val="left" w:pos="5460"/>
        </w:tabs>
        <w:autoSpaceDE w:val="0"/>
        <w:autoSpaceDN w:val="0"/>
        <w:adjustRightInd w:val="0"/>
        <w:spacing w:line="360" w:lineRule="auto"/>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中国  西安</w:t>
      </w:r>
    </w:p>
    <w:p w14:paraId="2D47C485">
      <w:pPr>
        <w:spacing w:before="156" w:beforeLines="50" w:after="156" w:afterLines="50" w:line="360" w:lineRule="auto"/>
        <w:jc w:val="center"/>
        <w:rPr>
          <w:rFonts w:ascii="宋体" w:hAnsi="宋体" w:cs="宋体"/>
          <w:b/>
          <w:bCs/>
          <w:sz w:val="22"/>
          <w:szCs w:val="22"/>
          <w:highlight w:val="none"/>
        </w:rPr>
      </w:pPr>
      <w:r>
        <w:rPr>
          <w:rFonts w:hint="eastAsia" w:ascii="宋体" w:hAnsi="宋体" w:cs="宋体"/>
          <w:b/>
          <w:bCs/>
          <w:sz w:val="22"/>
          <w:szCs w:val="22"/>
          <w:highlight w:val="none"/>
        </w:rPr>
        <w:br w:type="page"/>
      </w:r>
      <w:r>
        <w:rPr>
          <w:rFonts w:hint="eastAsia" w:ascii="宋体" w:hAnsi="宋体" w:cs="宋体"/>
          <w:b/>
          <w:bCs/>
          <w:sz w:val="22"/>
          <w:szCs w:val="22"/>
          <w:highlight w:val="none"/>
        </w:rPr>
        <w:t>2024年违法停放车辆拖移转运社会化服务合同 （第11包）</w:t>
      </w:r>
    </w:p>
    <w:p w14:paraId="26E8C564">
      <w:pPr>
        <w:autoSpaceDE w:val="0"/>
        <w:autoSpaceDN w:val="0"/>
        <w:adjustRightInd w:val="0"/>
        <w:spacing w:before="312" w:beforeLines="100" w:line="360" w:lineRule="auto"/>
        <w:ind w:firstLine="420" w:firstLineChars="200"/>
        <w:rPr>
          <w:rFonts w:ascii="宋体" w:hAnsi="宋体" w:cs="宋体"/>
          <w:bCs/>
          <w:szCs w:val="21"/>
          <w:highlight w:val="none"/>
          <w:u w:val="single"/>
        </w:rPr>
      </w:pPr>
      <w:r>
        <w:rPr>
          <w:rFonts w:hint="eastAsia" w:ascii="宋体" w:hAnsi="宋体" w:cs="宋体"/>
          <w:bCs/>
          <w:szCs w:val="21"/>
          <w:highlight w:val="none"/>
        </w:rPr>
        <w:t>甲  方：</w:t>
      </w:r>
      <w:r>
        <w:rPr>
          <w:rFonts w:hint="eastAsia" w:ascii="宋体" w:hAnsi="宋体" w:cs="宋体"/>
          <w:bCs/>
          <w:szCs w:val="21"/>
          <w:highlight w:val="none"/>
          <w:u w:val="single"/>
        </w:rPr>
        <w:t xml:space="preserve"> 西安市公安局交通警察支队 </w:t>
      </w:r>
    </w:p>
    <w:p w14:paraId="5297F0BB">
      <w:pPr>
        <w:autoSpaceDE w:val="0"/>
        <w:autoSpaceDN w:val="0"/>
        <w:spacing w:before="156" w:beforeLines="50" w:line="360" w:lineRule="auto"/>
        <w:ind w:firstLine="420" w:firstLineChars="200"/>
        <w:rPr>
          <w:rFonts w:ascii="宋体" w:hAnsi="宋体" w:cs="宋体"/>
          <w:bCs/>
          <w:szCs w:val="21"/>
          <w:highlight w:val="none"/>
        </w:rPr>
      </w:pPr>
      <w:r>
        <w:rPr>
          <w:rFonts w:hint="eastAsia" w:ascii="宋体" w:hAnsi="宋体" w:cs="宋体"/>
          <w:bCs/>
          <w:szCs w:val="21"/>
          <w:highlight w:val="none"/>
        </w:rPr>
        <w:t>乙  方：</w:t>
      </w:r>
      <w:r>
        <w:rPr>
          <w:rFonts w:hint="eastAsia" w:ascii="宋体" w:hAnsi="宋体" w:cs="宋体"/>
          <w:bCs/>
          <w:szCs w:val="21"/>
          <w:highlight w:val="none"/>
          <w:u w:val="single"/>
        </w:rPr>
        <w:t xml:space="preserve">     </w:t>
      </w:r>
      <w:r>
        <w:rPr>
          <w:rFonts w:hint="eastAsia" w:ascii="宋体" w:hAnsi="宋体" w:cs="宋体"/>
          <w:highlight w:val="none"/>
          <w:u w:val="single"/>
        </w:rPr>
        <w:t xml:space="preserve">（中标供应商）      </w:t>
      </w:r>
    </w:p>
    <w:p w14:paraId="150B415D">
      <w:pPr>
        <w:widowControl/>
        <w:spacing w:before="156" w:beforeLines="50" w:line="360" w:lineRule="auto"/>
        <w:ind w:firstLine="420" w:firstLineChars="200"/>
        <w:jc w:val="left"/>
        <w:rPr>
          <w:rFonts w:ascii="宋体" w:hAnsi="宋体" w:cs="宋体"/>
          <w:kern w:val="0"/>
          <w:szCs w:val="21"/>
          <w:highlight w:val="none"/>
        </w:rPr>
      </w:pPr>
      <w:r>
        <w:rPr>
          <w:rFonts w:hint="eastAsia" w:ascii="宋体" w:hAnsi="宋体" w:cs="宋体"/>
          <w:highlight w:val="none"/>
          <w:u w:val="single"/>
        </w:rPr>
        <w:t>西安市公安局交通警察支队2024年违法停放车辆拖移转运社会化服务项目</w:t>
      </w:r>
      <w:r>
        <w:rPr>
          <w:rFonts w:hint="eastAsia" w:ascii="宋体" w:hAnsi="宋体" w:cs="宋体"/>
          <w:kern w:val="0"/>
          <w:szCs w:val="21"/>
          <w:highlight w:val="none"/>
          <w:u w:val="single"/>
        </w:rPr>
        <w:t>（项目编号：</w:t>
      </w:r>
      <w:r>
        <w:rPr>
          <w:rFonts w:hint="eastAsia" w:ascii="宋体" w:hAnsi="宋体" w:cs="宋体"/>
          <w:kern w:val="0"/>
          <w:szCs w:val="21"/>
          <w:highlight w:val="none"/>
          <w:u w:val="single"/>
          <w:lang w:eastAsia="zh-CN"/>
        </w:rPr>
        <w:t>0617-2423FZ1573</w:t>
      </w:r>
      <w:r>
        <w:rPr>
          <w:rFonts w:hint="eastAsia" w:ascii="宋体" w:hAnsi="宋体" w:cs="宋体"/>
          <w:kern w:val="0"/>
          <w:szCs w:val="21"/>
          <w:highlight w:val="none"/>
          <w:u w:val="single"/>
        </w:rPr>
        <w:t>）（第11包）</w:t>
      </w:r>
      <w:r>
        <w:rPr>
          <w:rFonts w:hint="eastAsia" w:ascii="宋体" w:hAnsi="宋体" w:cs="宋体"/>
          <w:kern w:val="0"/>
          <w:szCs w:val="21"/>
          <w:highlight w:val="none"/>
        </w:rPr>
        <w:t>，在西安市财政局的监督管理下，由</w:t>
      </w:r>
      <w:r>
        <w:rPr>
          <w:rFonts w:hint="eastAsia" w:ascii="宋体" w:hAnsi="宋体" w:cs="宋体"/>
          <w:kern w:val="0"/>
          <w:szCs w:val="21"/>
          <w:highlight w:val="none"/>
          <w:u w:val="single"/>
        </w:rPr>
        <w:t>西北（陕西）国际招标有限公司</w:t>
      </w:r>
      <w:r>
        <w:rPr>
          <w:rFonts w:hint="eastAsia" w:ascii="宋体" w:hAnsi="宋体" w:cs="宋体"/>
          <w:kern w:val="0"/>
          <w:szCs w:val="21"/>
          <w:highlight w:val="none"/>
        </w:rPr>
        <w:t>组织公开招标。</w:t>
      </w:r>
      <w:r>
        <w:rPr>
          <w:rFonts w:hint="eastAsia" w:ascii="宋体" w:hAnsi="宋体" w:cs="宋体"/>
          <w:kern w:val="0"/>
          <w:szCs w:val="21"/>
          <w:highlight w:val="none"/>
          <w:u w:val="single"/>
        </w:rPr>
        <w:t>西安市公安局交通警察支队</w:t>
      </w:r>
      <w:r>
        <w:rPr>
          <w:rFonts w:hint="eastAsia" w:ascii="宋体" w:hAnsi="宋体" w:cs="宋体"/>
          <w:kern w:val="0"/>
          <w:szCs w:val="21"/>
          <w:highlight w:val="none"/>
        </w:rPr>
        <w:t>（以下简称“甲方”）确定</w:t>
      </w:r>
      <w:r>
        <w:rPr>
          <w:rFonts w:hint="eastAsia" w:ascii="宋体" w:hAnsi="宋体" w:cs="宋体"/>
          <w:kern w:val="0"/>
          <w:szCs w:val="21"/>
          <w:highlight w:val="none"/>
          <w:u w:val="single"/>
        </w:rPr>
        <w:t xml:space="preserve"> （中标供应商名称） </w:t>
      </w:r>
      <w:r>
        <w:rPr>
          <w:rFonts w:hint="eastAsia" w:ascii="宋体" w:hAnsi="宋体" w:cs="宋体"/>
          <w:kern w:val="0"/>
          <w:szCs w:val="21"/>
          <w:highlight w:val="none"/>
        </w:rPr>
        <w:t>（以下简称“乙方”）为该项目中标供应商。依据《中华人民共和国政府采购法》、《中华人民共和国政府采购法实施条例》、《中华人民共和国民法典》以及公开招标文件、中标通知书，达成如下条款：</w:t>
      </w:r>
    </w:p>
    <w:p w14:paraId="3CE58ED4">
      <w:pPr>
        <w:spacing w:before="156" w:beforeLines="50" w:line="360" w:lineRule="auto"/>
        <w:ind w:firstLine="422" w:firstLineChars="200"/>
        <w:rPr>
          <w:rFonts w:ascii="宋体" w:hAnsi="宋体" w:cs="宋体"/>
          <w:b/>
          <w:szCs w:val="21"/>
          <w:highlight w:val="none"/>
        </w:rPr>
      </w:pPr>
      <w:r>
        <w:rPr>
          <w:rFonts w:hint="eastAsia" w:ascii="宋体" w:hAnsi="宋体" w:cs="宋体"/>
          <w:b/>
          <w:szCs w:val="21"/>
          <w:highlight w:val="none"/>
        </w:rPr>
        <w:t>一、服务价格</w:t>
      </w:r>
    </w:p>
    <w:p w14:paraId="5528DD04">
      <w:pPr>
        <w:spacing w:line="360" w:lineRule="auto"/>
        <w:ind w:firstLine="420" w:firstLineChars="200"/>
        <w:rPr>
          <w:rFonts w:ascii="宋体" w:hAnsi="宋体" w:cs="宋体"/>
          <w:szCs w:val="21"/>
          <w:highlight w:val="none"/>
        </w:rPr>
      </w:pPr>
      <w:r>
        <w:rPr>
          <w:rFonts w:hint="eastAsia" w:ascii="宋体" w:hAnsi="宋体" w:cs="宋体"/>
          <w:szCs w:val="21"/>
          <w:highlight w:val="none"/>
        </w:rPr>
        <w:t>本包合同中标金额为</w:t>
      </w:r>
      <w:r>
        <w:rPr>
          <w:rFonts w:hint="eastAsia" w:ascii="宋体" w:hAnsi="宋体" w:cs="宋体"/>
          <w:szCs w:val="21"/>
          <w:highlight w:val="none"/>
          <w:u w:val="single"/>
        </w:rPr>
        <w:t xml:space="preserve">         </w:t>
      </w:r>
      <w:r>
        <w:rPr>
          <w:rFonts w:hint="eastAsia" w:ascii="宋体" w:hAnsi="宋体" w:cs="宋体"/>
          <w:szCs w:val="21"/>
          <w:highlight w:val="none"/>
        </w:rPr>
        <w:t>万元整，乙方必须使用甲方开发的监管与计费软件，用软件计量、监督和结算相关费用。</w:t>
      </w:r>
    </w:p>
    <w:p w14:paraId="370563DB">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（一）单价明细：</w:t>
      </w:r>
    </w:p>
    <w:p w14:paraId="0EDA9EA1">
      <w:pPr>
        <w:spacing w:line="360" w:lineRule="auto"/>
        <w:ind w:left="105" w:leftChars="50" w:firstLine="420" w:firstLineChars="200"/>
        <w:rPr>
          <w:rFonts w:ascii="宋体" w:hAnsi="宋体" w:cs="宋体"/>
          <w:szCs w:val="21"/>
          <w:highlight w:val="none"/>
        </w:rPr>
      </w:pPr>
      <w:r>
        <w:rPr>
          <w:rFonts w:hint="eastAsia" w:ascii="宋体" w:hAnsi="宋体" w:cs="宋体"/>
          <w:szCs w:val="21"/>
          <w:highlight w:val="none"/>
        </w:rPr>
        <w:t>①</w:t>
      </w:r>
      <w:r>
        <w:rPr>
          <w:rFonts w:hint="eastAsia"/>
          <w:szCs w:val="21"/>
          <w:highlight w:val="none"/>
          <w:lang w:bidi="zh-CN"/>
        </w:rPr>
        <w:t>大车装卸费</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元/辆/次；</w:t>
      </w:r>
    </w:p>
    <w:p w14:paraId="3052B276">
      <w:pPr>
        <w:spacing w:line="360" w:lineRule="auto"/>
        <w:ind w:left="105" w:leftChars="50" w:firstLine="420" w:firstLineChars="200"/>
        <w:rPr>
          <w:rFonts w:ascii="宋体" w:hAnsi="宋体" w:cs="宋体"/>
          <w:szCs w:val="21"/>
          <w:highlight w:val="none"/>
        </w:rPr>
      </w:pPr>
      <w:r>
        <w:rPr>
          <w:rFonts w:hint="eastAsia" w:ascii="宋体" w:hAnsi="宋体" w:cs="宋体"/>
          <w:szCs w:val="21"/>
          <w:highlight w:val="none"/>
        </w:rPr>
        <w:t>②</w:t>
      </w:r>
      <w:r>
        <w:rPr>
          <w:rFonts w:hint="eastAsia"/>
          <w:szCs w:val="21"/>
          <w:highlight w:val="none"/>
          <w:lang w:bidi="zh-CN"/>
        </w:rPr>
        <w:t>大车运输费单价</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元/公里；</w:t>
      </w:r>
    </w:p>
    <w:p w14:paraId="0E92CF7B">
      <w:pPr>
        <w:spacing w:line="360" w:lineRule="auto"/>
        <w:ind w:left="105" w:leftChars="50" w:firstLine="420" w:firstLineChars="200"/>
        <w:rPr>
          <w:rFonts w:ascii="宋体" w:hAnsi="宋体" w:cs="宋体"/>
          <w:szCs w:val="21"/>
          <w:highlight w:val="none"/>
        </w:rPr>
      </w:pPr>
      <w:r>
        <w:rPr>
          <w:rFonts w:hint="eastAsia" w:ascii="宋体" w:hAnsi="宋体" w:cs="宋体"/>
          <w:szCs w:val="21"/>
          <w:highlight w:val="none"/>
        </w:rPr>
        <w:t>③</w:t>
      </w:r>
      <w:r>
        <w:rPr>
          <w:rFonts w:hint="eastAsia"/>
          <w:szCs w:val="21"/>
          <w:highlight w:val="none"/>
          <w:lang w:bidi="zh-CN"/>
        </w:rPr>
        <w:t>重大活动大拖车值守单价</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元/小时；</w:t>
      </w:r>
    </w:p>
    <w:p w14:paraId="70224AE1">
      <w:pPr>
        <w:spacing w:line="360" w:lineRule="auto"/>
        <w:ind w:left="105" w:leftChars="50" w:firstLine="420" w:firstLineChars="200"/>
        <w:rPr>
          <w:rFonts w:ascii="宋体" w:hAnsi="宋体" w:cs="宋体"/>
          <w:szCs w:val="21"/>
          <w:highlight w:val="none"/>
        </w:rPr>
      </w:pPr>
      <w:r>
        <w:rPr>
          <w:rFonts w:hint="eastAsia" w:ascii="宋体" w:hAnsi="宋体" w:cs="宋体"/>
          <w:szCs w:val="21"/>
          <w:highlight w:val="none"/>
        </w:rPr>
        <w:t>④</w:t>
      </w:r>
      <w:r>
        <w:rPr>
          <w:rFonts w:hint="eastAsia"/>
          <w:szCs w:val="21"/>
          <w:highlight w:val="none"/>
          <w:lang w:bidi="zh-CN"/>
        </w:rPr>
        <w:t>20吨吊车</w:t>
      </w:r>
      <w:r>
        <w:rPr>
          <w:rFonts w:hint="eastAsia" w:ascii="宋体" w:hAnsi="宋体" w:cs="宋体"/>
          <w:szCs w:val="21"/>
          <w:highlight w:val="none"/>
          <w:u w:val="single"/>
        </w:rPr>
        <w:t xml:space="preserve">            </w:t>
      </w:r>
      <w:r>
        <w:rPr>
          <w:rFonts w:hint="eastAsia" w:ascii="宋体" w:hAnsi="宋体" w:cs="宋体"/>
          <w:szCs w:val="21"/>
          <w:highlight w:val="none"/>
        </w:rPr>
        <w:t>元/趟次</w:t>
      </w:r>
    </w:p>
    <w:p w14:paraId="537A72C6">
      <w:pPr>
        <w:spacing w:line="360" w:lineRule="auto"/>
        <w:ind w:left="105" w:leftChars="50" w:firstLine="420" w:firstLineChars="200"/>
        <w:rPr>
          <w:rFonts w:ascii="宋体" w:hAnsi="宋体" w:cs="宋体"/>
          <w:szCs w:val="21"/>
          <w:highlight w:val="none"/>
        </w:rPr>
      </w:pPr>
      <w:r>
        <w:rPr>
          <w:rFonts w:hint="eastAsia" w:ascii="Calibri" w:hAnsi="Calibri"/>
          <w:szCs w:val="21"/>
          <w:highlight w:val="none"/>
          <w:lang w:bidi="zh-CN"/>
        </w:rPr>
        <w:t>⑤50吨吊车</w:t>
      </w:r>
      <w:r>
        <w:rPr>
          <w:rFonts w:hint="eastAsia" w:ascii="宋体" w:hAnsi="宋体" w:cs="宋体"/>
          <w:szCs w:val="21"/>
          <w:highlight w:val="none"/>
          <w:u w:val="single"/>
        </w:rPr>
        <w:t xml:space="preserve">            </w:t>
      </w:r>
      <w:r>
        <w:rPr>
          <w:rFonts w:hint="eastAsia" w:ascii="宋体" w:hAnsi="宋体" w:cs="宋体"/>
          <w:szCs w:val="21"/>
          <w:highlight w:val="none"/>
        </w:rPr>
        <w:t>元/趟次</w:t>
      </w:r>
    </w:p>
    <w:p w14:paraId="55D386FF">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（二）费用计算方式：</w:t>
      </w:r>
    </w:p>
    <w:p w14:paraId="13B9FE34">
      <w:pPr>
        <w:spacing w:line="360" w:lineRule="auto"/>
        <w:ind w:firstLine="420" w:firstLineChars="200"/>
        <w:rPr>
          <w:rFonts w:ascii="宋体" w:hAnsi="宋体" w:cs="宋体"/>
          <w:szCs w:val="21"/>
          <w:highlight w:val="none"/>
        </w:rPr>
      </w:pPr>
      <w:r>
        <w:rPr>
          <w:rFonts w:hint="eastAsia" w:ascii="宋体" w:hAnsi="宋体" w:cs="宋体"/>
          <w:szCs w:val="21"/>
          <w:highlight w:val="none"/>
        </w:rPr>
        <w:t>根据中标单价在预算金额范围内据实结算</w:t>
      </w:r>
      <w:r>
        <w:rPr>
          <w:rFonts w:ascii="宋体" w:hAnsi="宋体" w:cs="宋体"/>
          <w:szCs w:val="21"/>
          <w:highlight w:val="none"/>
        </w:rPr>
        <w:t>，</w:t>
      </w:r>
      <w:r>
        <w:rPr>
          <w:rFonts w:hint="eastAsia" w:ascii="宋体" w:hAnsi="宋体" w:cs="宋体"/>
          <w:szCs w:val="21"/>
          <w:highlight w:val="none"/>
          <w:lang w:eastAsia="zh-Hans"/>
        </w:rPr>
        <w:t>但最终费用不超过上述约定金额</w:t>
      </w:r>
      <w:r>
        <w:rPr>
          <w:rFonts w:hint="eastAsia" w:ascii="宋体" w:hAnsi="宋体" w:cs="宋体"/>
          <w:szCs w:val="21"/>
          <w:highlight w:val="none"/>
        </w:rPr>
        <w:t>。</w:t>
      </w:r>
    </w:p>
    <w:p w14:paraId="33F6DA58">
      <w:pPr>
        <w:spacing w:line="360" w:lineRule="auto"/>
        <w:ind w:firstLine="420" w:firstLineChars="200"/>
        <w:rPr>
          <w:rFonts w:ascii="宋体" w:hAnsi="宋体" w:cs="宋体"/>
          <w:szCs w:val="21"/>
          <w:highlight w:val="none"/>
        </w:rPr>
      </w:pPr>
      <w:r>
        <w:rPr>
          <w:rFonts w:hint="eastAsia" w:ascii="宋体" w:hAnsi="宋体" w:cs="宋体"/>
          <w:szCs w:val="21"/>
          <w:highlight w:val="none"/>
        </w:rPr>
        <w:t>第11包：实际支付费用=大型拖车费+吊车费+重大活动值守费-考核处罚金额。</w:t>
      </w:r>
    </w:p>
    <w:p w14:paraId="5621EBA8">
      <w:pPr>
        <w:spacing w:before="156" w:beforeLines="50" w:line="360" w:lineRule="auto"/>
        <w:ind w:firstLine="420" w:firstLineChars="200"/>
        <w:rPr>
          <w:rFonts w:ascii="宋体" w:hAnsi="宋体" w:cs="宋体"/>
          <w:szCs w:val="21"/>
          <w:highlight w:val="none"/>
        </w:rPr>
      </w:pPr>
      <w:r>
        <w:rPr>
          <w:rFonts w:hint="eastAsia" w:ascii="宋体" w:hAnsi="宋体" w:cs="宋体"/>
          <w:szCs w:val="21"/>
          <w:highlight w:val="none"/>
        </w:rPr>
        <w:t>①事故24小时值守费，根据每辆车中标单价，按照车辆数和值守时间据实结算。</w:t>
      </w:r>
    </w:p>
    <w:p w14:paraId="56285BF6">
      <w:pPr>
        <w:spacing w:before="156" w:beforeLines="50" w:line="360" w:lineRule="auto"/>
        <w:ind w:firstLine="420" w:firstLineChars="200"/>
        <w:rPr>
          <w:rFonts w:ascii="宋体" w:hAnsi="宋体" w:cs="宋体"/>
          <w:szCs w:val="21"/>
          <w:highlight w:val="none"/>
        </w:rPr>
      </w:pPr>
      <w:r>
        <w:rPr>
          <w:rFonts w:hint="eastAsia" w:ascii="宋体" w:hAnsi="宋体" w:cs="宋体"/>
          <w:szCs w:val="21"/>
          <w:highlight w:val="none"/>
        </w:rPr>
        <w:t>②大型拖车费和吊车费用依据中标单价按照次数据实结算。</w:t>
      </w:r>
    </w:p>
    <w:p w14:paraId="0A4705B3">
      <w:pPr>
        <w:spacing w:before="156" w:beforeLines="50" w:line="360" w:lineRule="auto"/>
        <w:ind w:firstLine="422" w:firstLineChars="200"/>
        <w:rPr>
          <w:rFonts w:ascii="宋体" w:hAnsi="宋体" w:cs="宋体"/>
          <w:b/>
          <w:szCs w:val="21"/>
          <w:highlight w:val="none"/>
        </w:rPr>
      </w:pPr>
      <w:r>
        <w:rPr>
          <w:rFonts w:hint="eastAsia" w:ascii="宋体" w:hAnsi="宋体" w:cs="宋体"/>
          <w:b/>
          <w:szCs w:val="21"/>
          <w:highlight w:val="none"/>
        </w:rPr>
        <w:t>二、结算方式</w:t>
      </w:r>
    </w:p>
    <w:p w14:paraId="79520D4F">
      <w:pPr>
        <w:spacing w:line="360" w:lineRule="auto"/>
        <w:ind w:firstLine="420" w:firstLineChars="200"/>
        <w:rPr>
          <w:rFonts w:ascii="宋体" w:hAnsi="宋体" w:cs="宋体"/>
          <w:szCs w:val="21"/>
          <w:highlight w:val="none"/>
        </w:rPr>
      </w:pPr>
      <w:r>
        <w:rPr>
          <w:rFonts w:hint="eastAsia" w:ascii="宋体" w:hAnsi="宋体" w:cs="宋体"/>
          <w:szCs w:val="21"/>
          <w:highlight w:val="none"/>
        </w:rPr>
        <w:t>1.结算单位：甲方结算，在每次付款前，乙方必须开具等额发票给甲方</w:t>
      </w:r>
      <w:r>
        <w:rPr>
          <w:rFonts w:ascii="宋体" w:hAnsi="宋体" w:cs="宋体"/>
          <w:szCs w:val="21"/>
          <w:highlight w:val="none"/>
        </w:rPr>
        <w:t>，</w:t>
      </w:r>
      <w:r>
        <w:rPr>
          <w:rFonts w:hint="eastAsia" w:ascii="宋体" w:hAnsi="宋体" w:cs="宋体"/>
          <w:szCs w:val="21"/>
          <w:highlight w:val="none"/>
          <w:lang w:eastAsia="zh-Hans"/>
        </w:rPr>
        <w:t>若因乙方提供的发票不符合甲方要求的或乙方迟延提供发票的</w:t>
      </w:r>
      <w:r>
        <w:rPr>
          <w:rFonts w:ascii="宋体" w:hAnsi="宋体" w:cs="宋体"/>
          <w:szCs w:val="21"/>
          <w:highlight w:val="none"/>
          <w:lang w:eastAsia="zh-Hans"/>
        </w:rPr>
        <w:t>，</w:t>
      </w:r>
      <w:r>
        <w:rPr>
          <w:rFonts w:hint="eastAsia" w:ascii="宋体" w:hAnsi="宋体" w:cs="宋体"/>
          <w:szCs w:val="21"/>
          <w:highlight w:val="none"/>
          <w:lang w:eastAsia="zh-Hans"/>
        </w:rPr>
        <w:t>甲方迟延支付不构成违约</w:t>
      </w:r>
      <w:r>
        <w:rPr>
          <w:rFonts w:hint="eastAsia" w:ascii="宋体" w:hAnsi="宋体" w:cs="宋体"/>
          <w:szCs w:val="21"/>
          <w:highlight w:val="none"/>
        </w:rPr>
        <w:t>。</w:t>
      </w:r>
    </w:p>
    <w:p w14:paraId="333E256F">
      <w:pPr>
        <w:spacing w:line="360" w:lineRule="auto"/>
        <w:ind w:firstLine="420" w:firstLineChars="200"/>
        <w:rPr>
          <w:rFonts w:ascii="宋体" w:hAnsi="宋体" w:cs="宋体"/>
          <w:szCs w:val="21"/>
          <w:highlight w:val="none"/>
        </w:rPr>
      </w:pPr>
      <w:r>
        <w:rPr>
          <w:rFonts w:hint="eastAsia" w:ascii="宋体" w:hAnsi="宋体" w:cs="宋体"/>
          <w:szCs w:val="21"/>
          <w:highlight w:val="none"/>
        </w:rPr>
        <w:t>2.付款方式（第11包）：</w:t>
      </w:r>
    </w:p>
    <w:p w14:paraId="3D823490">
      <w:pPr>
        <w:spacing w:line="360" w:lineRule="auto"/>
        <w:ind w:firstLine="420" w:firstLineChars="200"/>
        <w:rPr>
          <w:rFonts w:ascii="宋体" w:hAnsi="宋体" w:cs="宋体"/>
          <w:szCs w:val="21"/>
          <w:highlight w:val="none"/>
        </w:rPr>
      </w:pPr>
      <w:r>
        <w:rPr>
          <w:rFonts w:hint="eastAsia" w:ascii="宋体" w:hAnsi="宋体" w:cs="宋体"/>
          <w:szCs w:val="21"/>
          <w:highlight w:val="none"/>
        </w:rPr>
        <w:t>（1）在2024年9月至2024年11月，每月验收支付一次，每月结束后开始验收结束月份服务情况，通过验收后支付费用，原则上通过验收后支付一次费用（验收单上通过验收的费用），遇到特殊情况和持续重大活动时可合并验收支付次数（例如：两个月应该进行两次验收支付，可根据实际情况，两个月结束后一次性验收支付费用）。</w:t>
      </w:r>
    </w:p>
    <w:p w14:paraId="7208A493">
      <w:pPr>
        <w:spacing w:line="360" w:lineRule="auto"/>
        <w:ind w:firstLine="420" w:firstLineChars="200"/>
        <w:rPr>
          <w:rFonts w:ascii="宋体" w:hAnsi="宋体" w:cs="宋体"/>
          <w:szCs w:val="21"/>
          <w:highlight w:val="none"/>
        </w:rPr>
      </w:pPr>
      <w:r>
        <w:rPr>
          <w:rFonts w:hint="eastAsia" w:ascii="宋体" w:hAnsi="宋体" w:cs="宋体"/>
          <w:szCs w:val="21"/>
          <w:highlight w:val="none"/>
        </w:rPr>
        <w:t>（2）在2025年4月至2025年8月，每月验收支付一次，每月结束后开始验收结束月份服务情况，通过验收后支付费用，原则上通过验收后支付一次费用（验收单上通过验收的费用），遇到特殊情况（2024年12月至2025年3月，财政局年底结算，等待政府预算下达）和持续重大活动时可合并验收支付次数（例如：两个月应该进行两次验收支付，可根据实际情况，两个月结束后一次性验收支付费用）。</w:t>
      </w:r>
    </w:p>
    <w:p w14:paraId="7797F99D">
      <w:pPr>
        <w:spacing w:line="360" w:lineRule="auto"/>
        <w:ind w:firstLine="420" w:firstLineChars="200"/>
        <w:rPr>
          <w:rFonts w:ascii="宋体" w:hAnsi="宋体" w:cs="宋体"/>
          <w:b/>
          <w:szCs w:val="21"/>
          <w:highlight w:val="none"/>
        </w:rPr>
      </w:pPr>
      <w:r>
        <w:rPr>
          <w:rFonts w:hint="eastAsia" w:ascii="宋体" w:hAnsi="宋体" w:cs="宋体"/>
          <w:szCs w:val="21"/>
          <w:highlight w:val="none"/>
        </w:rPr>
        <w:t>（3）项目履约完毕，支付尾款前，采购人可以邀请第三方专业机构对项目标的、数量、考核标准、价款、服务期限、付款方式、违约责任等主要合同条款仔细逐项核对，进行结算审计；如中标供应商在合同履行中出现违反合同要求而出现罚款行为或所服务内容与支付金额不符等情况，最终支付金额以审计金额为准。</w:t>
      </w:r>
    </w:p>
    <w:p w14:paraId="4A60F25D">
      <w:pPr>
        <w:spacing w:before="156" w:beforeLines="50" w:line="360" w:lineRule="auto"/>
        <w:ind w:firstLine="422" w:firstLineChars="200"/>
        <w:rPr>
          <w:rFonts w:ascii="宋体" w:hAnsi="宋体" w:cs="宋体"/>
          <w:b/>
          <w:szCs w:val="21"/>
          <w:highlight w:val="none"/>
        </w:rPr>
      </w:pPr>
      <w:r>
        <w:rPr>
          <w:rFonts w:hint="eastAsia" w:ascii="宋体" w:hAnsi="宋体" w:cs="宋体"/>
          <w:b/>
          <w:szCs w:val="21"/>
          <w:highlight w:val="none"/>
        </w:rPr>
        <w:t>三、服务期限</w:t>
      </w:r>
    </w:p>
    <w:p w14:paraId="7A651721">
      <w:pPr>
        <w:spacing w:line="360" w:lineRule="auto"/>
        <w:ind w:firstLine="420" w:firstLineChars="200"/>
        <w:rPr>
          <w:rFonts w:ascii="宋体" w:hAnsi="宋体" w:cs="宋体"/>
          <w:szCs w:val="21"/>
          <w:highlight w:val="none"/>
        </w:rPr>
      </w:pPr>
      <w:r>
        <w:rPr>
          <w:rFonts w:hint="eastAsia" w:ascii="宋体" w:hAnsi="宋体" w:cs="宋体"/>
          <w:szCs w:val="21"/>
          <w:highlight w:val="none"/>
        </w:rPr>
        <w:t>自</w:t>
      </w:r>
      <w:r>
        <w:rPr>
          <w:rFonts w:hint="eastAsia" w:ascii="宋体" w:hAnsi="宋体" w:cs="宋体"/>
          <w:szCs w:val="21"/>
          <w:highlight w:val="none"/>
          <w:lang w:val="en-US" w:eastAsia="zh-CN"/>
        </w:rPr>
        <w:t>合同签订之</w:t>
      </w:r>
      <w:r>
        <w:rPr>
          <w:rFonts w:hint="eastAsia" w:ascii="宋体" w:hAnsi="宋体" w:cs="宋体"/>
          <w:szCs w:val="21"/>
          <w:highlight w:val="none"/>
        </w:rPr>
        <w:t>日起</w:t>
      </w:r>
      <w:r>
        <w:rPr>
          <w:rFonts w:hint="eastAsia" w:ascii="宋体" w:hAnsi="宋体" w:cs="宋体"/>
          <w:szCs w:val="21"/>
          <w:highlight w:val="none"/>
        </w:rPr>
        <w:t>，按照招标单价，合同费用使用完毕则合同执行完毕，如时间到2025年7月31日合同费用未使用完毕，则合同视同执行完毕，费用据实结算。</w:t>
      </w:r>
    </w:p>
    <w:p w14:paraId="7F7CBB09">
      <w:pPr>
        <w:spacing w:before="156" w:beforeLines="50" w:line="360" w:lineRule="auto"/>
        <w:ind w:firstLine="422" w:firstLineChars="200"/>
        <w:rPr>
          <w:rFonts w:ascii="宋体" w:hAnsi="宋体" w:cs="宋体"/>
          <w:b/>
          <w:szCs w:val="21"/>
          <w:highlight w:val="none"/>
        </w:rPr>
      </w:pPr>
      <w:r>
        <w:rPr>
          <w:rFonts w:hint="eastAsia" w:ascii="宋体" w:hAnsi="宋体" w:cs="宋体"/>
          <w:b/>
          <w:szCs w:val="21"/>
          <w:highlight w:val="none"/>
        </w:rPr>
        <w:t>四、服务要求</w:t>
      </w:r>
    </w:p>
    <w:p w14:paraId="35DE3481">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1.服务管理要求</w:t>
      </w:r>
    </w:p>
    <w:p w14:paraId="62A66DEE">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（1）中标企业须具备城市道路交通事故清障能力，向交警支队下属各大队提供全天候事故、故障车辆拖移、吊装服务。 </w:t>
      </w:r>
    </w:p>
    <w:p w14:paraId="562E9AB8">
      <w:pPr>
        <w:spacing w:line="360" w:lineRule="auto"/>
        <w:ind w:firstLine="420" w:firstLineChars="200"/>
        <w:rPr>
          <w:rFonts w:ascii="宋体" w:hAnsi="宋体" w:cs="宋体"/>
          <w:szCs w:val="21"/>
          <w:highlight w:val="none"/>
        </w:rPr>
      </w:pPr>
      <w:r>
        <w:rPr>
          <w:rFonts w:hint="eastAsia" w:ascii="宋体" w:hAnsi="宋体" w:cs="宋体"/>
          <w:szCs w:val="21"/>
          <w:highlight w:val="none"/>
        </w:rPr>
        <w:t>（2）为便于及时响应，中标企业的3辆大型拖车无工作任务时须在全市分布停放，确保接到交警部门拖移、吊装事故车辆指令后，能够立即组织就近设备和人员进行事故车辆拖移，不得推诿和消极对待；接到通知后须在5分钟内回复。如有特殊情况无法准确到达时应及时报告。</w:t>
      </w:r>
    </w:p>
    <w:p w14:paraId="3FF94A5A">
      <w:pPr>
        <w:spacing w:line="360" w:lineRule="auto"/>
        <w:ind w:firstLine="420" w:firstLineChars="200"/>
        <w:rPr>
          <w:rFonts w:ascii="宋体" w:hAnsi="宋体" w:cs="宋体"/>
          <w:szCs w:val="21"/>
          <w:highlight w:val="none"/>
        </w:rPr>
      </w:pPr>
      <w:r>
        <w:rPr>
          <w:rFonts w:hint="eastAsia" w:ascii="宋体" w:hAnsi="宋体" w:cs="宋体"/>
          <w:szCs w:val="21"/>
          <w:highlight w:val="none"/>
        </w:rPr>
        <w:t>（3）中标企业接到交警支队下属大队拖移、吊装事故车辆指令后，应及时赶到事故现场。具体参照支队2022年9月7日发文《道路交通事故处理全流程监督工作规定（试行）》第四条执行，即环城路、二环路、南北中轴线(张家堡盘道至华美十字)30分钟内到达事故现场，三环(含)以内40分钟内到达现场，三环外50分钟内到达现场。</w:t>
      </w:r>
    </w:p>
    <w:p w14:paraId="4D3118C5">
      <w:pPr>
        <w:spacing w:line="360" w:lineRule="auto"/>
        <w:ind w:firstLine="420" w:firstLineChars="200"/>
        <w:rPr>
          <w:rFonts w:ascii="宋体" w:hAnsi="宋体" w:cs="宋体"/>
          <w:szCs w:val="21"/>
          <w:highlight w:val="none"/>
        </w:rPr>
      </w:pPr>
      <w:r>
        <w:rPr>
          <w:rFonts w:hint="eastAsia" w:ascii="宋体" w:hAnsi="宋体" w:cs="宋体"/>
          <w:szCs w:val="21"/>
          <w:highlight w:val="none"/>
        </w:rPr>
        <w:t>（4）中标企业到达指定地点后，根据交通民警指令，须在规定时间内完成事故车辆拖移、吊装工作，并撤离现场，其中一般交通事故车辆20分钟内、重特大交通事故40分钟内（现场复杂的交通事故经交通民警同意后可适当延长服务时间），时间从接到交通民警指令起计算。</w:t>
      </w:r>
    </w:p>
    <w:p w14:paraId="430E421B">
      <w:pPr>
        <w:spacing w:line="360" w:lineRule="auto"/>
        <w:ind w:firstLine="420" w:firstLineChars="200"/>
        <w:rPr>
          <w:rFonts w:ascii="宋体" w:hAnsi="宋体" w:cs="宋体"/>
          <w:szCs w:val="21"/>
          <w:highlight w:val="none"/>
        </w:rPr>
      </w:pPr>
      <w:r>
        <w:rPr>
          <w:rFonts w:hint="eastAsia" w:ascii="宋体" w:hAnsi="宋体" w:cs="宋体"/>
          <w:szCs w:val="21"/>
          <w:highlight w:val="none"/>
        </w:rPr>
        <w:t>（5）中标企业要有完整的管理制度及相关的纸质规章制度，运行有序，人员分工明确。</w:t>
      </w:r>
    </w:p>
    <w:p w14:paraId="59147BA9">
      <w:pPr>
        <w:spacing w:line="360" w:lineRule="auto"/>
        <w:ind w:firstLine="420" w:firstLineChars="200"/>
        <w:rPr>
          <w:rFonts w:ascii="宋体" w:hAnsi="宋体" w:cs="宋体"/>
          <w:szCs w:val="21"/>
          <w:highlight w:val="none"/>
        </w:rPr>
      </w:pPr>
      <w:r>
        <w:rPr>
          <w:rFonts w:hint="eastAsia" w:ascii="宋体" w:hAnsi="宋体" w:cs="宋体"/>
          <w:szCs w:val="21"/>
          <w:highlight w:val="none"/>
        </w:rPr>
        <w:t>（6）中标企业须具备调度中心，专职对应各大队事故拖车工作，工作人员必须全天（含节假日）24小时在岗，随时关注拖车管理平台，管理微信群，随时保持电话畅通。</w:t>
      </w:r>
    </w:p>
    <w:p w14:paraId="4DCD94E8">
      <w:pPr>
        <w:spacing w:line="360" w:lineRule="auto"/>
        <w:ind w:firstLine="420" w:firstLineChars="200"/>
        <w:rPr>
          <w:rFonts w:ascii="宋体" w:hAnsi="宋体" w:cs="宋体"/>
          <w:szCs w:val="21"/>
          <w:highlight w:val="none"/>
        </w:rPr>
      </w:pPr>
      <w:r>
        <w:rPr>
          <w:rFonts w:hint="eastAsia" w:ascii="宋体" w:hAnsi="宋体" w:cs="宋体"/>
          <w:szCs w:val="21"/>
          <w:highlight w:val="none"/>
        </w:rPr>
        <w:t>（7）中标企业的事故拖移、吊装车辆应当安装有定位设备，并具有回溯查看功能，并按照支队需求，及时接入支队监管平台。车辆前后安装行车记录仪，能够反映作业过程，拍摄内容保存时长不少于6个月。</w:t>
      </w:r>
    </w:p>
    <w:p w14:paraId="457DA8A0">
      <w:pPr>
        <w:spacing w:line="360" w:lineRule="auto"/>
        <w:ind w:firstLine="420" w:firstLineChars="200"/>
        <w:rPr>
          <w:rFonts w:ascii="宋体" w:hAnsi="宋体" w:cs="宋体"/>
          <w:szCs w:val="21"/>
          <w:highlight w:val="none"/>
        </w:rPr>
      </w:pPr>
      <w:r>
        <w:rPr>
          <w:rFonts w:hint="eastAsia" w:ascii="宋体" w:hAnsi="宋体" w:cs="宋体"/>
          <w:szCs w:val="21"/>
          <w:highlight w:val="none"/>
        </w:rPr>
        <w:t>（8）中标企业工作人员拖移、吊装事故车辆前，应该对所有被拖移、吊装事故车辆自行影像留证。当车主提出因拖移、吊装造成车辆损坏或物品丢失质疑时，如中标企业无法提供充分证据，证明不是拖移、吊装造成的，中标企业承担全部责任，赔偿所有损失。</w:t>
      </w:r>
    </w:p>
    <w:p w14:paraId="37951666">
      <w:pPr>
        <w:spacing w:line="360" w:lineRule="auto"/>
        <w:ind w:firstLine="420" w:firstLineChars="200"/>
        <w:rPr>
          <w:rFonts w:ascii="宋体" w:hAnsi="宋体" w:cs="宋体"/>
          <w:szCs w:val="21"/>
          <w:highlight w:val="none"/>
        </w:rPr>
      </w:pPr>
      <w:r>
        <w:rPr>
          <w:rFonts w:hint="eastAsia" w:ascii="宋体" w:hAnsi="宋体" w:cs="宋体"/>
          <w:szCs w:val="21"/>
          <w:highlight w:val="none"/>
        </w:rPr>
        <w:t>（9）针对被拖移、吊装的事故车辆，中标企业工作人员，按顺序拍摄以下三张照片留证：</w:t>
      </w:r>
    </w:p>
    <w:p w14:paraId="77D25192">
      <w:pPr>
        <w:spacing w:line="360" w:lineRule="auto"/>
        <w:ind w:firstLine="420" w:firstLineChars="200"/>
        <w:rPr>
          <w:rFonts w:ascii="宋体" w:hAnsi="宋体" w:cs="宋体"/>
          <w:szCs w:val="21"/>
          <w:highlight w:val="none"/>
        </w:rPr>
      </w:pPr>
      <w:r>
        <w:rPr>
          <w:rFonts w:hint="eastAsia" w:ascii="宋体" w:hAnsi="宋体" w:cs="宋体"/>
          <w:szCs w:val="21"/>
          <w:highlight w:val="none"/>
        </w:rPr>
        <w:t>①事故现场照片。照片要求：照片能清晰、准确反映事故现场全貌和事故车辆号牌，无号牌车辆拍摄车辆的正前方。</w:t>
      </w:r>
    </w:p>
    <w:p w14:paraId="5FA69FAB">
      <w:pPr>
        <w:spacing w:line="360" w:lineRule="auto"/>
        <w:ind w:firstLine="420" w:firstLineChars="200"/>
        <w:rPr>
          <w:rFonts w:ascii="宋体" w:hAnsi="宋体" w:cs="宋体"/>
          <w:szCs w:val="21"/>
          <w:highlight w:val="none"/>
        </w:rPr>
      </w:pPr>
      <w:r>
        <w:rPr>
          <w:rFonts w:hint="eastAsia" w:ascii="宋体" w:hAnsi="宋体" w:cs="宋体"/>
          <w:szCs w:val="21"/>
          <w:highlight w:val="none"/>
        </w:rPr>
        <w:t>②拖移、吊装过程照片。照片要求：能清晰反映清障车辆架起事故车辆。</w:t>
      </w:r>
    </w:p>
    <w:p w14:paraId="78D2D210">
      <w:pPr>
        <w:spacing w:line="360" w:lineRule="auto"/>
        <w:ind w:firstLine="420" w:firstLineChars="200"/>
        <w:rPr>
          <w:rFonts w:ascii="宋体" w:hAnsi="宋体" w:cs="宋体"/>
          <w:szCs w:val="21"/>
          <w:highlight w:val="none"/>
        </w:rPr>
      </w:pPr>
      <w:r>
        <w:rPr>
          <w:rFonts w:hint="eastAsia" w:ascii="宋体" w:hAnsi="宋体" w:cs="宋体"/>
          <w:szCs w:val="21"/>
          <w:highlight w:val="none"/>
        </w:rPr>
        <w:t>③到达停车场照片。照片要求：能反映事故车辆已停放在停车场。</w:t>
      </w:r>
    </w:p>
    <w:p w14:paraId="02682A42">
      <w:pPr>
        <w:spacing w:line="360" w:lineRule="auto"/>
        <w:ind w:firstLine="420" w:firstLineChars="200"/>
        <w:rPr>
          <w:rFonts w:ascii="宋体" w:hAnsi="宋体" w:cs="宋体"/>
          <w:szCs w:val="21"/>
          <w:highlight w:val="none"/>
        </w:rPr>
      </w:pPr>
      <w:r>
        <w:rPr>
          <w:rFonts w:hint="eastAsia" w:ascii="宋体" w:hAnsi="宋体" w:cs="宋体"/>
          <w:szCs w:val="21"/>
          <w:highlight w:val="none"/>
        </w:rPr>
        <w:t>（10）中标企业提供服务期间应遵守国家相关法律法规和地方规定，发生意外和事故造成的一切责任由中标企业负责，造成的损失与第三方损失全部由中标企业承担，同时中标企业应积极主动协调处理，避免事件发酵扩大。</w:t>
      </w:r>
    </w:p>
    <w:p w14:paraId="534FE7F5">
      <w:pPr>
        <w:spacing w:line="360" w:lineRule="auto"/>
        <w:ind w:firstLine="420" w:firstLineChars="200"/>
        <w:rPr>
          <w:rFonts w:ascii="宋体" w:hAnsi="宋体" w:cs="宋体"/>
          <w:szCs w:val="21"/>
          <w:highlight w:val="none"/>
        </w:rPr>
      </w:pPr>
      <w:r>
        <w:rPr>
          <w:rFonts w:hint="eastAsia" w:ascii="宋体" w:hAnsi="宋体" w:cs="宋体"/>
          <w:szCs w:val="21"/>
          <w:highlight w:val="none"/>
        </w:rPr>
        <w:t>（11）中标企业及其工作人员不得违规收取任何费用；</w:t>
      </w:r>
    </w:p>
    <w:p w14:paraId="6DC9AA2F">
      <w:pPr>
        <w:spacing w:line="360" w:lineRule="auto"/>
        <w:ind w:firstLine="420" w:firstLineChars="200"/>
        <w:rPr>
          <w:rFonts w:ascii="宋体" w:hAnsi="宋体" w:cs="宋体"/>
          <w:szCs w:val="21"/>
          <w:highlight w:val="none"/>
        </w:rPr>
      </w:pPr>
      <w:r>
        <w:rPr>
          <w:rFonts w:hint="eastAsia" w:ascii="宋体" w:hAnsi="宋体" w:cs="宋体"/>
          <w:szCs w:val="21"/>
          <w:highlight w:val="none"/>
        </w:rPr>
        <w:t>（12）中标企业及其工作人员不得私自放行所有被拖移、吊装的车辆、不得私自处理被拖移、吊装车辆及附属物品。</w:t>
      </w:r>
    </w:p>
    <w:p w14:paraId="54E3D199">
      <w:pPr>
        <w:spacing w:line="360" w:lineRule="auto"/>
        <w:ind w:firstLine="420" w:firstLineChars="200"/>
        <w:rPr>
          <w:rFonts w:ascii="宋体" w:hAnsi="宋体" w:cs="宋体"/>
          <w:szCs w:val="21"/>
          <w:highlight w:val="none"/>
        </w:rPr>
      </w:pPr>
      <w:r>
        <w:rPr>
          <w:rFonts w:hint="eastAsia" w:ascii="宋体" w:hAnsi="宋体" w:cs="宋体"/>
          <w:szCs w:val="21"/>
          <w:highlight w:val="none"/>
        </w:rPr>
        <w:t>（13）中标企业每月持拖移、吊装车辆数量及明细，由各大队确认后报事故处，由事故处汇总后转秩序处。</w:t>
      </w:r>
    </w:p>
    <w:p w14:paraId="0EB2A934">
      <w:pPr>
        <w:spacing w:line="360" w:lineRule="auto"/>
        <w:ind w:firstLine="420" w:firstLineChars="200"/>
        <w:rPr>
          <w:rFonts w:ascii="宋体" w:hAnsi="宋体" w:cs="宋体"/>
          <w:szCs w:val="21"/>
          <w:highlight w:val="none"/>
        </w:rPr>
      </w:pPr>
      <w:r>
        <w:rPr>
          <w:rFonts w:hint="eastAsia" w:ascii="宋体" w:hAnsi="宋体" w:cs="宋体"/>
          <w:szCs w:val="21"/>
          <w:highlight w:val="none"/>
        </w:rPr>
        <w:t>（14）中标企业针对被拖移、吊装至执法停车场的事故车辆必须做好详细登记。</w:t>
      </w:r>
    </w:p>
    <w:p w14:paraId="282FA420">
      <w:pPr>
        <w:spacing w:line="360" w:lineRule="auto"/>
        <w:ind w:firstLine="420" w:firstLineChars="200"/>
        <w:rPr>
          <w:rFonts w:ascii="宋体" w:hAnsi="宋体" w:cs="宋体"/>
          <w:szCs w:val="21"/>
          <w:highlight w:val="none"/>
        </w:rPr>
      </w:pPr>
      <w:r>
        <w:rPr>
          <w:rFonts w:hint="eastAsia" w:ascii="宋体" w:hAnsi="宋体" w:cs="宋体"/>
          <w:szCs w:val="21"/>
          <w:highlight w:val="none"/>
        </w:rPr>
        <w:t>（15）当两家及以上企业配合提供服务时，如发生意外及违反规定的现象，所有责任均由提供服务的企业承担，根据实际情况承担各自责任。</w:t>
      </w:r>
    </w:p>
    <w:p w14:paraId="4FC8BD0B">
      <w:pPr>
        <w:spacing w:before="156" w:beforeLines="50" w:line="360" w:lineRule="auto"/>
        <w:ind w:firstLine="422" w:firstLineChars="200"/>
        <w:rPr>
          <w:rFonts w:ascii="宋体" w:hAnsi="宋体" w:cs="宋体"/>
          <w:b/>
          <w:bCs/>
          <w:szCs w:val="21"/>
          <w:highlight w:val="none"/>
        </w:rPr>
      </w:pPr>
      <w:r>
        <w:rPr>
          <w:rFonts w:hint="eastAsia" w:ascii="宋体" w:hAnsi="宋体" w:cs="宋体"/>
          <w:b/>
          <w:bCs/>
          <w:szCs w:val="21"/>
          <w:highlight w:val="none"/>
        </w:rPr>
        <w:t>2.考核标准</w:t>
      </w:r>
    </w:p>
    <w:p w14:paraId="1B53B12E">
      <w:pPr>
        <w:spacing w:line="360" w:lineRule="auto"/>
        <w:ind w:firstLine="420" w:firstLineChars="200"/>
        <w:rPr>
          <w:rFonts w:ascii="宋体" w:hAnsi="宋体" w:cs="宋体"/>
          <w:szCs w:val="21"/>
          <w:highlight w:val="none"/>
        </w:rPr>
      </w:pPr>
      <w:r>
        <w:rPr>
          <w:rFonts w:hint="eastAsia" w:ascii="宋体" w:hAnsi="宋体" w:cs="宋体"/>
          <w:szCs w:val="21"/>
          <w:highlight w:val="none"/>
        </w:rPr>
        <w:t>（1）中标企业接到合同包内服务大队拖移事故车辆指令后未及时接单回复，按以下情形进行相应罚款：5至10分钟回复的，每次扣0.5分；10至20分钟回复的，每次扣1分；20至30分钟回复的，每次扣3分；30分钟及以上，每次扣10分。</w:t>
      </w:r>
    </w:p>
    <w:p w14:paraId="0007E171">
      <w:pPr>
        <w:spacing w:line="360" w:lineRule="auto"/>
        <w:ind w:firstLine="420" w:firstLineChars="200"/>
        <w:rPr>
          <w:rFonts w:ascii="宋体" w:hAnsi="宋体" w:cs="宋体"/>
          <w:szCs w:val="21"/>
          <w:highlight w:val="none"/>
        </w:rPr>
      </w:pPr>
      <w:r>
        <w:rPr>
          <w:rFonts w:hint="eastAsia" w:ascii="宋体" w:hAnsi="宋体" w:cs="宋体"/>
          <w:szCs w:val="21"/>
          <w:highlight w:val="none"/>
        </w:rPr>
        <w:t>（2）中标企业接到合同包内服务大队拖移事故车辆指令接单回复后，但未及时赶到事故现场的，按以下情形进行相应处罚：迟到5分钟以内（含5分钟），每次扣0.5分；迟到5至10分钟的（含10分钟），每次扣1分；迟到10至20分钟的（含20分钟），每次扣2分；迟到20至30分钟的（含30分钟），每次扣3分；迟到30分钟以上，每次扣5分。</w:t>
      </w:r>
    </w:p>
    <w:p w14:paraId="50628224">
      <w:pPr>
        <w:spacing w:line="360" w:lineRule="auto"/>
        <w:ind w:firstLine="420" w:firstLineChars="200"/>
        <w:rPr>
          <w:rFonts w:ascii="宋体" w:hAnsi="宋体" w:cs="宋体"/>
          <w:szCs w:val="21"/>
          <w:highlight w:val="none"/>
        </w:rPr>
      </w:pPr>
      <w:r>
        <w:rPr>
          <w:rFonts w:hint="eastAsia" w:ascii="宋体" w:hAnsi="宋体" w:cs="宋体"/>
          <w:szCs w:val="21"/>
          <w:highlight w:val="none"/>
        </w:rPr>
        <w:t>（3）中标企业，未按要求留存照片证据的，每辆次扣2分。</w:t>
      </w:r>
    </w:p>
    <w:p w14:paraId="2126AD19">
      <w:pPr>
        <w:spacing w:line="360" w:lineRule="auto"/>
        <w:ind w:firstLine="420" w:firstLineChars="200"/>
        <w:rPr>
          <w:rFonts w:ascii="宋体" w:hAnsi="宋体" w:cs="宋体"/>
          <w:szCs w:val="21"/>
          <w:highlight w:val="none"/>
        </w:rPr>
      </w:pPr>
      <w:r>
        <w:rPr>
          <w:rFonts w:hint="eastAsia" w:ascii="宋体" w:hAnsi="宋体" w:cs="宋体"/>
          <w:szCs w:val="21"/>
          <w:highlight w:val="none"/>
        </w:rPr>
        <w:t>（4）中标企业未按照民警指令规范操作的，每次扣2分。</w:t>
      </w:r>
    </w:p>
    <w:p w14:paraId="0989C1F3">
      <w:pPr>
        <w:spacing w:before="156" w:beforeLines="50" w:line="360" w:lineRule="auto"/>
        <w:ind w:firstLine="422" w:firstLineChars="200"/>
        <w:rPr>
          <w:rFonts w:ascii="宋体" w:hAnsi="宋体" w:cs="宋体"/>
          <w:b/>
          <w:szCs w:val="21"/>
          <w:highlight w:val="none"/>
        </w:rPr>
      </w:pPr>
      <w:r>
        <w:rPr>
          <w:rFonts w:hint="eastAsia" w:ascii="宋体" w:hAnsi="宋体" w:cs="宋体"/>
          <w:b/>
          <w:szCs w:val="21"/>
          <w:highlight w:val="none"/>
        </w:rPr>
        <w:t>五、合同争议解决的方式</w:t>
      </w:r>
    </w:p>
    <w:p w14:paraId="7D41E465">
      <w:pPr>
        <w:spacing w:line="360" w:lineRule="auto"/>
        <w:ind w:firstLine="420" w:firstLineChars="200"/>
        <w:rPr>
          <w:rFonts w:ascii="宋体" w:hAnsi="宋体" w:cs="宋体"/>
          <w:szCs w:val="21"/>
          <w:highlight w:val="none"/>
        </w:rPr>
      </w:pPr>
      <w:r>
        <w:rPr>
          <w:rFonts w:hint="eastAsia" w:ascii="宋体" w:hAnsi="宋体" w:cs="宋体"/>
          <w:szCs w:val="21"/>
          <w:highlight w:val="none"/>
        </w:rPr>
        <w:t>与本合同有关的一切争议，甲乙双方应当协商解决，协商不成的，</w:t>
      </w:r>
      <w:r>
        <w:rPr>
          <w:szCs w:val="21"/>
          <w:highlight w:val="none"/>
          <w:lang w:bidi="zh-CN"/>
        </w:rPr>
        <w:t xml:space="preserve">向西安仲裁委员会提请仲裁 </w:t>
      </w:r>
      <w:r>
        <w:rPr>
          <w:rFonts w:hint="eastAsia" w:ascii="宋体" w:hAnsi="宋体" w:cs="宋体"/>
          <w:szCs w:val="21"/>
          <w:highlight w:val="none"/>
          <w:lang w:bidi="zh-CN"/>
        </w:rPr>
        <w:t>。</w:t>
      </w:r>
    </w:p>
    <w:p w14:paraId="0D8E4FB6">
      <w:pPr>
        <w:spacing w:before="156" w:beforeLines="50" w:line="360" w:lineRule="auto"/>
        <w:ind w:firstLine="422" w:firstLineChars="200"/>
        <w:rPr>
          <w:rFonts w:ascii="宋体" w:hAnsi="宋体" w:cs="宋体"/>
          <w:b/>
          <w:szCs w:val="21"/>
          <w:highlight w:val="none"/>
        </w:rPr>
      </w:pPr>
      <w:r>
        <w:rPr>
          <w:rFonts w:hint="eastAsia" w:ascii="宋体" w:hAnsi="宋体" w:cs="宋体"/>
          <w:b/>
          <w:szCs w:val="21"/>
          <w:highlight w:val="none"/>
        </w:rPr>
        <w:t>六、违约责任</w:t>
      </w:r>
    </w:p>
    <w:p w14:paraId="3CEF8CCF">
      <w:pPr>
        <w:spacing w:line="360" w:lineRule="auto"/>
        <w:ind w:firstLine="420" w:firstLineChars="200"/>
        <w:rPr>
          <w:rFonts w:ascii="宋体" w:hAnsi="宋体" w:cs="宋体"/>
          <w:szCs w:val="21"/>
          <w:highlight w:val="none"/>
        </w:rPr>
      </w:pPr>
      <w:r>
        <w:rPr>
          <w:rFonts w:hint="eastAsia" w:ascii="宋体" w:hAnsi="宋体" w:cs="宋体"/>
          <w:szCs w:val="21"/>
          <w:highlight w:val="none"/>
        </w:rPr>
        <w:t>（1）甲方有权对中标企业就投标事项进行核查。若经核查情况不实，将向有关部门申报取消乙方中标资格</w:t>
      </w:r>
    </w:p>
    <w:p w14:paraId="5312C343">
      <w:pPr>
        <w:spacing w:line="360" w:lineRule="auto"/>
        <w:ind w:firstLine="420" w:firstLineChars="200"/>
        <w:rPr>
          <w:rFonts w:ascii="宋体" w:hAnsi="宋体" w:cs="宋体"/>
          <w:szCs w:val="21"/>
          <w:highlight w:val="none"/>
        </w:rPr>
      </w:pPr>
      <w:r>
        <w:rPr>
          <w:rFonts w:hint="eastAsia" w:ascii="宋体" w:hAnsi="宋体" w:cs="宋体"/>
          <w:szCs w:val="21"/>
          <w:highlight w:val="none"/>
        </w:rPr>
        <w:t>（2）合同签订后，乙方不得转包、分包，亦不得将合同全部及任何权利、义务向第三方转让。</w:t>
      </w:r>
    </w:p>
    <w:p w14:paraId="33F96AF6">
      <w:pPr>
        <w:spacing w:line="360" w:lineRule="auto"/>
        <w:ind w:firstLine="420" w:firstLineChars="200"/>
        <w:rPr>
          <w:rFonts w:ascii="宋体" w:hAnsi="宋体" w:cs="宋体"/>
          <w:szCs w:val="21"/>
          <w:highlight w:val="none"/>
        </w:rPr>
      </w:pPr>
      <w:r>
        <w:rPr>
          <w:rFonts w:hint="eastAsia" w:ascii="宋体" w:hAnsi="宋体" w:cs="宋体"/>
          <w:szCs w:val="21"/>
          <w:highlight w:val="none"/>
        </w:rPr>
        <w:t>（3）乙方在合同有效期内造成甲方损失的，应承担全部赔偿责任（包括但不限于实际损失、可期待利益及律师费）。</w:t>
      </w:r>
    </w:p>
    <w:p w14:paraId="3D56D175">
      <w:pPr>
        <w:spacing w:line="360" w:lineRule="auto"/>
        <w:ind w:firstLine="420" w:firstLineChars="200"/>
        <w:rPr>
          <w:rFonts w:ascii="宋体" w:hAnsi="宋体" w:cs="宋体"/>
          <w:szCs w:val="21"/>
          <w:highlight w:val="none"/>
        </w:rPr>
      </w:pPr>
      <w:r>
        <w:rPr>
          <w:rFonts w:hint="eastAsia" w:ascii="宋体" w:hAnsi="宋体" w:cs="宋体"/>
          <w:szCs w:val="21"/>
          <w:highlight w:val="none"/>
        </w:rPr>
        <w:t>（4）合同有效期内甲方收到乙方有违规行为的线索，可要求乙方先停业整改，待甲方查明事实后按违约条款处理。</w:t>
      </w:r>
    </w:p>
    <w:p w14:paraId="2DC73018">
      <w:pPr>
        <w:spacing w:line="360" w:lineRule="auto"/>
        <w:ind w:firstLine="420" w:firstLineChars="200"/>
        <w:rPr>
          <w:rFonts w:ascii="宋体" w:hAnsi="宋体" w:cs="宋体"/>
          <w:szCs w:val="21"/>
          <w:highlight w:val="none"/>
        </w:rPr>
      </w:pPr>
      <w:r>
        <w:rPr>
          <w:rFonts w:hint="eastAsia" w:ascii="宋体" w:hAnsi="宋体" w:cs="宋体"/>
          <w:szCs w:val="21"/>
          <w:highlight w:val="none"/>
        </w:rPr>
        <w:t>（5）因不可抗力造成乙方不具备合同履约条件的，由甲方执法部门申请，经相应程序后更换乙方单位。</w:t>
      </w:r>
    </w:p>
    <w:p w14:paraId="4CD4ADDC">
      <w:pPr>
        <w:spacing w:before="156" w:beforeLines="50" w:line="360" w:lineRule="auto"/>
        <w:ind w:firstLine="422" w:firstLineChars="200"/>
        <w:rPr>
          <w:rFonts w:ascii="宋体" w:hAnsi="宋体" w:cs="宋体"/>
          <w:b/>
          <w:szCs w:val="21"/>
          <w:highlight w:val="none"/>
        </w:rPr>
      </w:pPr>
      <w:r>
        <w:rPr>
          <w:rFonts w:hint="eastAsia" w:ascii="宋体" w:hAnsi="宋体" w:cs="宋体"/>
          <w:b/>
          <w:szCs w:val="21"/>
          <w:highlight w:val="none"/>
        </w:rPr>
        <w:t>七、合同的变更、中止及终止</w:t>
      </w:r>
    </w:p>
    <w:p w14:paraId="1F975E8D">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合同一经签订，不得擅自变更、中止或者终止合同。对确需变更、调整或者中止、终止合同的，应按规定履行相应的手续。</w:t>
      </w:r>
    </w:p>
    <w:p w14:paraId="1B955D12">
      <w:pPr>
        <w:spacing w:before="156" w:beforeLines="50" w:line="360" w:lineRule="auto"/>
        <w:ind w:firstLine="422" w:firstLineChars="200"/>
        <w:rPr>
          <w:rFonts w:ascii="宋体" w:hAnsi="宋体" w:cs="宋体"/>
          <w:b/>
          <w:szCs w:val="21"/>
          <w:highlight w:val="none"/>
        </w:rPr>
      </w:pPr>
      <w:r>
        <w:rPr>
          <w:rFonts w:hint="eastAsia" w:ascii="宋体" w:hAnsi="宋体" w:cs="宋体"/>
          <w:b/>
          <w:szCs w:val="21"/>
          <w:highlight w:val="none"/>
        </w:rPr>
        <w:t>八、验收方法</w:t>
      </w:r>
    </w:p>
    <w:p w14:paraId="309F3AD8">
      <w:pPr>
        <w:spacing w:line="360" w:lineRule="auto"/>
        <w:ind w:firstLine="420" w:firstLineChars="200"/>
        <w:rPr>
          <w:rFonts w:ascii="宋体" w:hAnsi="宋体" w:cs="宋体"/>
          <w:szCs w:val="21"/>
          <w:highlight w:val="none"/>
        </w:rPr>
      </w:pPr>
      <w:r>
        <w:rPr>
          <w:rFonts w:hint="eastAsia" w:ascii="宋体" w:hAnsi="宋体" w:cs="宋体"/>
          <w:szCs w:val="21"/>
          <w:highlight w:val="none"/>
        </w:rPr>
        <w:t>大队与支队业务科室共同对提供服务清障企业进行考核，分阶段一个月验收一次。</w:t>
      </w:r>
    </w:p>
    <w:p w14:paraId="3BCA4CC7">
      <w:pPr>
        <w:spacing w:before="156" w:beforeLines="50" w:line="360" w:lineRule="auto"/>
        <w:ind w:firstLine="422" w:firstLineChars="200"/>
        <w:rPr>
          <w:rFonts w:ascii="宋体" w:hAnsi="宋体" w:cs="宋体"/>
          <w:b/>
          <w:szCs w:val="21"/>
          <w:highlight w:val="none"/>
        </w:rPr>
      </w:pPr>
      <w:r>
        <w:rPr>
          <w:rFonts w:hint="eastAsia" w:ascii="宋体" w:hAnsi="宋体" w:cs="宋体"/>
          <w:b/>
          <w:szCs w:val="21"/>
          <w:highlight w:val="none"/>
        </w:rPr>
        <w:t>九、不可抗力情况下的免责约定</w:t>
      </w:r>
    </w:p>
    <w:p w14:paraId="3EC809B2">
      <w:pPr>
        <w:widowControl/>
        <w:spacing w:line="360" w:lineRule="auto"/>
        <w:ind w:firstLine="420" w:firstLineChars="200"/>
        <w:jc w:val="left"/>
        <w:rPr>
          <w:rFonts w:ascii="宋体" w:hAnsi="宋体" w:cs="宋体"/>
          <w:b/>
          <w:szCs w:val="21"/>
          <w:highlight w:val="none"/>
        </w:rPr>
      </w:pPr>
      <w:r>
        <w:rPr>
          <w:rFonts w:hint="eastAsia" w:ascii="宋体" w:hAnsi="宋体" w:cs="宋体"/>
          <w:kern w:val="0"/>
          <w:szCs w:val="21"/>
          <w:highlight w:val="none"/>
        </w:rPr>
        <w:t>双方约定不可抗力情况指：双方不可预见、不可避免、不可克服的客观情况，但不包括双方的违约或疏忽。这些事件包括但不限于：战争、严重火灾、洪水、台风、地震等。</w:t>
      </w:r>
    </w:p>
    <w:p w14:paraId="196C59D7">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如果任何一方当事人受到不能预见、不能避免且不能克服的不可抗力事件的影响，例如战争、严重的火灾、台风、地震、洪水等情形，而无法履行合同项下的任何义务，则受影响的一方当事人应立即将此类事件的发生通知另一方当事人，并应在不可抗力事件发生后</w:t>
      </w:r>
      <w:r>
        <w:rPr>
          <w:rFonts w:hint="eastAsia" w:ascii="宋体" w:hAnsi="宋体" w:cs="宋体"/>
          <w:kern w:val="0"/>
          <w:szCs w:val="21"/>
          <w:highlight w:val="none"/>
          <w:u w:val="single"/>
        </w:rPr>
        <w:t xml:space="preserve"> 28 </w:t>
      </w:r>
      <w:r>
        <w:rPr>
          <w:rFonts w:hint="eastAsia" w:ascii="宋体" w:hAnsi="宋体" w:cs="宋体"/>
          <w:kern w:val="0"/>
          <w:szCs w:val="21"/>
          <w:highlight w:val="none"/>
        </w:rPr>
        <w:t>日内将有关当局或机构出具的证明文件提交给另一方当事人。</w:t>
      </w:r>
    </w:p>
    <w:p w14:paraId="0E0C5CAE">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2.受不可抗力事件影响的一方当事人对于不可抗力事件导致的任何合同义务的迟延履行或不能履行不承担违约责任。但该方当事人应尽快将不可抗力事件结束或消除的情况通知另一方当事人。</w:t>
      </w:r>
    </w:p>
    <w:p w14:paraId="349E4CFF">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3.双方当事人应在不可抗力事件结束或其影响消除后立即继续履行其合同义务，合同期限也应相应顺延。如果不可抗力事件的影响持续超过</w:t>
      </w:r>
      <w:r>
        <w:rPr>
          <w:rFonts w:hint="eastAsia" w:ascii="宋体" w:hAnsi="宋体" w:cs="宋体"/>
          <w:kern w:val="0"/>
          <w:szCs w:val="21"/>
          <w:highlight w:val="none"/>
          <w:u w:val="single"/>
        </w:rPr>
        <w:t xml:space="preserve"> 90 </w:t>
      </w:r>
      <w:r>
        <w:rPr>
          <w:rFonts w:hint="eastAsia" w:ascii="宋体" w:hAnsi="宋体" w:cs="宋体"/>
          <w:kern w:val="0"/>
          <w:szCs w:val="21"/>
          <w:highlight w:val="none"/>
        </w:rPr>
        <w:t>日，则任何一方当事人均有权以书面通知解除合同。</w:t>
      </w:r>
    </w:p>
    <w:p w14:paraId="12381F95">
      <w:pPr>
        <w:spacing w:before="156" w:beforeLines="50" w:line="360" w:lineRule="auto"/>
        <w:ind w:firstLine="422" w:firstLineChars="200"/>
        <w:rPr>
          <w:rFonts w:ascii="宋体" w:hAnsi="宋体" w:cs="宋体"/>
          <w:b/>
          <w:szCs w:val="21"/>
          <w:highlight w:val="none"/>
        </w:rPr>
      </w:pPr>
      <w:r>
        <w:rPr>
          <w:rFonts w:hint="eastAsia" w:ascii="宋体" w:hAnsi="宋体" w:cs="宋体"/>
          <w:b/>
          <w:szCs w:val="21"/>
          <w:highlight w:val="none"/>
        </w:rPr>
        <w:t>十、保密条款：</w:t>
      </w:r>
    </w:p>
    <w:p w14:paraId="2882DD5B">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1.乙方有责任对获知的甲方涉密信息，业务信息，工作信息、相关数据等与甲方有关的所有信息及数据保密。</w:t>
      </w:r>
    </w:p>
    <w:p w14:paraId="66B21DA9">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2.乙方需对参加实施项目的人员进行保密教育，严格遵守 《中华人民共和国保守国家秘密法》《中华人民共和国保守国家秘密法实施条例》的有关规定，遵守甲方单位保密制度、本合同内的保密条款的规定。</w:t>
      </w:r>
    </w:p>
    <w:p w14:paraId="575D1A72">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乙方应妥善保管甲方提供的项目相关的各种资料、磁、纸介质文件、数据等，防止外泄、遗失或被盗，不论乙方因何种原因对甲方造成泄密或信息外泄时，甲方有权依照国家法律法规的规定追究乙方责任并追索赔偿损失。</w:t>
      </w:r>
    </w:p>
    <w:p w14:paraId="157CEE67">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4.无论合同是否被撤销、变更、解除或终止，无论合同是否生效，合同之保密条款不受其限制而继续有效。</w:t>
      </w:r>
    </w:p>
    <w:p w14:paraId="3D434AD7">
      <w:pPr>
        <w:spacing w:before="156" w:beforeLines="50" w:line="360" w:lineRule="auto"/>
        <w:ind w:firstLine="422" w:firstLineChars="200"/>
        <w:rPr>
          <w:rFonts w:ascii="宋体" w:hAnsi="宋体" w:cs="宋体"/>
          <w:b/>
          <w:szCs w:val="21"/>
          <w:highlight w:val="none"/>
        </w:rPr>
      </w:pPr>
      <w:r>
        <w:rPr>
          <w:rFonts w:hint="eastAsia" w:ascii="宋体" w:hAnsi="宋体" w:cs="宋体"/>
          <w:b/>
          <w:szCs w:val="21"/>
          <w:highlight w:val="none"/>
        </w:rPr>
        <w:t>十一、其他事项</w:t>
      </w:r>
    </w:p>
    <w:p w14:paraId="50DF4831">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1.见证方作为采购代理机构对合同进行确认，并会同甲、乙双方共同执行合同。</w:t>
      </w:r>
    </w:p>
    <w:p w14:paraId="019C67AF">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2.西安市财政局政府采购管理处在合同的履行期间以及履行期后，可以随时检查项目的执行情况，对采购标准、采购内容进行调查核实，并对发现的问题进行处理。</w:t>
      </w:r>
    </w:p>
    <w:p w14:paraId="61591609">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3.招标文件、投标文件、澄清表、合同附件均成为合同不可分割的部分。</w:t>
      </w:r>
    </w:p>
    <w:p w14:paraId="739D3218">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4.本合同有关附件及补充合同是本合同不可分割的组成部分，与本合同具有同等法律效力；本合同未尽事宜，双方另行协商并签署补充合同，作为本合同的附件，具有同等法律效力。</w:t>
      </w:r>
    </w:p>
    <w:p w14:paraId="7FB459BF">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合同其他事项双方另行协商补充：</w:t>
      </w:r>
      <w:r>
        <w:rPr>
          <w:rFonts w:hint="eastAsia" w:ascii="宋体" w:hAnsi="宋体" w:cs="宋体"/>
          <w:kern w:val="0"/>
          <w:szCs w:val="21"/>
          <w:highlight w:val="none"/>
          <w:u w:val="single"/>
        </w:rPr>
        <w:t xml:space="preserve">                /                  </w:t>
      </w:r>
    </w:p>
    <w:p w14:paraId="455FCB1A">
      <w:pPr>
        <w:spacing w:before="156" w:beforeLines="50" w:line="360" w:lineRule="auto"/>
        <w:ind w:firstLine="422" w:firstLineChars="200"/>
        <w:rPr>
          <w:rFonts w:ascii="宋体" w:hAnsi="宋体" w:cs="宋体"/>
          <w:b/>
          <w:szCs w:val="21"/>
          <w:highlight w:val="none"/>
        </w:rPr>
      </w:pPr>
      <w:r>
        <w:rPr>
          <w:rFonts w:hint="eastAsia" w:ascii="宋体" w:hAnsi="宋体" w:cs="宋体"/>
          <w:b/>
          <w:szCs w:val="21"/>
          <w:highlight w:val="none"/>
        </w:rPr>
        <w:t>十二、生效条件、订立日期</w:t>
      </w:r>
    </w:p>
    <w:p w14:paraId="0F68A74F">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1.本合同在甲、乙双方签字、盖章之后生效。</w:t>
      </w:r>
    </w:p>
    <w:p w14:paraId="3689AB8C">
      <w:pPr>
        <w:widowControl/>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2.本合同一式</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份，具有同等效力。甲、乙双方各执</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份，见证方执副本一份，政府采购管理部门备案副本一份。</w:t>
      </w:r>
    </w:p>
    <w:p w14:paraId="62D06604">
      <w:pPr>
        <w:rPr>
          <w:rFonts w:ascii="宋体" w:hAnsi="宋体" w:cs="宋体"/>
          <w:highlight w:val="none"/>
        </w:rPr>
      </w:pPr>
      <w:r>
        <w:rPr>
          <w:rFonts w:hint="eastAsia" w:ascii="宋体" w:hAnsi="宋体" w:cs="宋体"/>
          <w:highlight w:val="none"/>
        </w:rPr>
        <w:br w:type="page"/>
      </w:r>
      <w:r>
        <w:rPr>
          <w:rFonts w:hint="eastAsia" w:ascii="宋体" w:hAnsi="宋体" w:cs="宋体"/>
          <w:highlight w:val="none"/>
        </w:rPr>
        <w:t>签章页：</w:t>
      </w:r>
    </w:p>
    <w:tbl>
      <w:tblPr>
        <w:tblStyle w:val="12"/>
        <w:tblW w:w="4866" w:type="pct"/>
        <w:tblInd w:w="12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74"/>
        <w:gridCol w:w="2603"/>
        <w:gridCol w:w="2617"/>
      </w:tblGrid>
      <w:tr w14:paraId="397BD3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75" w:type="dxa"/>
            <w:vAlign w:val="center"/>
          </w:tcPr>
          <w:p w14:paraId="66C47CA4">
            <w:pPr>
              <w:pStyle w:val="2"/>
              <w:jc w:val="center"/>
              <w:rPr>
                <w:rFonts w:ascii="宋体" w:hAnsi="宋体" w:cs="宋体"/>
                <w:sz w:val="21"/>
                <w:szCs w:val="21"/>
                <w:highlight w:val="none"/>
              </w:rPr>
            </w:pPr>
            <w:r>
              <w:rPr>
                <w:rFonts w:hint="eastAsia" w:ascii="宋体" w:hAnsi="宋体" w:cs="宋体"/>
                <w:sz w:val="21"/>
                <w:szCs w:val="21"/>
                <w:highlight w:val="none"/>
              </w:rPr>
              <w:t>甲  方</w:t>
            </w:r>
          </w:p>
        </w:tc>
        <w:tc>
          <w:tcPr>
            <w:tcW w:w="2603" w:type="dxa"/>
            <w:vAlign w:val="center"/>
          </w:tcPr>
          <w:p w14:paraId="5575159A">
            <w:pPr>
              <w:pStyle w:val="2"/>
              <w:jc w:val="center"/>
              <w:rPr>
                <w:rFonts w:ascii="宋体" w:hAnsi="宋体" w:cs="宋体"/>
                <w:sz w:val="21"/>
                <w:szCs w:val="21"/>
                <w:highlight w:val="none"/>
              </w:rPr>
            </w:pPr>
            <w:r>
              <w:rPr>
                <w:rFonts w:hint="eastAsia" w:ascii="宋体" w:hAnsi="宋体" w:cs="宋体"/>
                <w:sz w:val="21"/>
                <w:szCs w:val="21"/>
                <w:highlight w:val="none"/>
              </w:rPr>
              <w:t>乙  方</w:t>
            </w:r>
          </w:p>
        </w:tc>
        <w:tc>
          <w:tcPr>
            <w:tcW w:w="2616" w:type="dxa"/>
            <w:vAlign w:val="center"/>
          </w:tcPr>
          <w:p w14:paraId="2C792DB7">
            <w:pPr>
              <w:pStyle w:val="2"/>
              <w:jc w:val="center"/>
              <w:rPr>
                <w:rFonts w:ascii="宋体" w:hAnsi="宋体" w:cs="宋体"/>
                <w:sz w:val="21"/>
                <w:szCs w:val="21"/>
                <w:highlight w:val="none"/>
              </w:rPr>
            </w:pPr>
            <w:r>
              <w:rPr>
                <w:rFonts w:hint="eastAsia" w:ascii="宋体" w:hAnsi="宋体" w:cs="宋体"/>
                <w:sz w:val="21"/>
                <w:szCs w:val="21"/>
                <w:highlight w:val="none"/>
              </w:rPr>
              <w:t>见 证 方</w:t>
            </w:r>
          </w:p>
        </w:tc>
      </w:tr>
      <w:tr w14:paraId="279E4E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75" w:type="dxa"/>
            <w:vAlign w:val="center"/>
          </w:tcPr>
          <w:p w14:paraId="169E46DA">
            <w:pPr>
              <w:pStyle w:val="2"/>
              <w:rPr>
                <w:rFonts w:ascii="宋体" w:hAnsi="宋体" w:cs="宋体"/>
                <w:sz w:val="21"/>
                <w:szCs w:val="21"/>
                <w:highlight w:val="none"/>
              </w:rPr>
            </w:pPr>
            <w:r>
              <w:rPr>
                <w:rFonts w:hint="eastAsia" w:ascii="宋体" w:hAnsi="宋体" w:cs="宋体"/>
                <w:sz w:val="21"/>
                <w:szCs w:val="21"/>
                <w:highlight w:val="none"/>
              </w:rPr>
              <w:t>西安市公安局交通警察支队</w:t>
            </w:r>
          </w:p>
          <w:p w14:paraId="0FAD95F2">
            <w:pPr>
              <w:pStyle w:val="2"/>
              <w:rPr>
                <w:rFonts w:ascii="宋体" w:hAnsi="宋体" w:cs="宋体"/>
                <w:sz w:val="21"/>
                <w:szCs w:val="21"/>
                <w:highlight w:val="none"/>
              </w:rPr>
            </w:pPr>
            <w:r>
              <w:rPr>
                <w:rFonts w:hint="eastAsia" w:ascii="宋体" w:hAnsi="宋体" w:cs="宋体"/>
                <w:sz w:val="21"/>
                <w:szCs w:val="21"/>
                <w:highlight w:val="none"/>
              </w:rPr>
              <w:t>（公章）</w:t>
            </w:r>
          </w:p>
        </w:tc>
        <w:tc>
          <w:tcPr>
            <w:tcW w:w="2603" w:type="dxa"/>
            <w:vAlign w:val="center"/>
          </w:tcPr>
          <w:p w14:paraId="324E0699">
            <w:pPr>
              <w:pStyle w:val="2"/>
              <w:rPr>
                <w:rFonts w:ascii="宋体" w:hAnsi="宋体" w:cs="宋体"/>
                <w:sz w:val="21"/>
                <w:szCs w:val="21"/>
                <w:highlight w:val="none"/>
              </w:rPr>
            </w:pPr>
            <w:r>
              <w:rPr>
                <w:rFonts w:hint="eastAsia" w:ascii="宋体" w:hAnsi="宋体" w:cs="宋体"/>
                <w:sz w:val="21"/>
                <w:szCs w:val="21"/>
                <w:highlight w:val="none"/>
              </w:rPr>
              <w:t>（公章）</w:t>
            </w:r>
          </w:p>
        </w:tc>
        <w:tc>
          <w:tcPr>
            <w:tcW w:w="2616" w:type="dxa"/>
            <w:vAlign w:val="center"/>
          </w:tcPr>
          <w:p w14:paraId="1E199B2F">
            <w:pPr>
              <w:pStyle w:val="2"/>
              <w:rPr>
                <w:rFonts w:ascii="宋体" w:hAnsi="宋体" w:cs="宋体"/>
                <w:sz w:val="21"/>
                <w:szCs w:val="21"/>
                <w:highlight w:val="none"/>
              </w:rPr>
            </w:pPr>
            <w:r>
              <w:rPr>
                <w:rFonts w:hint="eastAsia" w:ascii="宋体" w:hAnsi="宋体" w:cs="宋体"/>
                <w:sz w:val="21"/>
                <w:szCs w:val="21"/>
                <w:highlight w:val="none"/>
              </w:rPr>
              <w:t>（公章）</w:t>
            </w:r>
          </w:p>
        </w:tc>
      </w:tr>
      <w:tr w14:paraId="3850A1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75" w:type="dxa"/>
            <w:vAlign w:val="center"/>
          </w:tcPr>
          <w:p w14:paraId="5A284513">
            <w:pPr>
              <w:pStyle w:val="2"/>
              <w:rPr>
                <w:rFonts w:ascii="宋体" w:hAnsi="宋体" w:cs="宋体"/>
                <w:sz w:val="21"/>
                <w:szCs w:val="21"/>
                <w:highlight w:val="none"/>
              </w:rPr>
            </w:pPr>
            <w:r>
              <w:rPr>
                <w:rFonts w:hint="eastAsia" w:ascii="宋体" w:hAnsi="宋体" w:cs="宋体"/>
                <w:sz w:val="21"/>
                <w:szCs w:val="21"/>
                <w:highlight w:val="none"/>
              </w:rPr>
              <w:t>地址：陕西省西安市雁塔区太白南路222号</w:t>
            </w:r>
          </w:p>
        </w:tc>
        <w:tc>
          <w:tcPr>
            <w:tcW w:w="2603" w:type="dxa"/>
            <w:vAlign w:val="center"/>
          </w:tcPr>
          <w:p w14:paraId="4DD16A50">
            <w:pPr>
              <w:pStyle w:val="2"/>
              <w:rPr>
                <w:rFonts w:ascii="宋体" w:hAnsi="宋体" w:cs="宋体"/>
                <w:sz w:val="21"/>
                <w:szCs w:val="21"/>
                <w:highlight w:val="none"/>
              </w:rPr>
            </w:pPr>
            <w:r>
              <w:rPr>
                <w:rFonts w:hint="eastAsia" w:ascii="宋体" w:hAnsi="宋体" w:cs="宋体"/>
                <w:sz w:val="21"/>
                <w:szCs w:val="21"/>
                <w:highlight w:val="none"/>
              </w:rPr>
              <w:t>地址：</w:t>
            </w:r>
          </w:p>
        </w:tc>
        <w:tc>
          <w:tcPr>
            <w:tcW w:w="2616" w:type="dxa"/>
            <w:vAlign w:val="center"/>
          </w:tcPr>
          <w:p w14:paraId="6B4F1ABF">
            <w:pPr>
              <w:pStyle w:val="2"/>
              <w:rPr>
                <w:rFonts w:ascii="宋体" w:hAnsi="宋体" w:cs="宋体"/>
                <w:sz w:val="21"/>
                <w:szCs w:val="21"/>
                <w:highlight w:val="none"/>
              </w:rPr>
            </w:pPr>
            <w:r>
              <w:rPr>
                <w:rFonts w:hint="eastAsia" w:ascii="宋体" w:hAnsi="宋体" w:cs="宋体"/>
                <w:sz w:val="21"/>
                <w:szCs w:val="21"/>
                <w:highlight w:val="none"/>
              </w:rPr>
              <w:t>地址：西安市雁塔区南二环西段58号成长大厦</w:t>
            </w:r>
          </w:p>
        </w:tc>
      </w:tr>
      <w:tr w14:paraId="3C990D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75" w:type="dxa"/>
            <w:vAlign w:val="center"/>
          </w:tcPr>
          <w:p w14:paraId="63A82152">
            <w:pPr>
              <w:pStyle w:val="2"/>
              <w:rPr>
                <w:rFonts w:ascii="宋体" w:hAnsi="宋体" w:cs="宋体"/>
                <w:sz w:val="21"/>
                <w:szCs w:val="21"/>
                <w:highlight w:val="none"/>
              </w:rPr>
            </w:pPr>
            <w:r>
              <w:rPr>
                <w:rFonts w:hint="eastAsia" w:ascii="宋体" w:hAnsi="宋体" w:cs="宋体"/>
                <w:sz w:val="21"/>
                <w:szCs w:val="21"/>
                <w:highlight w:val="none"/>
              </w:rPr>
              <w:t>邮编：710000</w:t>
            </w:r>
          </w:p>
        </w:tc>
        <w:tc>
          <w:tcPr>
            <w:tcW w:w="2603" w:type="dxa"/>
            <w:vAlign w:val="center"/>
          </w:tcPr>
          <w:p w14:paraId="1BA5ECE5">
            <w:pPr>
              <w:pStyle w:val="2"/>
              <w:rPr>
                <w:rFonts w:ascii="宋体" w:hAnsi="宋体" w:cs="宋体"/>
                <w:sz w:val="21"/>
                <w:szCs w:val="21"/>
                <w:highlight w:val="none"/>
              </w:rPr>
            </w:pPr>
            <w:r>
              <w:rPr>
                <w:rFonts w:hint="eastAsia" w:ascii="宋体" w:hAnsi="宋体" w:cs="宋体"/>
                <w:sz w:val="21"/>
                <w:szCs w:val="21"/>
                <w:highlight w:val="none"/>
              </w:rPr>
              <w:t>邮编：</w:t>
            </w:r>
          </w:p>
        </w:tc>
        <w:tc>
          <w:tcPr>
            <w:tcW w:w="2616" w:type="dxa"/>
            <w:vAlign w:val="center"/>
          </w:tcPr>
          <w:p w14:paraId="6F9D291A">
            <w:pPr>
              <w:pStyle w:val="2"/>
              <w:rPr>
                <w:rFonts w:ascii="宋体" w:hAnsi="宋体" w:cs="宋体"/>
                <w:sz w:val="21"/>
                <w:szCs w:val="21"/>
                <w:highlight w:val="none"/>
              </w:rPr>
            </w:pPr>
            <w:r>
              <w:rPr>
                <w:rFonts w:hint="eastAsia" w:ascii="宋体" w:hAnsi="宋体" w:cs="宋体"/>
                <w:sz w:val="21"/>
                <w:szCs w:val="21"/>
                <w:highlight w:val="none"/>
              </w:rPr>
              <w:t>邮编：710000</w:t>
            </w:r>
          </w:p>
        </w:tc>
      </w:tr>
      <w:tr w14:paraId="573E4F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75" w:type="dxa"/>
            <w:vAlign w:val="center"/>
          </w:tcPr>
          <w:p w14:paraId="15D571E1">
            <w:pPr>
              <w:pStyle w:val="2"/>
              <w:rPr>
                <w:rFonts w:ascii="宋体" w:hAnsi="宋体" w:cs="宋体"/>
                <w:sz w:val="21"/>
                <w:szCs w:val="21"/>
                <w:highlight w:val="none"/>
              </w:rPr>
            </w:pPr>
            <w:r>
              <w:rPr>
                <w:rFonts w:hint="eastAsia" w:ascii="宋体" w:hAnsi="宋体" w:cs="宋体"/>
                <w:sz w:val="21"/>
                <w:szCs w:val="21"/>
                <w:highlight w:val="none"/>
              </w:rPr>
              <w:t>法定或委托代理人：</w:t>
            </w:r>
          </w:p>
        </w:tc>
        <w:tc>
          <w:tcPr>
            <w:tcW w:w="2603" w:type="dxa"/>
            <w:vAlign w:val="center"/>
          </w:tcPr>
          <w:p w14:paraId="40FFE888">
            <w:pPr>
              <w:pStyle w:val="2"/>
              <w:rPr>
                <w:rFonts w:ascii="宋体" w:hAnsi="宋体" w:cs="宋体"/>
                <w:sz w:val="21"/>
                <w:szCs w:val="21"/>
                <w:highlight w:val="none"/>
              </w:rPr>
            </w:pPr>
            <w:r>
              <w:rPr>
                <w:rFonts w:hint="eastAsia" w:ascii="宋体" w:hAnsi="宋体" w:cs="宋体"/>
                <w:sz w:val="21"/>
                <w:szCs w:val="21"/>
                <w:highlight w:val="none"/>
              </w:rPr>
              <w:t>法定代表人：</w:t>
            </w:r>
          </w:p>
        </w:tc>
        <w:tc>
          <w:tcPr>
            <w:tcW w:w="2616" w:type="dxa"/>
            <w:vMerge w:val="restart"/>
            <w:vAlign w:val="center"/>
          </w:tcPr>
          <w:p w14:paraId="76EC1C84">
            <w:pPr>
              <w:pStyle w:val="2"/>
              <w:rPr>
                <w:rFonts w:ascii="宋体" w:hAnsi="宋体" w:cs="宋体"/>
                <w:sz w:val="21"/>
                <w:szCs w:val="21"/>
                <w:highlight w:val="none"/>
              </w:rPr>
            </w:pPr>
            <w:r>
              <w:rPr>
                <w:rFonts w:hint="eastAsia" w:ascii="宋体" w:hAnsi="宋体" w:cs="宋体"/>
                <w:sz w:val="21"/>
                <w:szCs w:val="21"/>
                <w:highlight w:val="none"/>
              </w:rPr>
              <w:t>负责人：</w:t>
            </w:r>
          </w:p>
        </w:tc>
      </w:tr>
      <w:tr w14:paraId="43B5FC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75" w:type="dxa"/>
            <w:vAlign w:val="center"/>
          </w:tcPr>
          <w:p w14:paraId="6884C260">
            <w:pPr>
              <w:pStyle w:val="2"/>
              <w:rPr>
                <w:rFonts w:ascii="宋体" w:hAnsi="宋体" w:cs="宋体"/>
                <w:sz w:val="21"/>
                <w:szCs w:val="21"/>
                <w:highlight w:val="none"/>
              </w:rPr>
            </w:pPr>
            <w:r>
              <w:rPr>
                <w:rFonts w:hint="eastAsia" w:ascii="宋体" w:hAnsi="宋体" w:cs="宋体"/>
                <w:sz w:val="21"/>
                <w:szCs w:val="21"/>
                <w:highlight w:val="none"/>
              </w:rPr>
              <w:t>项目负责人：</w:t>
            </w:r>
          </w:p>
        </w:tc>
        <w:tc>
          <w:tcPr>
            <w:tcW w:w="2603" w:type="dxa"/>
            <w:vAlign w:val="center"/>
          </w:tcPr>
          <w:p w14:paraId="222E1F17">
            <w:pPr>
              <w:pStyle w:val="2"/>
              <w:rPr>
                <w:rFonts w:ascii="宋体" w:hAnsi="宋体" w:cs="宋体"/>
                <w:sz w:val="21"/>
                <w:szCs w:val="21"/>
                <w:highlight w:val="none"/>
              </w:rPr>
            </w:pPr>
            <w:r>
              <w:rPr>
                <w:rFonts w:hint="eastAsia" w:ascii="宋体" w:hAnsi="宋体" w:cs="宋体"/>
                <w:sz w:val="21"/>
                <w:szCs w:val="21"/>
                <w:highlight w:val="none"/>
              </w:rPr>
              <w:t>负责人：</w:t>
            </w:r>
          </w:p>
        </w:tc>
        <w:tc>
          <w:tcPr>
            <w:tcW w:w="2616" w:type="dxa"/>
            <w:vMerge w:val="continue"/>
            <w:vAlign w:val="center"/>
          </w:tcPr>
          <w:p w14:paraId="7F9B6621">
            <w:pPr>
              <w:pStyle w:val="2"/>
              <w:rPr>
                <w:rFonts w:ascii="宋体" w:hAnsi="宋体" w:cs="宋体"/>
                <w:sz w:val="21"/>
                <w:szCs w:val="21"/>
                <w:highlight w:val="none"/>
              </w:rPr>
            </w:pPr>
          </w:p>
        </w:tc>
      </w:tr>
      <w:tr w14:paraId="4D753E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75" w:type="dxa"/>
            <w:vAlign w:val="center"/>
          </w:tcPr>
          <w:p w14:paraId="631FE73B">
            <w:pPr>
              <w:pStyle w:val="2"/>
              <w:rPr>
                <w:rFonts w:ascii="宋体" w:hAnsi="宋体" w:cs="宋体"/>
                <w:sz w:val="21"/>
                <w:szCs w:val="21"/>
                <w:highlight w:val="none"/>
              </w:rPr>
            </w:pPr>
            <w:r>
              <w:rPr>
                <w:rFonts w:hint="eastAsia" w:ascii="宋体" w:hAnsi="宋体" w:cs="宋体"/>
                <w:sz w:val="21"/>
                <w:szCs w:val="21"/>
                <w:highlight w:val="none"/>
              </w:rPr>
              <w:t>经办人：</w:t>
            </w:r>
          </w:p>
        </w:tc>
        <w:tc>
          <w:tcPr>
            <w:tcW w:w="2603" w:type="dxa"/>
            <w:vAlign w:val="center"/>
          </w:tcPr>
          <w:p w14:paraId="6E729D83">
            <w:pPr>
              <w:pStyle w:val="2"/>
              <w:rPr>
                <w:rFonts w:ascii="宋体" w:hAnsi="宋体" w:cs="宋体"/>
                <w:sz w:val="21"/>
                <w:szCs w:val="21"/>
                <w:highlight w:val="none"/>
              </w:rPr>
            </w:pPr>
            <w:r>
              <w:rPr>
                <w:rFonts w:hint="eastAsia" w:ascii="宋体" w:hAnsi="宋体" w:cs="宋体"/>
                <w:sz w:val="21"/>
                <w:szCs w:val="21"/>
                <w:highlight w:val="none"/>
              </w:rPr>
              <w:t>电话：</w:t>
            </w:r>
          </w:p>
        </w:tc>
        <w:tc>
          <w:tcPr>
            <w:tcW w:w="2616" w:type="dxa"/>
            <w:vAlign w:val="center"/>
          </w:tcPr>
          <w:p w14:paraId="2A4811F8">
            <w:pPr>
              <w:pStyle w:val="2"/>
              <w:rPr>
                <w:rFonts w:ascii="宋体" w:hAnsi="宋体" w:cs="宋体"/>
                <w:sz w:val="21"/>
                <w:szCs w:val="21"/>
                <w:highlight w:val="none"/>
              </w:rPr>
            </w:pPr>
            <w:r>
              <w:rPr>
                <w:rFonts w:hint="eastAsia" w:ascii="宋体" w:hAnsi="宋体" w:cs="宋体"/>
                <w:sz w:val="21"/>
                <w:szCs w:val="21"/>
                <w:highlight w:val="none"/>
              </w:rPr>
              <w:t>电话：029-85592866</w:t>
            </w:r>
          </w:p>
        </w:tc>
      </w:tr>
      <w:tr w14:paraId="5ECF62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75" w:type="dxa"/>
            <w:vAlign w:val="center"/>
          </w:tcPr>
          <w:p w14:paraId="3B1B4CB3">
            <w:pPr>
              <w:pStyle w:val="2"/>
              <w:rPr>
                <w:rFonts w:ascii="宋体" w:hAnsi="宋体" w:cs="宋体"/>
                <w:sz w:val="21"/>
                <w:szCs w:val="21"/>
                <w:highlight w:val="none"/>
              </w:rPr>
            </w:pPr>
            <w:r>
              <w:rPr>
                <w:rFonts w:hint="eastAsia" w:ascii="宋体" w:hAnsi="宋体" w:cs="宋体"/>
                <w:sz w:val="21"/>
                <w:szCs w:val="21"/>
                <w:highlight w:val="none"/>
              </w:rPr>
              <w:t>电话：</w:t>
            </w:r>
          </w:p>
        </w:tc>
        <w:tc>
          <w:tcPr>
            <w:tcW w:w="2603" w:type="dxa"/>
            <w:vAlign w:val="center"/>
          </w:tcPr>
          <w:p w14:paraId="4E8C01AD">
            <w:pPr>
              <w:pStyle w:val="2"/>
              <w:rPr>
                <w:rFonts w:ascii="宋体" w:hAnsi="宋体" w:cs="宋体"/>
                <w:sz w:val="21"/>
                <w:szCs w:val="21"/>
                <w:highlight w:val="none"/>
              </w:rPr>
            </w:pPr>
            <w:r>
              <w:rPr>
                <w:rFonts w:hint="eastAsia" w:ascii="宋体" w:hAnsi="宋体" w:cs="宋体"/>
                <w:sz w:val="21"/>
                <w:szCs w:val="21"/>
                <w:highlight w:val="none"/>
              </w:rPr>
              <w:t>开户银行：</w:t>
            </w:r>
          </w:p>
        </w:tc>
        <w:tc>
          <w:tcPr>
            <w:tcW w:w="2616" w:type="dxa"/>
            <w:vAlign w:val="center"/>
          </w:tcPr>
          <w:p w14:paraId="3C250F94">
            <w:pPr>
              <w:pStyle w:val="2"/>
              <w:rPr>
                <w:rFonts w:ascii="宋体" w:hAnsi="宋体" w:cs="宋体"/>
                <w:sz w:val="21"/>
                <w:szCs w:val="21"/>
                <w:highlight w:val="none"/>
              </w:rPr>
            </w:pPr>
          </w:p>
        </w:tc>
      </w:tr>
      <w:tr w14:paraId="59DF8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75" w:type="dxa"/>
            <w:vAlign w:val="center"/>
          </w:tcPr>
          <w:p w14:paraId="4B7DF14A">
            <w:pPr>
              <w:pStyle w:val="2"/>
              <w:rPr>
                <w:rFonts w:ascii="宋体" w:hAnsi="宋体" w:cs="宋体"/>
                <w:sz w:val="21"/>
                <w:szCs w:val="21"/>
                <w:highlight w:val="none"/>
              </w:rPr>
            </w:pPr>
          </w:p>
        </w:tc>
        <w:tc>
          <w:tcPr>
            <w:tcW w:w="2603" w:type="dxa"/>
            <w:vAlign w:val="center"/>
          </w:tcPr>
          <w:p w14:paraId="303B2DAF">
            <w:pPr>
              <w:pStyle w:val="2"/>
              <w:rPr>
                <w:rFonts w:ascii="宋体" w:hAnsi="宋体" w:cs="宋体"/>
                <w:sz w:val="21"/>
                <w:szCs w:val="21"/>
                <w:highlight w:val="none"/>
              </w:rPr>
            </w:pPr>
            <w:r>
              <w:rPr>
                <w:rFonts w:hint="eastAsia" w:ascii="宋体" w:hAnsi="宋体" w:cs="宋体"/>
                <w:sz w:val="21"/>
                <w:szCs w:val="21"/>
                <w:highlight w:val="none"/>
              </w:rPr>
              <w:t>账号：</w:t>
            </w:r>
          </w:p>
        </w:tc>
        <w:tc>
          <w:tcPr>
            <w:tcW w:w="2616" w:type="dxa"/>
            <w:vAlign w:val="center"/>
          </w:tcPr>
          <w:p w14:paraId="59A28A89">
            <w:pPr>
              <w:pStyle w:val="2"/>
              <w:rPr>
                <w:rFonts w:ascii="宋体" w:hAnsi="宋体" w:cs="宋体"/>
                <w:sz w:val="21"/>
                <w:szCs w:val="21"/>
                <w:highlight w:val="none"/>
              </w:rPr>
            </w:pPr>
          </w:p>
        </w:tc>
      </w:tr>
      <w:tr w14:paraId="62F01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75" w:type="dxa"/>
            <w:vAlign w:val="center"/>
          </w:tcPr>
          <w:p w14:paraId="4DFBC715">
            <w:pPr>
              <w:pStyle w:val="2"/>
              <w:rPr>
                <w:rFonts w:ascii="宋体" w:hAnsi="宋体" w:cs="宋体"/>
                <w:sz w:val="21"/>
                <w:szCs w:val="21"/>
                <w:highlight w:val="none"/>
              </w:rPr>
            </w:pPr>
            <w:r>
              <w:rPr>
                <w:rFonts w:hint="eastAsia" w:ascii="宋体" w:hAnsi="宋体" w:cs="宋体"/>
                <w:sz w:val="21"/>
                <w:szCs w:val="21"/>
                <w:highlight w:val="none"/>
              </w:rPr>
              <w:t>日期：   年   月   日</w:t>
            </w:r>
          </w:p>
        </w:tc>
        <w:tc>
          <w:tcPr>
            <w:tcW w:w="2603" w:type="dxa"/>
            <w:vAlign w:val="center"/>
          </w:tcPr>
          <w:p w14:paraId="637ED247">
            <w:pPr>
              <w:pStyle w:val="2"/>
              <w:rPr>
                <w:rFonts w:ascii="宋体" w:hAnsi="宋体" w:cs="宋体"/>
                <w:sz w:val="21"/>
                <w:szCs w:val="21"/>
                <w:highlight w:val="none"/>
              </w:rPr>
            </w:pPr>
            <w:r>
              <w:rPr>
                <w:rFonts w:hint="eastAsia" w:ascii="宋体" w:hAnsi="宋体" w:cs="宋体"/>
                <w:sz w:val="21"/>
                <w:szCs w:val="21"/>
                <w:highlight w:val="none"/>
              </w:rPr>
              <w:t>日期：   年   月   日</w:t>
            </w:r>
          </w:p>
        </w:tc>
        <w:tc>
          <w:tcPr>
            <w:tcW w:w="2616" w:type="dxa"/>
            <w:vAlign w:val="center"/>
          </w:tcPr>
          <w:p w14:paraId="269F3820">
            <w:pPr>
              <w:pStyle w:val="2"/>
              <w:rPr>
                <w:rFonts w:ascii="宋体" w:hAnsi="宋体" w:cs="宋体"/>
                <w:sz w:val="21"/>
                <w:szCs w:val="21"/>
                <w:highlight w:val="none"/>
              </w:rPr>
            </w:pPr>
            <w:r>
              <w:rPr>
                <w:rFonts w:hint="eastAsia" w:ascii="宋体" w:hAnsi="宋体" w:cs="宋体"/>
                <w:sz w:val="21"/>
                <w:szCs w:val="21"/>
                <w:highlight w:val="none"/>
              </w:rPr>
              <w:t>日期：   年   月   日</w:t>
            </w:r>
          </w:p>
        </w:tc>
      </w:tr>
    </w:tbl>
    <w:p w14:paraId="70083B6A">
      <w:pPr>
        <w:spacing w:before="312" w:beforeLines="100" w:after="312" w:afterLines="100" w:line="360" w:lineRule="auto"/>
        <w:jc w:val="center"/>
        <w:rPr>
          <w:rStyle w:val="28"/>
          <w:rFonts w:ascii="宋体" w:hAnsi="宋体" w:cs="宋体"/>
          <w:b/>
          <w:bCs/>
          <w:sz w:val="36"/>
          <w:szCs w:val="36"/>
          <w:highlight w:val="none"/>
        </w:rPr>
      </w:pPr>
      <w:r>
        <w:rPr>
          <w:rFonts w:hint="eastAsia" w:ascii="宋体" w:hAnsi="宋体" w:cs="宋体"/>
          <w:bCs/>
          <w:szCs w:val="21"/>
          <w:highlight w:val="none"/>
        </w:rPr>
        <w:br w:type="page"/>
      </w:r>
      <w:r>
        <w:rPr>
          <w:rStyle w:val="28"/>
          <w:rFonts w:hint="eastAsia" w:ascii="宋体" w:hAnsi="宋体" w:cs="宋体"/>
          <w:b/>
          <w:bCs/>
          <w:sz w:val="36"/>
          <w:szCs w:val="36"/>
          <w:highlight w:val="none"/>
        </w:rPr>
        <w:t>第四章 招标内容及要求</w:t>
      </w:r>
    </w:p>
    <w:p w14:paraId="27D32A52">
      <w:pPr>
        <w:spacing w:before="156" w:beforeLines="50" w:line="360" w:lineRule="auto"/>
        <w:ind w:firstLine="422" w:firstLineChars="200"/>
        <w:rPr>
          <w:rFonts w:ascii="宋体" w:hAnsi="宋体" w:cs="宋体"/>
          <w:b/>
          <w:szCs w:val="21"/>
          <w:highlight w:val="none"/>
        </w:rPr>
      </w:pPr>
      <w:r>
        <w:rPr>
          <w:rFonts w:hint="eastAsia" w:ascii="宋体" w:hAnsi="宋体" w:cs="宋体"/>
          <w:b/>
          <w:szCs w:val="21"/>
          <w:highlight w:val="none"/>
        </w:rPr>
        <w:t>一、项目概况</w:t>
      </w:r>
    </w:p>
    <w:p w14:paraId="75EDE8B7">
      <w:pPr>
        <w:spacing w:line="360" w:lineRule="auto"/>
        <w:ind w:firstLine="420" w:firstLineChars="200"/>
        <w:rPr>
          <w:rFonts w:ascii="宋体" w:hAnsi="宋体" w:cs="宋体"/>
          <w:szCs w:val="21"/>
          <w:highlight w:val="none"/>
        </w:rPr>
      </w:pPr>
      <w:r>
        <w:rPr>
          <w:rFonts w:hint="eastAsia" w:ascii="宋体" w:hAnsi="宋体" w:cs="宋体"/>
          <w:szCs w:val="21"/>
          <w:highlight w:val="none"/>
        </w:rPr>
        <w:t>招标拖车服务企业，通过购买社会化服务的方式，招标11家清障企业向交警各大队提供拖车服务，按照大队指令协助民警对违法停放和需要扣留的事故车辆进行拖移，同时在专项整治工作和大型活动举行期间在指定位置进行常态化值守，重要任务采取指定区域巡逻值守。</w:t>
      </w:r>
    </w:p>
    <w:p w14:paraId="319F55BA">
      <w:pPr>
        <w:spacing w:before="156" w:beforeLines="50" w:line="360" w:lineRule="auto"/>
        <w:ind w:firstLine="422" w:firstLineChars="200"/>
        <w:rPr>
          <w:rFonts w:ascii="宋体" w:hAnsi="宋体" w:cs="宋体"/>
          <w:b/>
          <w:szCs w:val="21"/>
          <w:highlight w:val="none"/>
        </w:rPr>
      </w:pPr>
      <w:r>
        <w:rPr>
          <w:rFonts w:hint="eastAsia" w:ascii="宋体" w:hAnsi="宋体" w:cs="宋体"/>
          <w:b/>
          <w:szCs w:val="21"/>
          <w:highlight w:val="none"/>
        </w:rPr>
        <w:t>二、服务内容</w:t>
      </w:r>
    </w:p>
    <w:p w14:paraId="67452CE6">
      <w:pPr>
        <w:spacing w:line="360" w:lineRule="auto"/>
        <w:ind w:firstLine="420" w:firstLineChars="200"/>
        <w:rPr>
          <w:rFonts w:ascii="宋体" w:hAnsi="宋体" w:cs="宋体"/>
          <w:szCs w:val="21"/>
          <w:highlight w:val="none"/>
        </w:rPr>
      </w:pPr>
      <w:r>
        <w:rPr>
          <w:rFonts w:hint="eastAsia" w:ascii="宋体" w:hAnsi="宋体" w:cs="宋体"/>
          <w:szCs w:val="21"/>
          <w:highlight w:val="none"/>
        </w:rPr>
        <w:t>（1）为交警执法过程中需要拖移的违停车辆和处理事故过程中需要扣留至执法停车场并无法驾驶的车辆提供服务。</w:t>
      </w:r>
    </w:p>
    <w:p w14:paraId="508B857D">
      <w:pPr>
        <w:spacing w:line="360" w:lineRule="auto"/>
        <w:ind w:firstLine="420" w:firstLineChars="200"/>
        <w:rPr>
          <w:rFonts w:ascii="宋体" w:hAnsi="宋体" w:cs="宋体"/>
          <w:szCs w:val="21"/>
          <w:highlight w:val="none"/>
        </w:rPr>
      </w:pPr>
      <w:r>
        <w:rPr>
          <w:rFonts w:hint="eastAsia" w:ascii="宋体" w:hAnsi="宋体" w:cs="宋体"/>
          <w:szCs w:val="21"/>
          <w:highlight w:val="none"/>
        </w:rPr>
        <w:t>（2）使用自有设备、车辆和人员向交警支队各执法部门提供车辆拖移转运服务。</w:t>
      </w:r>
    </w:p>
    <w:p w14:paraId="28E95E5C">
      <w:pPr>
        <w:spacing w:line="360" w:lineRule="auto"/>
        <w:ind w:firstLine="420" w:firstLineChars="200"/>
        <w:rPr>
          <w:rFonts w:ascii="宋体" w:hAnsi="宋体" w:cs="宋体"/>
          <w:szCs w:val="21"/>
          <w:highlight w:val="none"/>
        </w:rPr>
      </w:pPr>
      <w:r>
        <w:rPr>
          <w:rFonts w:hint="eastAsia" w:ascii="宋体" w:hAnsi="宋体" w:cs="宋体"/>
          <w:szCs w:val="21"/>
          <w:highlight w:val="none"/>
        </w:rPr>
        <w:t>（3）在西安市全市范围将指定车辆拖移转运至服务大队中标的就近执法停车场。</w:t>
      </w:r>
    </w:p>
    <w:p w14:paraId="318F3B34">
      <w:pPr>
        <w:spacing w:line="360" w:lineRule="auto"/>
        <w:ind w:firstLine="420" w:firstLineChars="200"/>
        <w:rPr>
          <w:rFonts w:ascii="宋体" w:hAnsi="宋体" w:cs="宋体"/>
          <w:szCs w:val="21"/>
          <w:highlight w:val="none"/>
        </w:rPr>
      </w:pPr>
      <w:r>
        <w:rPr>
          <w:rFonts w:hint="eastAsia" w:ascii="宋体" w:hAnsi="宋体" w:cs="宋体"/>
          <w:szCs w:val="21"/>
          <w:highlight w:val="none"/>
        </w:rPr>
        <w:t>（4）重要任务、重大活动举行期间在重要路段进行常态化值守，将指定车辆拖移转运到附近指定位置。</w:t>
      </w:r>
    </w:p>
    <w:p w14:paraId="4AADC97B">
      <w:pPr>
        <w:spacing w:line="360" w:lineRule="auto"/>
        <w:ind w:firstLine="420" w:firstLineChars="200"/>
        <w:rPr>
          <w:rFonts w:ascii="宋体" w:hAnsi="宋体" w:cs="宋体"/>
          <w:szCs w:val="21"/>
          <w:highlight w:val="none"/>
        </w:rPr>
      </w:pPr>
      <w:r>
        <w:rPr>
          <w:rFonts w:hint="eastAsia" w:ascii="宋体" w:hAnsi="宋体" w:cs="宋体"/>
          <w:szCs w:val="21"/>
          <w:highlight w:val="none"/>
        </w:rPr>
        <w:t>（5）必要时使用吊车等设备吊装事故车辆。</w:t>
      </w:r>
    </w:p>
    <w:p w14:paraId="104DF37C">
      <w:pPr>
        <w:spacing w:before="156" w:beforeLines="50" w:line="360" w:lineRule="auto"/>
        <w:jc w:val="center"/>
        <w:rPr>
          <w:rFonts w:ascii="宋体" w:hAnsi="宋体" w:cs="宋体"/>
          <w:b/>
          <w:bCs/>
          <w:kern w:val="0"/>
          <w:sz w:val="28"/>
          <w:szCs w:val="28"/>
          <w:highlight w:val="none"/>
        </w:rPr>
      </w:pPr>
      <w:r>
        <w:rPr>
          <w:rFonts w:hint="eastAsia" w:ascii="宋体" w:hAnsi="宋体" w:cs="宋体"/>
          <w:b/>
          <w:bCs/>
          <w:kern w:val="0"/>
          <w:sz w:val="28"/>
          <w:szCs w:val="28"/>
          <w:highlight w:val="none"/>
        </w:rPr>
        <w:t>第11包</w:t>
      </w:r>
    </w:p>
    <w:p w14:paraId="42A53A42">
      <w:pPr>
        <w:spacing w:before="156" w:beforeLines="50" w:line="360" w:lineRule="auto"/>
        <w:ind w:firstLine="422" w:firstLineChars="200"/>
        <w:rPr>
          <w:rFonts w:ascii="宋体" w:hAnsi="宋体" w:cs="宋体"/>
          <w:b/>
          <w:szCs w:val="21"/>
          <w:highlight w:val="none"/>
        </w:rPr>
      </w:pPr>
      <w:r>
        <w:rPr>
          <w:rFonts w:hint="eastAsia" w:ascii="宋体" w:hAnsi="宋体" w:cs="宋体"/>
          <w:b/>
          <w:szCs w:val="21"/>
          <w:highlight w:val="none"/>
        </w:rPr>
        <w:t>三、服务范围</w:t>
      </w:r>
    </w:p>
    <w:tbl>
      <w:tblPr>
        <w:tblStyle w:val="12"/>
        <w:tblW w:w="82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2732"/>
        <w:gridCol w:w="4326"/>
      </w:tblGrid>
      <w:tr w14:paraId="3116D2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tcBorders>
              <w:top w:val="single" w:color="auto" w:sz="12" w:space="0"/>
              <w:left w:val="single" w:color="auto" w:sz="12" w:space="0"/>
              <w:bottom w:val="single" w:color="auto" w:sz="4" w:space="0"/>
              <w:right w:val="single" w:color="auto" w:sz="4" w:space="0"/>
              <w:tl2br w:val="nil"/>
              <w:tr2bl w:val="nil"/>
            </w:tcBorders>
            <w:vAlign w:val="center"/>
          </w:tcPr>
          <w:p w14:paraId="63F95730">
            <w:pPr>
              <w:spacing w:line="360" w:lineRule="auto"/>
              <w:jc w:val="center"/>
              <w:rPr>
                <w:rFonts w:ascii="宋体" w:hAnsi="宋体" w:cs="宋体"/>
                <w:szCs w:val="21"/>
                <w:highlight w:val="none"/>
              </w:rPr>
            </w:pPr>
            <w:r>
              <w:rPr>
                <w:rFonts w:hint="eastAsia" w:ascii="宋体" w:hAnsi="宋体" w:cs="宋体"/>
                <w:szCs w:val="21"/>
                <w:highlight w:val="none"/>
              </w:rPr>
              <w:t>序号</w:t>
            </w:r>
          </w:p>
        </w:tc>
        <w:tc>
          <w:tcPr>
            <w:tcW w:w="2732" w:type="dxa"/>
            <w:tcBorders>
              <w:top w:val="single" w:color="auto" w:sz="12" w:space="0"/>
              <w:left w:val="single" w:color="auto" w:sz="4" w:space="0"/>
              <w:bottom w:val="single" w:color="auto" w:sz="4" w:space="0"/>
              <w:right w:val="single" w:color="auto" w:sz="4" w:space="0"/>
              <w:tl2br w:val="nil"/>
              <w:tr2bl w:val="nil"/>
            </w:tcBorders>
            <w:vAlign w:val="center"/>
          </w:tcPr>
          <w:p w14:paraId="1AF5067F">
            <w:pPr>
              <w:spacing w:line="360" w:lineRule="auto"/>
              <w:jc w:val="center"/>
              <w:rPr>
                <w:rFonts w:ascii="宋体" w:hAnsi="宋体" w:cs="宋体"/>
                <w:szCs w:val="21"/>
                <w:highlight w:val="none"/>
              </w:rPr>
            </w:pPr>
            <w:r>
              <w:rPr>
                <w:rFonts w:hint="eastAsia" w:ascii="宋体" w:hAnsi="宋体" w:cs="宋体"/>
                <w:szCs w:val="21"/>
                <w:highlight w:val="none"/>
              </w:rPr>
              <w:t>包号</w:t>
            </w:r>
          </w:p>
        </w:tc>
        <w:tc>
          <w:tcPr>
            <w:tcW w:w="4326" w:type="dxa"/>
            <w:tcBorders>
              <w:top w:val="single" w:color="auto" w:sz="12" w:space="0"/>
              <w:left w:val="single" w:color="auto" w:sz="4" w:space="0"/>
              <w:bottom w:val="single" w:color="auto" w:sz="4" w:space="0"/>
              <w:right w:val="single" w:color="auto" w:sz="12" w:space="0"/>
              <w:tl2br w:val="nil"/>
              <w:tr2bl w:val="nil"/>
            </w:tcBorders>
            <w:vAlign w:val="center"/>
          </w:tcPr>
          <w:p w14:paraId="63BBB02C">
            <w:pPr>
              <w:spacing w:line="360" w:lineRule="auto"/>
              <w:jc w:val="center"/>
              <w:rPr>
                <w:rFonts w:ascii="宋体" w:hAnsi="宋体" w:cs="宋体"/>
                <w:szCs w:val="21"/>
                <w:highlight w:val="none"/>
              </w:rPr>
            </w:pPr>
            <w:r>
              <w:rPr>
                <w:rFonts w:hint="eastAsia" w:ascii="宋体" w:hAnsi="宋体" w:cs="宋体"/>
                <w:szCs w:val="21"/>
                <w:highlight w:val="none"/>
              </w:rPr>
              <w:t>服务范围</w:t>
            </w:r>
          </w:p>
        </w:tc>
      </w:tr>
      <w:tr w14:paraId="2851C9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12" w:space="0"/>
              <w:bottom w:val="single" w:color="auto" w:sz="4" w:space="0"/>
              <w:right w:val="single" w:color="auto" w:sz="4" w:space="0"/>
              <w:tl2br w:val="nil"/>
              <w:tr2bl w:val="nil"/>
            </w:tcBorders>
            <w:vAlign w:val="center"/>
          </w:tcPr>
          <w:p w14:paraId="0E5A715B">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2732" w:type="dxa"/>
            <w:tcBorders>
              <w:top w:val="single" w:color="auto" w:sz="4" w:space="0"/>
              <w:left w:val="single" w:color="auto" w:sz="4" w:space="0"/>
              <w:bottom w:val="single" w:color="auto" w:sz="4" w:space="0"/>
              <w:right w:val="single" w:color="auto" w:sz="4" w:space="0"/>
              <w:tl2br w:val="nil"/>
              <w:tr2bl w:val="nil"/>
            </w:tcBorders>
            <w:vAlign w:val="center"/>
          </w:tcPr>
          <w:p w14:paraId="008C3B97">
            <w:pPr>
              <w:spacing w:line="360" w:lineRule="auto"/>
              <w:jc w:val="center"/>
              <w:rPr>
                <w:rFonts w:ascii="宋体" w:hAnsi="宋体" w:cs="宋体"/>
                <w:szCs w:val="21"/>
                <w:highlight w:val="none"/>
              </w:rPr>
            </w:pPr>
            <w:r>
              <w:rPr>
                <w:rFonts w:hint="eastAsia" w:ascii="宋体" w:hAnsi="宋体" w:cs="宋体"/>
                <w:szCs w:val="21"/>
                <w:highlight w:val="none"/>
              </w:rPr>
              <w:t>第11包</w:t>
            </w:r>
          </w:p>
        </w:tc>
        <w:tc>
          <w:tcPr>
            <w:tcW w:w="4326" w:type="dxa"/>
            <w:tcBorders>
              <w:top w:val="single" w:color="auto" w:sz="4" w:space="0"/>
              <w:left w:val="single" w:color="auto" w:sz="4" w:space="0"/>
              <w:bottom w:val="single" w:color="auto" w:sz="4" w:space="0"/>
              <w:right w:val="single" w:color="auto" w:sz="12" w:space="0"/>
              <w:tl2br w:val="nil"/>
              <w:tr2bl w:val="nil"/>
            </w:tcBorders>
            <w:vAlign w:val="center"/>
          </w:tcPr>
          <w:p w14:paraId="1BE11A3E">
            <w:pPr>
              <w:spacing w:line="360" w:lineRule="auto"/>
              <w:jc w:val="center"/>
              <w:rPr>
                <w:rFonts w:ascii="宋体" w:hAnsi="宋体" w:cs="宋体"/>
                <w:szCs w:val="21"/>
                <w:highlight w:val="none"/>
              </w:rPr>
            </w:pPr>
            <w:r>
              <w:rPr>
                <w:rFonts w:hint="eastAsia" w:ascii="宋体" w:hAnsi="宋体" w:cs="宋体"/>
                <w:szCs w:val="21"/>
                <w:highlight w:val="none"/>
              </w:rPr>
              <w:t>全市范围</w:t>
            </w:r>
          </w:p>
        </w:tc>
      </w:tr>
    </w:tbl>
    <w:p w14:paraId="0592DBD5">
      <w:pPr>
        <w:spacing w:before="156" w:beforeLines="50" w:line="360" w:lineRule="auto"/>
        <w:ind w:firstLine="422" w:firstLineChars="200"/>
        <w:rPr>
          <w:rFonts w:ascii="宋体" w:hAnsi="宋体" w:cs="宋体"/>
          <w:b/>
          <w:szCs w:val="21"/>
          <w:highlight w:val="none"/>
        </w:rPr>
      </w:pPr>
      <w:r>
        <w:rPr>
          <w:rFonts w:hint="eastAsia" w:ascii="宋体" w:hAnsi="宋体" w:cs="宋体"/>
          <w:b/>
          <w:szCs w:val="21"/>
          <w:highlight w:val="none"/>
        </w:rPr>
        <w:t>四、服务要求（第1</w:t>
      </w:r>
      <w:r>
        <w:rPr>
          <w:rFonts w:hint="eastAsia" w:ascii="宋体" w:hAnsi="宋体" w:cs="宋体"/>
          <w:b/>
          <w:szCs w:val="21"/>
          <w:highlight w:val="none"/>
          <w:lang w:val="en-US" w:eastAsia="zh-CN"/>
        </w:rPr>
        <w:t>1</w:t>
      </w:r>
      <w:r>
        <w:rPr>
          <w:rFonts w:hint="eastAsia" w:ascii="宋体" w:hAnsi="宋体" w:cs="宋体"/>
          <w:b/>
          <w:szCs w:val="21"/>
          <w:highlight w:val="none"/>
        </w:rPr>
        <w:t>包）</w:t>
      </w:r>
    </w:p>
    <w:p w14:paraId="6DE303E6">
      <w:pPr>
        <w:spacing w:line="360" w:lineRule="auto"/>
        <w:ind w:firstLine="422" w:firstLineChars="200"/>
        <w:rPr>
          <w:rFonts w:ascii="宋体" w:hAnsi="宋体" w:cs="宋体"/>
          <w:b/>
          <w:bCs/>
          <w:szCs w:val="21"/>
          <w:highlight w:val="none"/>
        </w:rPr>
      </w:pPr>
      <w:r>
        <w:rPr>
          <w:rFonts w:hint="eastAsia" w:ascii="宋体" w:hAnsi="宋体" w:cs="宋体"/>
          <w:b/>
          <w:szCs w:val="21"/>
          <w:highlight w:val="none"/>
        </w:rPr>
        <w:t>1.</w:t>
      </w:r>
      <w:r>
        <w:rPr>
          <w:rFonts w:hint="eastAsia" w:ascii="宋体" w:hAnsi="宋体" w:cs="宋体"/>
          <w:b/>
          <w:bCs/>
          <w:szCs w:val="21"/>
          <w:highlight w:val="none"/>
        </w:rPr>
        <w:t>车辆设备要求</w:t>
      </w:r>
    </w:p>
    <w:p w14:paraId="07D0CDF0">
      <w:pPr>
        <w:spacing w:line="360" w:lineRule="auto"/>
        <w:ind w:firstLine="420" w:firstLineChars="200"/>
        <w:rPr>
          <w:rFonts w:ascii="宋体" w:hAnsi="宋体" w:cs="宋体"/>
          <w:szCs w:val="21"/>
          <w:highlight w:val="none"/>
        </w:rPr>
      </w:pPr>
      <w:r>
        <w:rPr>
          <w:rFonts w:hint="eastAsia" w:ascii="宋体" w:hAnsi="宋体" w:cs="宋体"/>
          <w:szCs w:val="21"/>
          <w:highlight w:val="none"/>
        </w:rPr>
        <w:t>（1）大型拖车：</w:t>
      </w:r>
      <w:r>
        <w:rPr>
          <w:rFonts w:hint="eastAsia" w:ascii="宋体" w:hAnsi="宋体" w:cs="宋体"/>
          <w:szCs w:val="21"/>
          <w:highlight w:val="none"/>
          <w:lang w:val="en-US" w:eastAsia="zh-CN"/>
        </w:rPr>
        <w:t>重型拖车</w:t>
      </w:r>
      <w:r>
        <w:rPr>
          <w:rFonts w:hint="eastAsia" w:ascii="宋体" w:hAnsi="宋体" w:cs="宋体"/>
          <w:szCs w:val="21"/>
          <w:highlight w:val="none"/>
        </w:rPr>
        <w:t>3辆</w:t>
      </w:r>
      <w:r>
        <w:rPr>
          <w:rFonts w:hint="eastAsia" w:ascii="宋体" w:hAnsi="宋体" w:cs="宋体"/>
          <w:szCs w:val="21"/>
          <w:highlight w:val="none"/>
          <w:lang w:eastAsia="zh-CN"/>
        </w:rPr>
        <w:t>（</w:t>
      </w:r>
      <w:r>
        <w:rPr>
          <w:rFonts w:hint="eastAsia" w:ascii="宋体" w:hAnsi="宋体" w:cs="宋体"/>
          <w:szCs w:val="21"/>
          <w:highlight w:val="none"/>
          <w:lang w:val="en-US" w:eastAsia="zh-CN"/>
        </w:rPr>
        <w:t>含1辆四轴拖车）</w:t>
      </w:r>
      <w:r>
        <w:rPr>
          <w:rFonts w:hint="eastAsia" w:ascii="宋体" w:hAnsi="宋体" w:cs="宋体"/>
          <w:szCs w:val="21"/>
          <w:highlight w:val="none"/>
        </w:rPr>
        <w:t xml:space="preserve">须满足公交车、渣土车等大型车辆故障及事故现场清理。 </w:t>
      </w:r>
    </w:p>
    <w:p w14:paraId="32530F99">
      <w:pPr>
        <w:spacing w:line="360" w:lineRule="auto"/>
        <w:ind w:firstLine="420" w:firstLineChars="200"/>
        <w:rPr>
          <w:rFonts w:ascii="宋体" w:hAnsi="宋体" w:cs="宋体"/>
          <w:szCs w:val="21"/>
          <w:highlight w:val="none"/>
        </w:rPr>
      </w:pPr>
      <w:r>
        <w:rPr>
          <w:rFonts w:hint="eastAsia" w:ascii="宋体" w:hAnsi="宋体" w:cs="宋体"/>
          <w:szCs w:val="21"/>
          <w:highlight w:val="none"/>
        </w:rPr>
        <w:t>（2）吊车：具备20吨吊车1辆，50吨吊车1辆。</w:t>
      </w:r>
    </w:p>
    <w:p w14:paraId="02FB298E">
      <w:pPr>
        <w:spacing w:line="360" w:lineRule="auto"/>
        <w:ind w:firstLine="420" w:firstLineChars="200"/>
        <w:rPr>
          <w:rFonts w:ascii="宋体" w:hAnsi="宋体" w:cs="宋体"/>
          <w:szCs w:val="21"/>
          <w:highlight w:val="none"/>
        </w:rPr>
      </w:pPr>
      <w:r>
        <w:rPr>
          <w:rFonts w:hint="eastAsia" w:ascii="宋体" w:hAnsi="宋体" w:cs="宋体"/>
          <w:szCs w:val="21"/>
          <w:highlight w:val="none"/>
        </w:rPr>
        <w:t>（3）本合同包设备可采用自有或租赁等方式，但务必保证按照服务要求及时提供服务。</w:t>
      </w:r>
    </w:p>
    <w:p w14:paraId="199D8005">
      <w:pPr>
        <w:spacing w:line="360" w:lineRule="auto"/>
        <w:ind w:firstLine="420" w:firstLineChars="200"/>
        <w:rPr>
          <w:rFonts w:ascii="宋体" w:hAnsi="宋体" w:cs="宋体"/>
          <w:szCs w:val="21"/>
          <w:highlight w:val="none"/>
        </w:rPr>
      </w:pPr>
      <w:r>
        <w:rPr>
          <w:rFonts w:hint="eastAsia" w:ascii="宋体" w:hAnsi="宋体" w:cs="宋体"/>
          <w:szCs w:val="21"/>
          <w:highlight w:val="none"/>
        </w:rPr>
        <w:t>（4）大型拖车及吊车须检验合格，有交强险，投保商业险（第三者责任险保额不低于100万元</w:t>
      </w:r>
      <w:r>
        <w:rPr>
          <w:rFonts w:hint="eastAsia" w:ascii="宋体" w:hAnsi="宋体" w:cs="宋体"/>
          <w:szCs w:val="21"/>
          <w:highlight w:val="none"/>
          <w:lang w:eastAsia="zh-CN"/>
        </w:rPr>
        <w:t>）。</w:t>
      </w:r>
      <w:r>
        <w:rPr>
          <w:rFonts w:hint="eastAsia" w:ascii="宋体" w:hAnsi="宋体" w:cs="宋体"/>
          <w:szCs w:val="21"/>
          <w:highlight w:val="none"/>
          <w:lang w:val="en-US" w:eastAsia="zh-CN"/>
        </w:rPr>
        <w:t>其中大型拖车公路货运承运人责任保险保额不低于100万元；吊车须投保足够份额的吊装货物险</w:t>
      </w:r>
      <w:r>
        <w:rPr>
          <w:rFonts w:hint="eastAsia" w:ascii="宋体" w:hAnsi="宋体" w:cs="宋体"/>
          <w:szCs w:val="21"/>
          <w:highlight w:val="none"/>
        </w:rPr>
        <w:t>。</w:t>
      </w:r>
    </w:p>
    <w:p w14:paraId="7C4B29B3">
      <w:pPr>
        <w:spacing w:before="156" w:beforeLines="50" w:line="360" w:lineRule="auto"/>
        <w:ind w:firstLine="422" w:firstLineChars="200"/>
        <w:rPr>
          <w:rFonts w:ascii="宋体" w:hAnsi="宋体" w:cs="宋体"/>
          <w:b/>
          <w:bCs/>
          <w:szCs w:val="21"/>
          <w:highlight w:val="none"/>
        </w:rPr>
      </w:pPr>
      <w:r>
        <w:rPr>
          <w:rFonts w:hint="eastAsia" w:ascii="宋体" w:hAnsi="宋体" w:cs="宋体"/>
          <w:b/>
          <w:bCs/>
          <w:szCs w:val="21"/>
          <w:highlight w:val="none"/>
        </w:rPr>
        <w:t>2.车上人员要求</w:t>
      </w:r>
    </w:p>
    <w:p w14:paraId="77F6FB38">
      <w:pPr>
        <w:spacing w:line="360" w:lineRule="auto"/>
        <w:ind w:firstLine="420" w:firstLineChars="200"/>
        <w:rPr>
          <w:rFonts w:ascii="宋体" w:hAnsi="宋体" w:cs="宋体"/>
          <w:szCs w:val="21"/>
          <w:highlight w:val="none"/>
        </w:rPr>
      </w:pPr>
      <w:r>
        <w:rPr>
          <w:rFonts w:hint="eastAsia" w:ascii="宋体" w:hAnsi="宋体" w:cs="宋体"/>
          <w:szCs w:val="21"/>
          <w:highlight w:val="none"/>
        </w:rPr>
        <w:t>（1）大型拖车每辆配备至少1名司机，足够数量装卸工人。</w:t>
      </w:r>
    </w:p>
    <w:p w14:paraId="79077E11">
      <w:pPr>
        <w:spacing w:line="360" w:lineRule="auto"/>
        <w:ind w:firstLine="420" w:firstLineChars="200"/>
        <w:rPr>
          <w:rFonts w:ascii="宋体" w:hAnsi="宋体" w:cs="宋体"/>
          <w:szCs w:val="21"/>
          <w:highlight w:val="none"/>
        </w:rPr>
      </w:pPr>
      <w:r>
        <w:rPr>
          <w:rFonts w:hint="eastAsia" w:ascii="宋体" w:hAnsi="宋体" w:cs="宋体"/>
          <w:szCs w:val="21"/>
          <w:highlight w:val="none"/>
        </w:rPr>
        <w:t>（2）吊车配备至少1名司机，足够数量装卸工人，具有吊车操作资质。</w:t>
      </w:r>
    </w:p>
    <w:p w14:paraId="1851D21D">
      <w:pPr>
        <w:spacing w:line="360" w:lineRule="auto"/>
        <w:ind w:firstLine="420" w:firstLineChars="200"/>
        <w:rPr>
          <w:rFonts w:ascii="宋体" w:hAnsi="宋体" w:cs="宋体"/>
          <w:szCs w:val="21"/>
          <w:highlight w:val="none"/>
        </w:rPr>
      </w:pPr>
      <w:r>
        <w:rPr>
          <w:rFonts w:hint="eastAsia" w:ascii="宋体" w:hAnsi="宋体" w:cs="宋体"/>
          <w:szCs w:val="21"/>
          <w:highlight w:val="none"/>
        </w:rPr>
        <w:t>（3）拖车及吊车司机须具有与准驾车型相符的驾驶证，年龄在30岁以上，五年以上驾龄，身体健康。无酒驾、毒驾等严重交通违法记录。</w:t>
      </w:r>
    </w:p>
    <w:p w14:paraId="0D4939D5">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3.服务管理要求</w:t>
      </w:r>
    </w:p>
    <w:p w14:paraId="4A34AAA2">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（1）中标企业须具备城市道路交通事故清障能力，向交警支队下属各大队提供全天候事故、故障车辆拖移、吊装服务。 </w:t>
      </w:r>
    </w:p>
    <w:p w14:paraId="43E71EF3">
      <w:pPr>
        <w:spacing w:line="360" w:lineRule="auto"/>
        <w:ind w:firstLine="420" w:firstLineChars="200"/>
        <w:rPr>
          <w:rFonts w:ascii="宋体" w:hAnsi="宋体" w:cs="宋体"/>
          <w:szCs w:val="21"/>
          <w:highlight w:val="none"/>
        </w:rPr>
      </w:pPr>
      <w:r>
        <w:rPr>
          <w:rFonts w:hint="eastAsia" w:ascii="宋体" w:hAnsi="宋体" w:cs="宋体"/>
          <w:szCs w:val="21"/>
          <w:highlight w:val="none"/>
        </w:rPr>
        <w:t>（2）为便于及时响应，中标企业的3辆大型拖车无工作任务时须在全市分布停放，确保接到交警部门拖移、吊装事故车辆指令后，能够立即组织就近设备和人员进行事故车辆拖移，不得推诿和消极对待；接到通知后须在5分钟内回复。如有特殊情况无法准确到达时应及时报告。</w:t>
      </w:r>
    </w:p>
    <w:p w14:paraId="27BDDECD">
      <w:pPr>
        <w:spacing w:line="360" w:lineRule="auto"/>
        <w:ind w:firstLine="420" w:firstLineChars="200"/>
        <w:rPr>
          <w:rFonts w:ascii="宋体" w:hAnsi="宋体" w:cs="宋体"/>
          <w:szCs w:val="21"/>
          <w:highlight w:val="none"/>
        </w:rPr>
      </w:pPr>
      <w:r>
        <w:rPr>
          <w:rFonts w:hint="eastAsia" w:ascii="宋体" w:hAnsi="宋体" w:cs="宋体"/>
          <w:szCs w:val="21"/>
          <w:highlight w:val="none"/>
        </w:rPr>
        <w:t>（3）中标企业接到交警支队下属大队拖移、吊装事故车辆指令后，应及时赶到事故现场。具体参照支队2022年9月7日发文《道路交通事故处理全流程监督工作规定（试行）》第四条执行，即环城路、二环路、南北中轴线(张家堡盘道至华美十字)30分钟内到达事故现场，三环(含)以内40分钟内到达现场，三环外50分钟内到达现场。</w:t>
      </w:r>
    </w:p>
    <w:p w14:paraId="6AB0EE6A">
      <w:pPr>
        <w:spacing w:line="360" w:lineRule="auto"/>
        <w:ind w:firstLine="420" w:firstLineChars="200"/>
        <w:rPr>
          <w:rFonts w:ascii="宋体" w:hAnsi="宋体" w:cs="宋体"/>
          <w:szCs w:val="21"/>
          <w:highlight w:val="none"/>
        </w:rPr>
      </w:pPr>
      <w:r>
        <w:rPr>
          <w:rFonts w:hint="eastAsia" w:ascii="宋体" w:hAnsi="宋体" w:cs="宋体"/>
          <w:szCs w:val="21"/>
          <w:highlight w:val="none"/>
        </w:rPr>
        <w:t>（4）中标企业到达指定地点后，根据交通民警指令，须在规定时间内完成事故车辆拖移、吊装工作，并撤离现场，其中一般交通事故车辆20分钟内、重特大交通事故40分钟内（现场复杂的交通事故经交通民警同意后可适当延长服务时间），时间从接到交通民警指令起计算。</w:t>
      </w:r>
    </w:p>
    <w:p w14:paraId="159C847F">
      <w:pPr>
        <w:spacing w:line="360" w:lineRule="auto"/>
        <w:ind w:firstLine="420" w:firstLineChars="200"/>
        <w:rPr>
          <w:rFonts w:ascii="宋体" w:hAnsi="宋体" w:cs="宋体"/>
          <w:szCs w:val="21"/>
          <w:highlight w:val="none"/>
        </w:rPr>
      </w:pPr>
      <w:r>
        <w:rPr>
          <w:rFonts w:hint="eastAsia" w:ascii="宋体" w:hAnsi="宋体" w:cs="宋体"/>
          <w:szCs w:val="21"/>
          <w:highlight w:val="none"/>
        </w:rPr>
        <w:t>（5）中标企业要有完整的管理制度及相关的纸质规章制度，运行有序，人员分工明确。</w:t>
      </w:r>
    </w:p>
    <w:p w14:paraId="5F9C52A2">
      <w:pPr>
        <w:spacing w:line="360" w:lineRule="auto"/>
        <w:ind w:firstLine="420" w:firstLineChars="200"/>
        <w:rPr>
          <w:rFonts w:ascii="宋体" w:hAnsi="宋体" w:cs="宋体"/>
          <w:szCs w:val="21"/>
          <w:highlight w:val="none"/>
        </w:rPr>
      </w:pPr>
      <w:r>
        <w:rPr>
          <w:rFonts w:hint="eastAsia" w:ascii="宋体" w:hAnsi="宋体" w:cs="宋体"/>
          <w:szCs w:val="21"/>
          <w:highlight w:val="none"/>
        </w:rPr>
        <w:t>（6）中标企业须具备调度中心，专职对应各大队事故拖车工作，工作人员必须全天（含节假日）24小时在岗，随时关注拖车管理平台，管理微信群，随时保持电话畅通。</w:t>
      </w:r>
    </w:p>
    <w:p w14:paraId="7E5146EB">
      <w:pPr>
        <w:spacing w:line="360" w:lineRule="auto"/>
        <w:ind w:firstLine="420" w:firstLineChars="200"/>
        <w:rPr>
          <w:rFonts w:ascii="宋体" w:hAnsi="宋体" w:cs="宋体"/>
          <w:szCs w:val="21"/>
          <w:highlight w:val="none"/>
        </w:rPr>
      </w:pPr>
      <w:r>
        <w:rPr>
          <w:rFonts w:hint="eastAsia" w:ascii="宋体" w:hAnsi="宋体" w:cs="宋体"/>
          <w:szCs w:val="21"/>
          <w:highlight w:val="none"/>
        </w:rPr>
        <w:t>（7）中标企业的事故拖移、吊装车辆应当安装有定位设备，并具有回溯查看功能，并按照支队需求，及时接入支队监管平台。车辆前后安装行车记录仪，能够反映作业过程，拍摄内容保存时长不少于6个月。</w:t>
      </w:r>
    </w:p>
    <w:p w14:paraId="1BD7FBBC">
      <w:pPr>
        <w:spacing w:line="360" w:lineRule="auto"/>
        <w:ind w:firstLine="420" w:firstLineChars="200"/>
        <w:rPr>
          <w:rFonts w:ascii="宋体" w:hAnsi="宋体" w:cs="宋体"/>
          <w:szCs w:val="21"/>
          <w:highlight w:val="none"/>
        </w:rPr>
      </w:pPr>
      <w:r>
        <w:rPr>
          <w:rFonts w:hint="eastAsia" w:ascii="宋体" w:hAnsi="宋体" w:cs="宋体"/>
          <w:szCs w:val="21"/>
          <w:highlight w:val="none"/>
        </w:rPr>
        <w:t>（8）中标企业工作人员拖移、吊装事故车辆前，应该对所有被拖移、吊装事故车辆自行影像留证。当车主提出因拖移、吊装造成车辆损坏或物品丢失质疑时，如中标企业无法提供充分证据，证明不是拖移、吊装造成的，中标企业承担全部责任，赔偿所有损失。</w:t>
      </w:r>
    </w:p>
    <w:p w14:paraId="5051AE73">
      <w:pPr>
        <w:spacing w:line="360" w:lineRule="auto"/>
        <w:ind w:firstLine="420" w:firstLineChars="200"/>
        <w:rPr>
          <w:rFonts w:ascii="宋体" w:hAnsi="宋体" w:cs="宋体"/>
          <w:szCs w:val="21"/>
          <w:highlight w:val="none"/>
        </w:rPr>
      </w:pPr>
      <w:r>
        <w:rPr>
          <w:rFonts w:hint="eastAsia" w:ascii="宋体" w:hAnsi="宋体" w:cs="宋体"/>
          <w:szCs w:val="21"/>
          <w:highlight w:val="none"/>
        </w:rPr>
        <w:t>（9）针对被拖移、吊装的事故车辆，中标企业工作人员，按顺序拍摄以下三张照片留证：</w:t>
      </w:r>
    </w:p>
    <w:p w14:paraId="1CA53DB7">
      <w:pPr>
        <w:spacing w:line="360" w:lineRule="auto"/>
        <w:ind w:firstLine="420" w:firstLineChars="200"/>
        <w:rPr>
          <w:rFonts w:ascii="宋体" w:hAnsi="宋体" w:cs="宋体"/>
          <w:szCs w:val="21"/>
          <w:highlight w:val="none"/>
        </w:rPr>
      </w:pPr>
      <w:r>
        <w:rPr>
          <w:rFonts w:hint="eastAsia" w:ascii="宋体" w:hAnsi="宋体" w:cs="宋体"/>
          <w:szCs w:val="21"/>
          <w:highlight w:val="none"/>
        </w:rPr>
        <w:t>①事故现场照片。照片要求：照片能清晰、准确反映事故现场全貌和事故车辆号牌，无号牌车辆拍摄车辆的正前方。</w:t>
      </w:r>
    </w:p>
    <w:p w14:paraId="0F09C549">
      <w:pPr>
        <w:spacing w:line="360" w:lineRule="auto"/>
        <w:ind w:firstLine="420" w:firstLineChars="200"/>
        <w:rPr>
          <w:rFonts w:ascii="宋体" w:hAnsi="宋体" w:cs="宋体"/>
          <w:szCs w:val="21"/>
          <w:highlight w:val="none"/>
        </w:rPr>
      </w:pPr>
      <w:r>
        <w:rPr>
          <w:rFonts w:hint="eastAsia" w:ascii="宋体" w:hAnsi="宋体" w:cs="宋体"/>
          <w:szCs w:val="21"/>
          <w:highlight w:val="none"/>
        </w:rPr>
        <w:t>②拖移、吊装过程照片。照片要求：能清晰反映清障车辆架起事故车辆。</w:t>
      </w:r>
    </w:p>
    <w:p w14:paraId="7B2CDA07">
      <w:pPr>
        <w:spacing w:line="360" w:lineRule="auto"/>
        <w:ind w:firstLine="420" w:firstLineChars="200"/>
        <w:rPr>
          <w:rFonts w:ascii="宋体" w:hAnsi="宋体" w:cs="宋体"/>
          <w:szCs w:val="21"/>
          <w:highlight w:val="none"/>
        </w:rPr>
      </w:pPr>
      <w:r>
        <w:rPr>
          <w:rFonts w:hint="eastAsia" w:ascii="宋体" w:hAnsi="宋体" w:cs="宋体"/>
          <w:szCs w:val="21"/>
          <w:highlight w:val="none"/>
        </w:rPr>
        <w:t>③到达停车场照片。照片要求：能反映事故车辆已停放在停车场。</w:t>
      </w:r>
    </w:p>
    <w:p w14:paraId="0235C998">
      <w:pPr>
        <w:spacing w:line="360" w:lineRule="auto"/>
        <w:ind w:firstLine="420" w:firstLineChars="200"/>
        <w:rPr>
          <w:rFonts w:ascii="宋体" w:hAnsi="宋体" w:cs="宋体"/>
          <w:szCs w:val="21"/>
          <w:highlight w:val="none"/>
        </w:rPr>
      </w:pPr>
      <w:r>
        <w:rPr>
          <w:rFonts w:hint="eastAsia" w:ascii="宋体" w:hAnsi="宋体" w:cs="宋体"/>
          <w:szCs w:val="21"/>
          <w:highlight w:val="none"/>
        </w:rPr>
        <w:t>（10）中标企业提供服务期间应遵守国家相关法律法规和地方规定，发生意外和事故造成的一切责任由中标企业负责，造成的损失与第三方损失全部由中标企业承担，同时中标企业应积极主动协调处理，避免事件发酵扩大。</w:t>
      </w:r>
    </w:p>
    <w:p w14:paraId="03E97AC1">
      <w:pPr>
        <w:spacing w:line="360" w:lineRule="auto"/>
        <w:ind w:firstLine="420" w:firstLineChars="200"/>
        <w:rPr>
          <w:rFonts w:ascii="宋体" w:hAnsi="宋体" w:cs="宋体"/>
          <w:szCs w:val="21"/>
          <w:highlight w:val="none"/>
        </w:rPr>
      </w:pPr>
      <w:r>
        <w:rPr>
          <w:rFonts w:hint="eastAsia" w:ascii="宋体" w:hAnsi="宋体" w:cs="宋体"/>
          <w:szCs w:val="21"/>
          <w:highlight w:val="none"/>
        </w:rPr>
        <w:t>（11）中标企业及其工作人员不得违规收取任何费用；</w:t>
      </w:r>
    </w:p>
    <w:p w14:paraId="24549DF0">
      <w:pPr>
        <w:spacing w:line="360" w:lineRule="auto"/>
        <w:ind w:firstLine="420" w:firstLineChars="200"/>
        <w:rPr>
          <w:rFonts w:ascii="宋体" w:hAnsi="宋体" w:cs="宋体"/>
          <w:szCs w:val="21"/>
          <w:highlight w:val="none"/>
        </w:rPr>
      </w:pPr>
      <w:r>
        <w:rPr>
          <w:rFonts w:hint="eastAsia" w:ascii="宋体" w:hAnsi="宋体" w:cs="宋体"/>
          <w:szCs w:val="21"/>
          <w:highlight w:val="none"/>
        </w:rPr>
        <w:t>（12）中标企业及其工作人员不得私自放行所有被拖移、吊装的车辆、不得私自处理被拖移、吊装车辆及附属物品。</w:t>
      </w:r>
    </w:p>
    <w:p w14:paraId="6A1D0808">
      <w:pPr>
        <w:spacing w:line="360" w:lineRule="auto"/>
        <w:ind w:firstLine="420" w:firstLineChars="200"/>
        <w:rPr>
          <w:rFonts w:ascii="宋体" w:hAnsi="宋体" w:cs="宋体"/>
          <w:szCs w:val="21"/>
          <w:highlight w:val="none"/>
        </w:rPr>
      </w:pPr>
      <w:r>
        <w:rPr>
          <w:rFonts w:hint="eastAsia" w:ascii="宋体" w:hAnsi="宋体" w:cs="宋体"/>
          <w:szCs w:val="21"/>
          <w:highlight w:val="none"/>
        </w:rPr>
        <w:t>（13）中标企业每月持拖移、吊装车辆数量及明细，由各大队确认后报事故处，由事故处汇总后转秩序处。</w:t>
      </w:r>
    </w:p>
    <w:p w14:paraId="0CD7EBED">
      <w:pPr>
        <w:spacing w:line="360" w:lineRule="auto"/>
        <w:ind w:firstLine="420" w:firstLineChars="200"/>
        <w:rPr>
          <w:rFonts w:ascii="宋体" w:hAnsi="宋体" w:cs="宋体"/>
          <w:szCs w:val="21"/>
          <w:highlight w:val="none"/>
        </w:rPr>
      </w:pPr>
      <w:r>
        <w:rPr>
          <w:rFonts w:hint="eastAsia" w:ascii="宋体" w:hAnsi="宋体" w:cs="宋体"/>
          <w:szCs w:val="21"/>
          <w:highlight w:val="none"/>
        </w:rPr>
        <w:t>（14）中标企业针对被拖移、吊装至执法停车场的事故车辆必须做好详细登记。</w:t>
      </w:r>
    </w:p>
    <w:p w14:paraId="7A42421A">
      <w:pPr>
        <w:spacing w:line="360" w:lineRule="auto"/>
        <w:ind w:firstLine="420" w:firstLineChars="200"/>
        <w:rPr>
          <w:rFonts w:ascii="宋体" w:hAnsi="宋体" w:cs="宋体"/>
          <w:szCs w:val="21"/>
          <w:highlight w:val="none"/>
        </w:rPr>
      </w:pPr>
      <w:r>
        <w:rPr>
          <w:rFonts w:hint="eastAsia" w:ascii="宋体" w:hAnsi="宋体" w:cs="宋体"/>
          <w:szCs w:val="21"/>
          <w:highlight w:val="none"/>
        </w:rPr>
        <w:t>（15）当两家及以上企业配合提供服务时，如发生意外及违反规定的现象，所有责任均由提供服务的企业承担，根据实际情况承担各自责任。</w:t>
      </w:r>
    </w:p>
    <w:p w14:paraId="51B96AA9">
      <w:pPr>
        <w:spacing w:before="156" w:beforeLines="50" w:line="360" w:lineRule="auto"/>
        <w:ind w:firstLine="422" w:firstLineChars="200"/>
        <w:rPr>
          <w:rFonts w:ascii="宋体" w:hAnsi="宋体" w:cs="宋体"/>
          <w:b/>
          <w:bCs/>
          <w:szCs w:val="21"/>
          <w:highlight w:val="none"/>
        </w:rPr>
      </w:pPr>
      <w:r>
        <w:rPr>
          <w:rFonts w:hint="eastAsia" w:ascii="宋体" w:hAnsi="宋体" w:cs="宋体"/>
          <w:b/>
          <w:bCs/>
          <w:szCs w:val="21"/>
          <w:highlight w:val="none"/>
        </w:rPr>
        <w:t>4.考核标准</w:t>
      </w:r>
    </w:p>
    <w:p w14:paraId="0DB6F090">
      <w:pPr>
        <w:spacing w:line="360" w:lineRule="auto"/>
        <w:ind w:firstLine="420" w:firstLineChars="200"/>
        <w:rPr>
          <w:rFonts w:ascii="宋体" w:hAnsi="宋体" w:cs="宋体"/>
          <w:szCs w:val="21"/>
          <w:highlight w:val="none"/>
        </w:rPr>
      </w:pPr>
      <w:r>
        <w:rPr>
          <w:rFonts w:hint="eastAsia" w:ascii="宋体" w:hAnsi="宋体" w:cs="宋体"/>
          <w:szCs w:val="21"/>
          <w:highlight w:val="none"/>
        </w:rPr>
        <w:t>（1）中标企业接到合同包内服务大队拖移事故车辆指令后未及时接单回复，按以下情形进行相应罚款：5至10分钟回复的，每次扣0.5分；10至20分钟回复的，每次扣1分；20至30分钟回复的，每次扣3分；30分钟及以上，每次扣10分。</w:t>
      </w:r>
    </w:p>
    <w:p w14:paraId="303413E1">
      <w:pPr>
        <w:spacing w:line="360" w:lineRule="auto"/>
        <w:ind w:firstLine="420" w:firstLineChars="200"/>
        <w:rPr>
          <w:rFonts w:ascii="宋体" w:hAnsi="宋体" w:cs="宋体"/>
          <w:szCs w:val="21"/>
          <w:highlight w:val="none"/>
        </w:rPr>
      </w:pPr>
      <w:r>
        <w:rPr>
          <w:rFonts w:hint="eastAsia" w:ascii="宋体" w:hAnsi="宋体" w:cs="宋体"/>
          <w:szCs w:val="21"/>
          <w:highlight w:val="none"/>
        </w:rPr>
        <w:t>（2）中标企业接到合同包内服务大队拖移事故车辆指令接单回复后，但未及时赶到事故现场的，按以下情形进行相应处罚：迟到5分钟以内（含5分钟），每次扣0.5分；迟到5至10分钟的（含10分钟），每次扣1分；迟到10至20分钟的（含20分钟），每次扣2分；迟到20至30分钟的（含30分钟），每次扣3分；迟到30分钟以上，每次扣5分。</w:t>
      </w:r>
    </w:p>
    <w:p w14:paraId="5DCC5D34">
      <w:pPr>
        <w:spacing w:line="360" w:lineRule="auto"/>
        <w:ind w:firstLine="420" w:firstLineChars="200"/>
        <w:rPr>
          <w:rFonts w:ascii="宋体" w:hAnsi="宋体" w:cs="宋体"/>
          <w:szCs w:val="21"/>
          <w:highlight w:val="none"/>
        </w:rPr>
      </w:pPr>
      <w:r>
        <w:rPr>
          <w:rFonts w:hint="eastAsia" w:ascii="宋体" w:hAnsi="宋体" w:cs="宋体"/>
          <w:szCs w:val="21"/>
          <w:highlight w:val="none"/>
        </w:rPr>
        <w:t>（3）中标企业，未按要求留存照片证据的，每辆次扣2分。</w:t>
      </w:r>
    </w:p>
    <w:p w14:paraId="5F587F77">
      <w:pPr>
        <w:spacing w:line="360" w:lineRule="auto"/>
        <w:ind w:firstLine="420" w:firstLineChars="200"/>
        <w:rPr>
          <w:rFonts w:ascii="宋体" w:hAnsi="宋体" w:cs="宋体"/>
          <w:szCs w:val="21"/>
          <w:highlight w:val="none"/>
        </w:rPr>
      </w:pPr>
      <w:r>
        <w:rPr>
          <w:rFonts w:hint="eastAsia" w:ascii="宋体" w:hAnsi="宋体" w:cs="宋体"/>
          <w:szCs w:val="21"/>
          <w:highlight w:val="none"/>
        </w:rPr>
        <w:t>（4）中标企业未按照民警指令规范操作的，每次扣2分。</w:t>
      </w:r>
    </w:p>
    <w:p w14:paraId="3CA27E8F">
      <w:pPr>
        <w:spacing w:before="156" w:beforeLines="50" w:line="360" w:lineRule="auto"/>
        <w:ind w:firstLine="422" w:firstLineChars="200"/>
        <w:rPr>
          <w:rFonts w:ascii="宋体" w:hAnsi="宋体" w:cs="宋体"/>
          <w:b/>
          <w:szCs w:val="21"/>
          <w:highlight w:val="none"/>
        </w:rPr>
      </w:pPr>
      <w:r>
        <w:rPr>
          <w:rFonts w:hint="eastAsia" w:ascii="宋体" w:hAnsi="宋体" w:cs="宋体"/>
          <w:b/>
          <w:szCs w:val="21"/>
          <w:highlight w:val="none"/>
        </w:rPr>
        <w:t>5.商务要求</w:t>
      </w:r>
    </w:p>
    <w:p w14:paraId="652FC2E1">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（1）服务期限</w:t>
      </w:r>
    </w:p>
    <w:p w14:paraId="4B99DB48">
      <w:pPr>
        <w:spacing w:line="360" w:lineRule="auto"/>
        <w:ind w:firstLine="420" w:firstLineChars="200"/>
        <w:rPr>
          <w:rFonts w:ascii="宋体" w:hAnsi="宋体" w:cs="宋体"/>
          <w:szCs w:val="21"/>
          <w:highlight w:val="none"/>
        </w:rPr>
      </w:pPr>
      <w:r>
        <w:rPr>
          <w:rFonts w:hint="eastAsia" w:ascii="宋体" w:hAnsi="宋体" w:cs="宋体"/>
          <w:szCs w:val="21"/>
          <w:highlight w:val="none"/>
        </w:rPr>
        <w:t>自</w:t>
      </w:r>
      <w:r>
        <w:rPr>
          <w:rFonts w:hint="eastAsia" w:ascii="宋体" w:hAnsi="宋体" w:cs="宋体"/>
          <w:szCs w:val="21"/>
          <w:highlight w:val="none"/>
          <w:lang w:val="en-US" w:eastAsia="zh-CN"/>
        </w:rPr>
        <w:t>合同签订之</w:t>
      </w:r>
      <w:r>
        <w:rPr>
          <w:rFonts w:hint="eastAsia" w:ascii="宋体" w:hAnsi="宋体" w:cs="宋体"/>
          <w:szCs w:val="21"/>
          <w:highlight w:val="none"/>
        </w:rPr>
        <w:t>日起</w:t>
      </w:r>
      <w:r>
        <w:rPr>
          <w:rFonts w:hint="eastAsia" w:ascii="宋体" w:hAnsi="宋体" w:cs="宋体"/>
          <w:szCs w:val="21"/>
          <w:highlight w:val="none"/>
        </w:rPr>
        <w:t>，按照招标单价，合同费用使用完毕则合同执行完毕，如时间到2025年7月31日合同费用未使用完毕，则合同视同执行完毕，费用据实结算。</w:t>
      </w:r>
    </w:p>
    <w:p w14:paraId="5F012A3E">
      <w:pPr>
        <w:spacing w:before="156" w:beforeLines="50" w:line="360" w:lineRule="auto"/>
        <w:ind w:firstLine="422" w:firstLineChars="200"/>
        <w:rPr>
          <w:rFonts w:ascii="宋体" w:hAnsi="宋体" w:cs="宋体"/>
          <w:b/>
          <w:szCs w:val="21"/>
          <w:highlight w:val="none"/>
        </w:rPr>
      </w:pPr>
      <w:r>
        <w:rPr>
          <w:rFonts w:hint="eastAsia" w:ascii="宋体" w:hAnsi="宋体" w:cs="宋体"/>
          <w:b/>
          <w:szCs w:val="21"/>
          <w:highlight w:val="none"/>
        </w:rPr>
        <w:t>（2）款项结算</w:t>
      </w:r>
    </w:p>
    <w:p w14:paraId="027DA758">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①预算明细表</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058"/>
        <w:gridCol w:w="1528"/>
        <w:gridCol w:w="1058"/>
        <w:gridCol w:w="1174"/>
        <w:gridCol w:w="1058"/>
        <w:gridCol w:w="1023"/>
        <w:gridCol w:w="979"/>
      </w:tblGrid>
      <w:tr w14:paraId="54EC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restart"/>
            <w:vAlign w:val="center"/>
          </w:tcPr>
          <w:p w14:paraId="4E89024C">
            <w:pPr>
              <w:jc w:val="center"/>
              <w:rPr>
                <w:rFonts w:ascii="仿宋" w:hAnsi="仿宋" w:eastAsia="仿宋"/>
                <w:b/>
                <w:sz w:val="24"/>
                <w:szCs w:val="24"/>
                <w:highlight w:val="none"/>
              </w:rPr>
            </w:pPr>
            <w:r>
              <w:rPr>
                <w:rFonts w:hint="eastAsia" w:ascii="仿宋" w:hAnsi="仿宋" w:eastAsia="仿宋"/>
                <w:b/>
                <w:sz w:val="24"/>
                <w:szCs w:val="24"/>
                <w:highlight w:val="none"/>
              </w:rPr>
              <w:t>序号</w:t>
            </w:r>
          </w:p>
        </w:tc>
        <w:tc>
          <w:tcPr>
            <w:tcW w:w="621" w:type="pct"/>
            <w:vMerge w:val="restart"/>
            <w:vAlign w:val="center"/>
          </w:tcPr>
          <w:p w14:paraId="4D4C72C1">
            <w:pPr>
              <w:jc w:val="center"/>
              <w:rPr>
                <w:rFonts w:ascii="仿宋" w:hAnsi="仿宋" w:eastAsia="仿宋"/>
                <w:b/>
                <w:sz w:val="24"/>
                <w:szCs w:val="24"/>
                <w:highlight w:val="none"/>
              </w:rPr>
            </w:pPr>
            <w:r>
              <w:rPr>
                <w:rFonts w:hint="eastAsia" w:ascii="仿宋" w:hAnsi="仿宋" w:eastAsia="仿宋"/>
                <w:b/>
                <w:sz w:val="24"/>
                <w:szCs w:val="24"/>
                <w:highlight w:val="none"/>
              </w:rPr>
              <w:t>包号</w:t>
            </w:r>
          </w:p>
        </w:tc>
        <w:tc>
          <w:tcPr>
            <w:tcW w:w="897" w:type="pct"/>
            <w:vMerge w:val="restart"/>
            <w:vAlign w:val="center"/>
          </w:tcPr>
          <w:p w14:paraId="127E3987">
            <w:pPr>
              <w:jc w:val="center"/>
              <w:rPr>
                <w:rFonts w:ascii="仿宋" w:hAnsi="仿宋" w:eastAsia="仿宋"/>
                <w:b/>
                <w:sz w:val="24"/>
                <w:szCs w:val="24"/>
                <w:highlight w:val="none"/>
              </w:rPr>
            </w:pPr>
            <w:r>
              <w:rPr>
                <w:rFonts w:hint="eastAsia" w:ascii="仿宋" w:hAnsi="仿宋" w:eastAsia="仿宋"/>
                <w:b/>
                <w:sz w:val="24"/>
                <w:szCs w:val="24"/>
                <w:highlight w:val="none"/>
              </w:rPr>
              <w:t>服务大队</w:t>
            </w:r>
          </w:p>
        </w:tc>
        <w:tc>
          <w:tcPr>
            <w:tcW w:w="621" w:type="pct"/>
            <w:vMerge w:val="restart"/>
            <w:vAlign w:val="center"/>
          </w:tcPr>
          <w:p w14:paraId="2482552A">
            <w:pPr>
              <w:jc w:val="center"/>
              <w:rPr>
                <w:rFonts w:ascii="仿宋" w:hAnsi="仿宋" w:eastAsia="仿宋"/>
                <w:b/>
                <w:sz w:val="24"/>
                <w:szCs w:val="24"/>
                <w:highlight w:val="none"/>
              </w:rPr>
            </w:pPr>
            <w:r>
              <w:rPr>
                <w:rFonts w:hint="eastAsia" w:ascii="仿宋" w:hAnsi="仿宋" w:eastAsia="仿宋"/>
                <w:b/>
                <w:sz w:val="24"/>
                <w:szCs w:val="24"/>
                <w:highlight w:val="none"/>
              </w:rPr>
              <w:t>单价</w:t>
            </w:r>
          </w:p>
        </w:tc>
        <w:tc>
          <w:tcPr>
            <w:tcW w:w="689" w:type="pct"/>
            <w:vMerge w:val="restart"/>
            <w:vAlign w:val="center"/>
          </w:tcPr>
          <w:p w14:paraId="211BB28F">
            <w:pPr>
              <w:jc w:val="center"/>
              <w:rPr>
                <w:rFonts w:ascii="仿宋" w:hAnsi="仿宋" w:eastAsia="仿宋"/>
                <w:b/>
                <w:sz w:val="24"/>
                <w:szCs w:val="24"/>
                <w:highlight w:val="none"/>
              </w:rPr>
            </w:pPr>
            <w:r>
              <w:rPr>
                <w:rFonts w:hint="eastAsia" w:ascii="仿宋" w:hAnsi="仿宋" w:eastAsia="仿宋"/>
                <w:b/>
                <w:sz w:val="24"/>
                <w:szCs w:val="24"/>
                <w:highlight w:val="none"/>
              </w:rPr>
              <w:t>数量</w:t>
            </w:r>
          </w:p>
        </w:tc>
        <w:tc>
          <w:tcPr>
            <w:tcW w:w="1795" w:type="pct"/>
            <w:gridSpan w:val="3"/>
            <w:vAlign w:val="center"/>
          </w:tcPr>
          <w:p w14:paraId="3C7B979E">
            <w:pPr>
              <w:jc w:val="center"/>
              <w:rPr>
                <w:rFonts w:ascii="仿宋" w:hAnsi="仿宋" w:eastAsia="仿宋"/>
                <w:b/>
                <w:sz w:val="24"/>
                <w:szCs w:val="24"/>
                <w:highlight w:val="none"/>
              </w:rPr>
            </w:pPr>
            <w:r>
              <w:rPr>
                <w:rFonts w:hint="eastAsia" w:ascii="仿宋" w:hAnsi="仿宋" w:eastAsia="仿宋"/>
                <w:b/>
                <w:sz w:val="24"/>
                <w:szCs w:val="24"/>
                <w:highlight w:val="none"/>
              </w:rPr>
              <w:t>预算金额</w:t>
            </w:r>
            <w:r>
              <w:rPr>
                <w:rFonts w:hint="eastAsia" w:ascii="仿宋" w:hAnsi="仿宋" w:eastAsia="仿宋"/>
                <w:sz w:val="24"/>
                <w:szCs w:val="24"/>
                <w:highlight w:val="none"/>
              </w:rPr>
              <w:t>（元）</w:t>
            </w:r>
          </w:p>
        </w:tc>
      </w:tr>
      <w:tr w14:paraId="1FB4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14:paraId="2699D4E0">
            <w:pPr>
              <w:jc w:val="center"/>
              <w:rPr>
                <w:rFonts w:ascii="仿宋" w:hAnsi="仿宋" w:eastAsia="仿宋"/>
                <w:b/>
                <w:sz w:val="24"/>
                <w:szCs w:val="24"/>
                <w:highlight w:val="none"/>
              </w:rPr>
            </w:pPr>
          </w:p>
        </w:tc>
        <w:tc>
          <w:tcPr>
            <w:tcW w:w="621" w:type="pct"/>
            <w:vMerge w:val="continue"/>
            <w:vAlign w:val="center"/>
          </w:tcPr>
          <w:p w14:paraId="11C24082">
            <w:pPr>
              <w:jc w:val="center"/>
              <w:rPr>
                <w:rFonts w:ascii="仿宋" w:hAnsi="仿宋" w:eastAsia="仿宋"/>
                <w:b/>
                <w:sz w:val="24"/>
                <w:szCs w:val="24"/>
                <w:highlight w:val="none"/>
              </w:rPr>
            </w:pPr>
          </w:p>
        </w:tc>
        <w:tc>
          <w:tcPr>
            <w:tcW w:w="897" w:type="pct"/>
            <w:vMerge w:val="continue"/>
            <w:vAlign w:val="center"/>
          </w:tcPr>
          <w:p w14:paraId="61D73C71">
            <w:pPr>
              <w:jc w:val="center"/>
              <w:rPr>
                <w:rFonts w:ascii="仿宋" w:hAnsi="仿宋" w:eastAsia="仿宋"/>
                <w:b/>
                <w:sz w:val="24"/>
                <w:szCs w:val="24"/>
                <w:highlight w:val="none"/>
              </w:rPr>
            </w:pPr>
          </w:p>
        </w:tc>
        <w:tc>
          <w:tcPr>
            <w:tcW w:w="621" w:type="pct"/>
            <w:vMerge w:val="continue"/>
            <w:vAlign w:val="center"/>
          </w:tcPr>
          <w:p w14:paraId="0C42B952">
            <w:pPr>
              <w:jc w:val="center"/>
              <w:rPr>
                <w:rFonts w:ascii="仿宋" w:hAnsi="仿宋" w:eastAsia="仿宋"/>
                <w:b/>
                <w:sz w:val="24"/>
                <w:szCs w:val="24"/>
                <w:highlight w:val="none"/>
              </w:rPr>
            </w:pPr>
          </w:p>
        </w:tc>
        <w:tc>
          <w:tcPr>
            <w:tcW w:w="689" w:type="pct"/>
            <w:vMerge w:val="continue"/>
            <w:vAlign w:val="center"/>
          </w:tcPr>
          <w:p w14:paraId="0F2AAA11">
            <w:pPr>
              <w:jc w:val="center"/>
              <w:rPr>
                <w:rFonts w:ascii="仿宋" w:hAnsi="仿宋" w:eastAsia="仿宋"/>
                <w:b/>
                <w:sz w:val="24"/>
                <w:szCs w:val="24"/>
                <w:highlight w:val="none"/>
              </w:rPr>
            </w:pPr>
          </w:p>
        </w:tc>
        <w:tc>
          <w:tcPr>
            <w:tcW w:w="621" w:type="pct"/>
            <w:vAlign w:val="center"/>
          </w:tcPr>
          <w:p w14:paraId="774F6527">
            <w:pPr>
              <w:jc w:val="center"/>
              <w:rPr>
                <w:rFonts w:ascii="仿宋" w:hAnsi="仿宋" w:eastAsia="仿宋"/>
                <w:sz w:val="24"/>
                <w:highlight w:val="none"/>
              </w:rPr>
            </w:pPr>
            <w:r>
              <w:rPr>
                <w:rFonts w:hint="eastAsia" w:ascii="仿宋" w:hAnsi="仿宋" w:eastAsia="仿宋"/>
                <w:sz w:val="24"/>
                <w:highlight w:val="none"/>
              </w:rPr>
              <w:t>违停费用</w:t>
            </w:r>
          </w:p>
        </w:tc>
        <w:tc>
          <w:tcPr>
            <w:tcW w:w="600" w:type="pct"/>
            <w:vAlign w:val="center"/>
          </w:tcPr>
          <w:p w14:paraId="13245EA8">
            <w:pPr>
              <w:jc w:val="center"/>
              <w:rPr>
                <w:rFonts w:ascii="仿宋" w:hAnsi="仿宋" w:eastAsia="仿宋"/>
                <w:sz w:val="24"/>
                <w:highlight w:val="none"/>
              </w:rPr>
            </w:pPr>
            <w:r>
              <w:rPr>
                <w:rFonts w:hint="eastAsia" w:ascii="仿宋" w:hAnsi="仿宋" w:eastAsia="仿宋"/>
                <w:sz w:val="24"/>
                <w:highlight w:val="none"/>
              </w:rPr>
              <w:t>事故费用</w:t>
            </w:r>
          </w:p>
        </w:tc>
        <w:tc>
          <w:tcPr>
            <w:tcW w:w="573" w:type="pct"/>
            <w:vAlign w:val="center"/>
          </w:tcPr>
          <w:p w14:paraId="0D8F25C6">
            <w:pPr>
              <w:jc w:val="center"/>
              <w:rPr>
                <w:rFonts w:ascii="仿宋" w:hAnsi="仿宋" w:eastAsia="仿宋"/>
                <w:sz w:val="24"/>
                <w:highlight w:val="none"/>
              </w:rPr>
            </w:pPr>
            <w:r>
              <w:rPr>
                <w:rFonts w:hint="eastAsia" w:ascii="仿宋" w:hAnsi="仿宋" w:eastAsia="仿宋"/>
                <w:sz w:val="24"/>
                <w:highlight w:val="none"/>
              </w:rPr>
              <w:t>合同费用</w:t>
            </w:r>
          </w:p>
        </w:tc>
      </w:tr>
      <w:tr w14:paraId="5920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2B0A3C96">
            <w:pPr>
              <w:jc w:val="center"/>
              <w:rPr>
                <w:rFonts w:ascii="仿宋" w:hAnsi="仿宋" w:eastAsia="仿宋"/>
                <w:sz w:val="24"/>
                <w:szCs w:val="24"/>
                <w:highlight w:val="none"/>
              </w:rPr>
            </w:pPr>
            <w:r>
              <w:rPr>
                <w:rFonts w:hint="eastAsia" w:ascii="仿宋" w:hAnsi="仿宋" w:eastAsia="仿宋"/>
                <w:sz w:val="24"/>
                <w:szCs w:val="24"/>
                <w:highlight w:val="none"/>
              </w:rPr>
              <w:t>11</w:t>
            </w:r>
          </w:p>
        </w:tc>
        <w:tc>
          <w:tcPr>
            <w:tcW w:w="621" w:type="pct"/>
            <w:vAlign w:val="center"/>
          </w:tcPr>
          <w:p w14:paraId="3F2E1C88">
            <w:pPr>
              <w:jc w:val="center"/>
              <w:rPr>
                <w:rFonts w:ascii="仿宋" w:hAnsi="仿宋" w:eastAsia="仿宋"/>
                <w:sz w:val="24"/>
                <w:szCs w:val="24"/>
                <w:highlight w:val="none"/>
              </w:rPr>
            </w:pPr>
            <w:r>
              <w:rPr>
                <w:rFonts w:hint="eastAsia" w:ascii="仿宋" w:hAnsi="仿宋" w:eastAsia="仿宋"/>
                <w:sz w:val="24"/>
                <w:szCs w:val="24"/>
                <w:highlight w:val="none"/>
              </w:rPr>
              <w:t>第11包</w:t>
            </w:r>
          </w:p>
        </w:tc>
        <w:tc>
          <w:tcPr>
            <w:tcW w:w="897" w:type="pct"/>
            <w:vAlign w:val="center"/>
          </w:tcPr>
          <w:p w14:paraId="7B2B1DC8">
            <w:pPr>
              <w:jc w:val="center"/>
              <w:rPr>
                <w:rFonts w:ascii="仿宋" w:hAnsi="仿宋" w:eastAsia="仿宋"/>
                <w:sz w:val="24"/>
                <w:szCs w:val="24"/>
                <w:highlight w:val="none"/>
              </w:rPr>
            </w:pPr>
            <w:r>
              <w:rPr>
                <w:rFonts w:hint="eastAsia" w:ascii="仿宋" w:hAnsi="仿宋" w:eastAsia="仿宋"/>
                <w:sz w:val="24"/>
                <w:szCs w:val="24"/>
                <w:highlight w:val="none"/>
              </w:rPr>
              <w:t>全市</w:t>
            </w:r>
          </w:p>
        </w:tc>
        <w:tc>
          <w:tcPr>
            <w:tcW w:w="621" w:type="pct"/>
            <w:vMerge w:val="continue"/>
            <w:vAlign w:val="center"/>
          </w:tcPr>
          <w:p w14:paraId="260A1B1F">
            <w:pPr>
              <w:jc w:val="center"/>
              <w:rPr>
                <w:rFonts w:ascii="仿宋" w:hAnsi="仿宋" w:eastAsia="仿宋"/>
                <w:sz w:val="24"/>
                <w:szCs w:val="24"/>
                <w:highlight w:val="none"/>
              </w:rPr>
            </w:pPr>
          </w:p>
        </w:tc>
        <w:tc>
          <w:tcPr>
            <w:tcW w:w="689" w:type="pct"/>
            <w:vMerge w:val="continue"/>
            <w:vAlign w:val="center"/>
          </w:tcPr>
          <w:p w14:paraId="1DD3FE6D">
            <w:pPr>
              <w:jc w:val="center"/>
              <w:rPr>
                <w:rFonts w:ascii="仿宋" w:hAnsi="仿宋" w:eastAsia="仿宋"/>
                <w:sz w:val="24"/>
                <w:szCs w:val="24"/>
                <w:highlight w:val="none"/>
              </w:rPr>
            </w:pPr>
          </w:p>
        </w:tc>
        <w:tc>
          <w:tcPr>
            <w:tcW w:w="621" w:type="pct"/>
            <w:vAlign w:val="center"/>
          </w:tcPr>
          <w:p w14:paraId="74AF6E34">
            <w:pPr>
              <w:jc w:val="right"/>
              <w:rPr>
                <w:rFonts w:ascii="仿宋" w:hAnsi="仿宋" w:eastAsia="仿宋"/>
                <w:sz w:val="24"/>
                <w:highlight w:val="none"/>
              </w:rPr>
            </w:pPr>
            <w:r>
              <w:rPr>
                <w:rFonts w:hint="eastAsia" w:ascii="仿宋" w:hAnsi="仿宋" w:eastAsia="仿宋"/>
                <w:sz w:val="24"/>
                <w:highlight w:val="none"/>
              </w:rPr>
              <w:t>0</w:t>
            </w:r>
          </w:p>
        </w:tc>
        <w:tc>
          <w:tcPr>
            <w:tcW w:w="600" w:type="pct"/>
            <w:vAlign w:val="center"/>
          </w:tcPr>
          <w:p w14:paraId="46A57CEB">
            <w:pPr>
              <w:jc w:val="right"/>
              <w:rPr>
                <w:rFonts w:ascii="仿宋" w:hAnsi="仿宋" w:eastAsia="仿宋"/>
                <w:sz w:val="24"/>
                <w:highlight w:val="none"/>
              </w:rPr>
            </w:pPr>
            <w:r>
              <w:rPr>
                <w:rFonts w:hint="eastAsia" w:ascii="仿宋" w:hAnsi="仿宋" w:eastAsia="仿宋"/>
                <w:sz w:val="24"/>
                <w:highlight w:val="none"/>
              </w:rPr>
              <w:t>500000</w:t>
            </w:r>
          </w:p>
        </w:tc>
        <w:tc>
          <w:tcPr>
            <w:tcW w:w="573" w:type="pct"/>
            <w:vAlign w:val="center"/>
          </w:tcPr>
          <w:p w14:paraId="74597DFF">
            <w:pPr>
              <w:jc w:val="right"/>
              <w:rPr>
                <w:rFonts w:ascii="仿宋" w:hAnsi="仿宋" w:eastAsia="仿宋"/>
                <w:sz w:val="24"/>
                <w:highlight w:val="none"/>
              </w:rPr>
            </w:pPr>
            <w:r>
              <w:rPr>
                <w:rFonts w:hint="eastAsia" w:ascii="仿宋" w:hAnsi="仿宋" w:eastAsia="仿宋"/>
                <w:sz w:val="24"/>
                <w:highlight w:val="none"/>
              </w:rPr>
              <w:t>500000</w:t>
            </w:r>
          </w:p>
        </w:tc>
      </w:tr>
    </w:tbl>
    <w:p w14:paraId="6750C7A7">
      <w:pPr>
        <w:spacing w:before="156" w:beforeLines="50" w:line="360" w:lineRule="auto"/>
        <w:ind w:firstLine="422" w:firstLineChars="200"/>
        <w:rPr>
          <w:rFonts w:ascii="宋体" w:hAnsi="宋体" w:cs="宋体"/>
          <w:b/>
          <w:bCs/>
          <w:szCs w:val="21"/>
          <w:highlight w:val="none"/>
        </w:rPr>
      </w:pPr>
      <w:r>
        <w:rPr>
          <w:rFonts w:hint="eastAsia" w:ascii="宋体" w:hAnsi="宋体" w:cs="宋体"/>
          <w:b/>
          <w:bCs/>
          <w:szCs w:val="21"/>
          <w:highlight w:val="none"/>
        </w:rPr>
        <w:t>②单价限价</w:t>
      </w:r>
    </w:p>
    <w:p w14:paraId="081ED6F7">
      <w:pPr>
        <w:spacing w:line="360" w:lineRule="auto"/>
        <w:ind w:firstLine="420" w:firstLineChars="200"/>
        <w:rPr>
          <w:rFonts w:ascii="宋体" w:hAnsi="宋体" w:cs="宋体"/>
          <w:szCs w:val="21"/>
          <w:highlight w:val="none"/>
        </w:rPr>
      </w:pPr>
      <w:r>
        <w:rPr>
          <w:rFonts w:hint="eastAsia" w:ascii="宋体" w:hAnsi="宋体" w:cs="宋体"/>
          <w:szCs w:val="21"/>
          <w:highlight w:val="none"/>
        </w:rPr>
        <w:t>大车装卸费：1500元/辆/次；</w:t>
      </w:r>
    </w:p>
    <w:p w14:paraId="4516E011">
      <w:pPr>
        <w:spacing w:line="360" w:lineRule="auto"/>
        <w:ind w:firstLine="420" w:firstLineChars="200"/>
        <w:rPr>
          <w:rFonts w:ascii="宋体" w:hAnsi="宋体" w:cs="宋体"/>
          <w:szCs w:val="21"/>
          <w:highlight w:val="none"/>
        </w:rPr>
      </w:pPr>
      <w:r>
        <w:rPr>
          <w:rFonts w:hint="eastAsia" w:ascii="宋体" w:hAnsi="宋体" w:cs="宋体"/>
          <w:szCs w:val="21"/>
          <w:highlight w:val="none"/>
        </w:rPr>
        <w:t>大车运输单价：50元/公里；</w:t>
      </w:r>
    </w:p>
    <w:p w14:paraId="5673D691">
      <w:pPr>
        <w:spacing w:line="360" w:lineRule="auto"/>
        <w:ind w:firstLine="420" w:firstLineChars="200"/>
        <w:rPr>
          <w:rFonts w:ascii="宋体" w:hAnsi="宋体" w:cs="宋体"/>
          <w:szCs w:val="21"/>
          <w:highlight w:val="none"/>
        </w:rPr>
      </w:pPr>
      <w:r>
        <w:rPr>
          <w:rFonts w:hint="eastAsia" w:ascii="宋体" w:hAnsi="宋体" w:cs="宋体"/>
          <w:szCs w:val="21"/>
          <w:highlight w:val="none"/>
        </w:rPr>
        <w:t>重大活动大拖车值守单价：300元/小时；</w:t>
      </w:r>
    </w:p>
    <w:p w14:paraId="0512F530">
      <w:pPr>
        <w:spacing w:line="360" w:lineRule="auto"/>
        <w:ind w:firstLine="420" w:firstLineChars="200"/>
        <w:rPr>
          <w:rFonts w:ascii="宋体" w:hAnsi="宋体" w:cs="宋体"/>
          <w:szCs w:val="21"/>
          <w:highlight w:val="none"/>
        </w:rPr>
      </w:pPr>
      <w:r>
        <w:rPr>
          <w:rFonts w:hint="eastAsia" w:ascii="宋体" w:hAnsi="宋体" w:cs="宋体"/>
          <w:szCs w:val="21"/>
          <w:highlight w:val="none"/>
        </w:rPr>
        <w:t>20吨吊车1500元/趟次</w:t>
      </w:r>
    </w:p>
    <w:p w14:paraId="3DA93CAF">
      <w:pPr>
        <w:spacing w:line="360" w:lineRule="auto"/>
        <w:ind w:firstLine="420" w:firstLineChars="200"/>
        <w:rPr>
          <w:rFonts w:ascii="宋体" w:hAnsi="宋体" w:cs="宋体"/>
          <w:szCs w:val="21"/>
          <w:highlight w:val="none"/>
        </w:rPr>
      </w:pPr>
      <w:r>
        <w:rPr>
          <w:rFonts w:hint="eastAsia" w:ascii="宋体" w:hAnsi="宋体" w:cs="宋体"/>
          <w:szCs w:val="21"/>
          <w:highlight w:val="none"/>
        </w:rPr>
        <w:t>50吨吊车3000元/趟次。</w:t>
      </w:r>
    </w:p>
    <w:p w14:paraId="55D9433B">
      <w:pPr>
        <w:spacing w:before="156" w:beforeLines="50" w:line="360" w:lineRule="auto"/>
        <w:ind w:firstLine="422" w:firstLineChars="200"/>
        <w:rPr>
          <w:rFonts w:ascii="宋体" w:hAnsi="宋体" w:cs="宋体"/>
          <w:b/>
          <w:bCs/>
          <w:szCs w:val="21"/>
          <w:highlight w:val="none"/>
        </w:rPr>
      </w:pPr>
      <w:r>
        <w:rPr>
          <w:rFonts w:hint="eastAsia" w:ascii="宋体" w:hAnsi="宋体" w:cs="宋体"/>
          <w:b/>
          <w:bCs/>
          <w:szCs w:val="21"/>
          <w:highlight w:val="none"/>
        </w:rPr>
        <w:t>③费用计算方式：</w:t>
      </w:r>
    </w:p>
    <w:p w14:paraId="60C54602">
      <w:pPr>
        <w:spacing w:line="360" w:lineRule="auto"/>
        <w:ind w:firstLine="420" w:firstLineChars="200"/>
        <w:rPr>
          <w:rFonts w:ascii="宋体" w:hAnsi="宋体" w:cs="宋体"/>
          <w:szCs w:val="21"/>
          <w:highlight w:val="none"/>
        </w:rPr>
      </w:pPr>
      <w:r>
        <w:rPr>
          <w:rFonts w:hint="eastAsia" w:ascii="宋体" w:hAnsi="宋体" w:cs="宋体"/>
          <w:szCs w:val="21"/>
          <w:highlight w:val="none"/>
        </w:rPr>
        <w:t>根据中标单价在预算金额范围内据实结算。</w:t>
      </w:r>
    </w:p>
    <w:p w14:paraId="3D3DAF22">
      <w:pPr>
        <w:spacing w:line="360" w:lineRule="auto"/>
        <w:ind w:firstLine="420" w:firstLineChars="200"/>
        <w:rPr>
          <w:rFonts w:ascii="宋体" w:hAnsi="宋体" w:cs="宋体"/>
          <w:szCs w:val="21"/>
          <w:highlight w:val="none"/>
        </w:rPr>
      </w:pPr>
      <w:r>
        <w:rPr>
          <w:rFonts w:hint="eastAsia" w:ascii="宋体" w:hAnsi="宋体" w:cs="宋体"/>
          <w:szCs w:val="21"/>
          <w:highlight w:val="none"/>
        </w:rPr>
        <w:t>第11包：实际支付费用=大型拖车费+吊车费+重大活动值守费-考核处罚金额。</w:t>
      </w:r>
    </w:p>
    <w:p w14:paraId="2E83791C">
      <w:pPr>
        <w:spacing w:line="360" w:lineRule="auto"/>
        <w:ind w:firstLine="420" w:firstLineChars="200"/>
        <w:rPr>
          <w:rFonts w:ascii="宋体" w:hAnsi="宋体" w:cs="宋体"/>
          <w:szCs w:val="21"/>
          <w:highlight w:val="none"/>
        </w:rPr>
      </w:pPr>
      <w:r>
        <w:rPr>
          <w:rFonts w:hint="eastAsia" w:ascii="宋体" w:hAnsi="宋体" w:cs="宋体"/>
          <w:szCs w:val="21"/>
          <w:highlight w:val="none"/>
        </w:rPr>
        <w:t>事故24小时值守费，根据每辆车中标单价，按照车辆数和值守时间据实结算。</w:t>
      </w:r>
    </w:p>
    <w:p w14:paraId="225C8386">
      <w:pPr>
        <w:spacing w:line="360" w:lineRule="auto"/>
        <w:ind w:firstLine="420" w:firstLineChars="200"/>
        <w:rPr>
          <w:rFonts w:ascii="宋体" w:hAnsi="宋体" w:cs="宋体"/>
          <w:szCs w:val="21"/>
          <w:highlight w:val="none"/>
        </w:rPr>
      </w:pPr>
      <w:r>
        <w:rPr>
          <w:rFonts w:hint="eastAsia" w:ascii="宋体" w:hAnsi="宋体" w:cs="宋体"/>
          <w:szCs w:val="21"/>
          <w:highlight w:val="none"/>
        </w:rPr>
        <w:t>大型拖车费和吊车费用依据中标单价按照次数据实结算。</w:t>
      </w:r>
    </w:p>
    <w:p w14:paraId="427C9D26">
      <w:pPr>
        <w:spacing w:line="360" w:lineRule="auto"/>
        <w:ind w:firstLine="422" w:firstLineChars="200"/>
        <w:rPr>
          <w:rFonts w:ascii="宋体" w:hAnsi="宋体" w:cs="宋体"/>
          <w:szCs w:val="21"/>
          <w:highlight w:val="none"/>
        </w:rPr>
      </w:pPr>
      <w:r>
        <w:rPr>
          <w:rFonts w:hint="eastAsia" w:ascii="宋体" w:hAnsi="宋体" w:cs="宋体"/>
          <w:b/>
          <w:bCs/>
          <w:szCs w:val="21"/>
          <w:highlight w:val="none"/>
        </w:rPr>
        <w:t>④付款方式（第11包）</w:t>
      </w:r>
      <w:r>
        <w:rPr>
          <w:rFonts w:hint="eastAsia" w:ascii="宋体" w:hAnsi="宋体" w:cs="宋体"/>
          <w:szCs w:val="21"/>
          <w:highlight w:val="none"/>
        </w:rPr>
        <w:t>：</w:t>
      </w:r>
    </w:p>
    <w:p w14:paraId="305016D6">
      <w:pPr>
        <w:spacing w:line="360" w:lineRule="auto"/>
        <w:ind w:firstLine="420" w:firstLineChars="200"/>
        <w:rPr>
          <w:rFonts w:ascii="宋体" w:hAnsi="宋体" w:cs="宋体"/>
          <w:szCs w:val="21"/>
          <w:highlight w:val="none"/>
        </w:rPr>
      </w:pPr>
      <w:r>
        <w:rPr>
          <w:rFonts w:hint="eastAsia" w:ascii="宋体" w:hAnsi="宋体" w:cs="宋体"/>
          <w:szCs w:val="21"/>
          <w:highlight w:val="none"/>
        </w:rPr>
        <w:t>（1）在2024年9月至2024年11月，每月验收支付一次，每月结束后开始验收结束月份服务情况，通过验收后支付费用，原则上通过验收后支付一次费用（验收单上通过验收的费用），遇到特殊情况和持续重大活动时可合并验收支付次数（例如：两个月应该进行两次验收支付，可根据实际情况，两个月结束后一次性验收支付费用）。</w:t>
      </w:r>
    </w:p>
    <w:p w14:paraId="3D0F528E">
      <w:pPr>
        <w:spacing w:line="360" w:lineRule="auto"/>
        <w:ind w:firstLine="420" w:firstLineChars="200"/>
        <w:rPr>
          <w:rFonts w:ascii="宋体" w:hAnsi="宋体" w:cs="宋体"/>
          <w:szCs w:val="21"/>
          <w:highlight w:val="none"/>
        </w:rPr>
      </w:pPr>
      <w:r>
        <w:rPr>
          <w:rFonts w:hint="eastAsia" w:ascii="宋体" w:hAnsi="宋体" w:cs="宋体"/>
          <w:szCs w:val="21"/>
          <w:highlight w:val="none"/>
        </w:rPr>
        <w:t>（2）在2025年4月至2025年8月，每月验收支付一次，每月结束后开始验收结束月份服务情况，通过验收后支付费用，原则上通过验收后支付一次费用（验收单上通过验收的费用），遇到特殊情况（2024年12月至2025年3月，财政局年底结算，等待政府预算下达）和持续重大活动时可合并验收支付次数（例如：两个月应该进行两次验收支付，可根据实际情况，两个月结束后一次性验收支付费用）。</w:t>
      </w:r>
    </w:p>
    <w:p w14:paraId="274C7186">
      <w:pPr>
        <w:spacing w:before="156" w:beforeLines="50" w:line="360" w:lineRule="auto"/>
        <w:ind w:firstLine="420" w:firstLineChars="200"/>
        <w:rPr>
          <w:rFonts w:ascii="宋体" w:hAnsi="宋体" w:cs="宋体"/>
          <w:b/>
          <w:szCs w:val="21"/>
          <w:highlight w:val="none"/>
        </w:rPr>
      </w:pPr>
      <w:r>
        <w:rPr>
          <w:rFonts w:hint="eastAsia" w:ascii="宋体" w:hAnsi="宋体" w:cs="宋体"/>
          <w:szCs w:val="21"/>
          <w:highlight w:val="none"/>
        </w:rPr>
        <w:t>（3）项目履约完毕，支付尾款前，采购人可以邀请第三方专业机构对项目标的、数量、考核标准、价款、服务期限、付款方式、违约责任等主要合同条款仔细逐项核对，进行结算审计；如中标供应商在合同履行中出现违反合同要求而出现罚款行为或所服务内容与支付金额不符等情况，最终支付金额以审计金额为准。</w:t>
      </w:r>
    </w:p>
    <w:p w14:paraId="54A7E84E">
      <w:pPr>
        <w:spacing w:before="156" w:beforeLines="50" w:line="360" w:lineRule="auto"/>
        <w:ind w:firstLine="422" w:firstLineChars="200"/>
        <w:rPr>
          <w:rFonts w:ascii="宋体" w:hAnsi="宋体" w:cs="宋体"/>
          <w:b/>
          <w:szCs w:val="21"/>
          <w:highlight w:val="none"/>
        </w:rPr>
      </w:pPr>
      <w:r>
        <w:rPr>
          <w:rFonts w:hint="eastAsia" w:ascii="宋体" w:hAnsi="宋体" w:cs="宋体"/>
          <w:b/>
          <w:szCs w:val="21"/>
          <w:highlight w:val="none"/>
        </w:rPr>
        <w:t>6.违约责任</w:t>
      </w:r>
    </w:p>
    <w:p w14:paraId="77D851AB">
      <w:pPr>
        <w:spacing w:before="156" w:beforeLines="50" w:line="360" w:lineRule="auto"/>
        <w:ind w:firstLine="420" w:firstLineChars="200"/>
        <w:rPr>
          <w:rFonts w:ascii="宋体" w:hAnsi="宋体" w:cs="宋体"/>
          <w:szCs w:val="21"/>
          <w:highlight w:val="none"/>
        </w:rPr>
      </w:pPr>
      <w:bookmarkStart w:id="55" w:name="_Toc12638"/>
      <w:r>
        <w:rPr>
          <w:rFonts w:hint="eastAsia" w:ascii="宋体" w:hAnsi="宋体" w:cs="宋体"/>
          <w:szCs w:val="21"/>
          <w:highlight w:val="none"/>
        </w:rPr>
        <w:t>（1）甲方有权对中标企业就投标事项进行核查。若经核查情况不实，将向有关部门申报取消乙方中标资格</w:t>
      </w:r>
    </w:p>
    <w:p w14:paraId="44D85754">
      <w:pPr>
        <w:spacing w:before="156" w:beforeLines="50" w:line="360" w:lineRule="auto"/>
        <w:ind w:firstLine="420" w:firstLineChars="200"/>
        <w:rPr>
          <w:rFonts w:ascii="宋体" w:hAnsi="宋体" w:cs="宋体"/>
          <w:szCs w:val="21"/>
          <w:highlight w:val="none"/>
        </w:rPr>
      </w:pPr>
      <w:r>
        <w:rPr>
          <w:rFonts w:hint="eastAsia" w:ascii="宋体" w:hAnsi="宋体" w:cs="宋体"/>
          <w:szCs w:val="21"/>
          <w:highlight w:val="none"/>
        </w:rPr>
        <w:t>（2）合同签订后，乙方不得转包、分包，亦不得将合同全部及任何权利、义务向第三方转让。</w:t>
      </w:r>
    </w:p>
    <w:p w14:paraId="75F5CD79">
      <w:pPr>
        <w:spacing w:before="156" w:beforeLines="50" w:line="360" w:lineRule="auto"/>
        <w:ind w:firstLine="420" w:firstLineChars="200"/>
        <w:rPr>
          <w:rFonts w:ascii="宋体" w:hAnsi="宋体" w:cs="宋体"/>
          <w:szCs w:val="21"/>
          <w:highlight w:val="none"/>
        </w:rPr>
      </w:pPr>
      <w:r>
        <w:rPr>
          <w:rFonts w:hint="eastAsia" w:ascii="宋体" w:hAnsi="宋体" w:cs="宋体"/>
          <w:szCs w:val="21"/>
          <w:highlight w:val="none"/>
        </w:rPr>
        <w:t>（3）乙方在合同有效期内造成甲方损失的，应承担全部赔偿责任（包括但不限于实际损失、可期待利益及律师费）。</w:t>
      </w:r>
    </w:p>
    <w:p w14:paraId="0D88F936">
      <w:pPr>
        <w:spacing w:before="156" w:beforeLines="50" w:line="360" w:lineRule="auto"/>
        <w:ind w:firstLine="420" w:firstLineChars="200"/>
        <w:rPr>
          <w:rFonts w:ascii="宋体" w:hAnsi="宋体" w:cs="宋体"/>
          <w:szCs w:val="21"/>
          <w:highlight w:val="none"/>
        </w:rPr>
      </w:pPr>
      <w:r>
        <w:rPr>
          <w:rFonts w:hint="eastAsia" w:ascii="宋体" w:hAnsi="宋体" w:cs="宋体"/>
          <w:szCs w:val="21"/>
          <w:highlight w:val="none"/>
        </w:rPr>
        <w:t>（4）合同有效期内甲方收到乙方有违规行为的线索，可要求乙方先停业整改，待甲方查明事实后按违约条款处理。</w:t>
      </w:r>
    </w:p>
    <w:p w14:paraId="318D2E2F">
      <w:pPr>
        <w:spacing w:before="156" w:beforeLines="50" w:line="360" w:lineRule="auto"/>
        <w:ind w:firstLine="420" w:firstLineChars="200"/>
        <w:rPr>
          <w:rFonts w:ascii="宋体" w:hAnsi="宋体" w:cs="宋体"/>
          <w:szCs w:val="21"/>
          <w:highlight w:val="none"/>
        </w:rPr>
      </w:pPr>
      <w:r>
        <w:rPr>
          <w:rFonts w:hint="eastAsia" w:ascii="宋体" w:hAnsi="宋体" w:cs="宋体"/>
          <w:szCs w:val="21"/>
          <w:highlight w:val="none"/>
        </w:rPr>
        <w:t>（5）因不可抗力造成乙方不具备合同履约条件的，由甲方执法部门申请，经相应程序后更换乙方单位。</w:t>
      </w:r>
    </w:p>
    <w:p w14:paraId="5D3EE026">
      <w:pPr>
        <w:pStyle w:val="3"/>
        <w:spacing w:before="312" w:beforeLines="100" w:after="312" w:afterLines="100" w:line="360" w:lineRule="auto"/>
        <w:rPr>
          <w:rStyle w:val="28"/>
          <w:rFonts w:ascii="宋体" w:hAnsi="宋体" w:cs="宋体"/>
          <w:b/>
          <w:bCs/>
          <w:sz w:val="36"/>
          <w:szCs w:val="36"/>
          <w:highlight w:val="none"/>
        </w:rPr>
      </w:pPr>
      <w:r>
        <w:rPr>
          <w:rStyle w:val="28"/>
          <w:rFonts w:hint="eastAsia" w:ascii="宋体" w:hAnsi="宋体" w:cs="宋体"/>
          <w:b/>
          <w:bCs/>
          <w:sz w:val="36"/>
          <w:szCs w:val="36"/>
          <w:highlight w:val="none"/>
        </w:rPr>
        <w:br w:type="page"/>
      </w:r>
      <w:bookmarkEnd w:id="55"/>
      <w:r>
        <w:rPr>
          <w:rStyle w:val="28"/>
          <w:rFonts w:hint="eastAsia" w:ascii="宋体" w:hAnsi="宋体" w:cs="宋体"/>
          <w:b/>
          <w:bCs/>
          <w:sz w:val="36"/>
          <w:szCs w:val="36"/>
          <w:highlight w:val="none"/>
        </w:rPr>
        <w:t>第五章 评标方法</w:t>
      </w:r>
    </w:p>
    <w:p w14:paraId="0E63B917">
      <w:pPr>
        <w:spacing w:line="360" w:lineRule="auto"/>
        <w:rPr>
          <w:rFonts w:ascii="宋体" w:hAnsi="宋体" w:cs="宋体"/>
          <w:b/>
          <w:spacing w:val="4"/>
          <w:szCs w:val="21"/>
          <w:highlight w:val="none"/>
        </w:rPr>
      </w:pPr>
      <w:r>
        <w:rPr>
          <w:rFonts w:hint="eastAsia" w:ascii="宋体" w:hAnsi="宋体" w:cs="宋体"/>
          <w:b/>
          <w:spacing w:val="4"/>
          <w:szCs w:val="21"/>
          <w:highlight w:val="none"/>
        </w:rPr>
        <w:t>一、评标方法</w:t>
      </w:r>
    </w:p>
    <w:p w14:paraId="18AC3D41">
      <w:pPr>
        <w:spacing w:line="360" w:lineRule="auto"/>
        <w:ind w:firstLine="420" w:firstLineChars="200"/>
        <w:rPr>
          <w:rFonts w:ascii="宋体" w:hAnsi="宋体" w:cs="宋体"/>
          <w:spacing w:val="4"/>
          <w:szCs w:val="21"/>
          <w:highlight w:val="none"/>
        </w:rPr>
      </w:pPr>
      <w:r>
        <w:rPr>
          <w:rFonts w:hint="eastAsia" w:ascii="宋体" w:hAnsi="宋体" w:cs="宋体"/>
          <w:szCs w:val="21"/>
          <w:highlight w:val="none"/>
        </w:rPr>
        <w:t>按照《中华人民共和国政府采购法》﹝2002﹞第68号、《中华人民共和国政府采购法实施条例》﹝2015﹞第658号和《政府采购服务和服务招标投标管理办法》﹝2017﹞第87号的规定，</w:t>
      </w:r>
      <w:r>
        <w:rPr>
          <w:rFonts w:hint="eastAsia" w:ascii="宋体" w:hAnsi="宋体" w:cs="宋体"/>
          <w:spacing w:val="4"/>
          <w:szCs w:val="21"/>
          <w:highlight w:val="none"/>
        </w:rPr>
        <w:t xml:space="preserve">本次评标采用 </w:t>
      </w:r>
      <w:r>
        <w:rPr>
          <w:rFonts w:hint="eastAsia" w:ascii="宋体" w:hAnsi="宋体" w:cs="宋体"/>
          <w:b/>
          <w:spacing w:val="4"/>
          <w:szCs w:val="21"/>
          <w:highlight w:val="none"/>
        </w:rPr>
        <w:t xml:space="preserve">综合评分法 </w:t>
      </w:r>
      <w:r>
        <w:rPr>
          <w:rFonts w:hint="eastAsia" w:ascii="宋体" w:hAnsi="宋体" w:cs="宋体"/>
          <w:spacing w:val="4"/>
          <w:szCs w:val="21"/>
          <w:highlight w:val="none"/>
        </w:rPr>
        <w:t xml:space="preserve">-- </w:t>
      </w:r>
      <w:r>
        <w:rPr>
          <w:rFonts w:hint="eastAsia" w:ascii="宋体" w:hAnsi="宋体" w:cs="宋体"/>
          <w:kern w:val="0"/>
          <w:szCs w:val="21"/>
          <w:highlight w:val="none"/>
        </w:rPr>
        <w:t>投标文件满足招标文件全部实质性要求，且按照评审因素的量化指标评审得分最高的投标人为中标候选人。</w:t>
      </w:r>
    </w:p>
    <w:p w14:paraId="0258248C">
      <w:pPr>
        <w:spacing w:line="360" w:lineRule="auto"/>
        <w:rPr>
          <w:rFonts w:ascii="宋体" w:hAnsi="宋体" w:cs="宋体"/>
          <w:b/>
          <w:spacing w:val="4"/>
          <w:szCs w:val="21"/>
          <w:highlight w:val="none"/>
        </w:rPr>
      </w:pPr>
      <w:r>
        <w:rPr>
          <w:rFonts w:hint="eastAsia" w:ascii="宋体" w:hAnsi="宋体" w:cs="宋体"/>
          <w:b/>
          <w:spacing w:val="4"/>
          <w:szCs w:val="21"/>
          <w:highlight w:val="none"/>
        </w:rPr>
        <w:t>二、评标委员会负责具体评标事务，并独立履行下列职责：</w:t>
      </w:r>
    </w:p>
    <w:p w14:paraId="4210EAF2">
      <w:pPr>
        <w:spacing w:line="360" w:lineRule="auto"/>
        <w:ind w:firstLine="327" w:firstLineChars="150"/>
        <w:rPr>
          <w:rFonts w:ascii="宋体" w:hAnsi="宋体" w:cs="宋体"/>
          <w:spacing w:val="4"/>
          <w:szCs w:val="21"/>
          <w:highlight w:val="none"/>
        </w:rPr>
      </w:pPr>
      <w:r>
        <w:rPr>
          <w:rFonts w:hint="eastAsia" w:ascii="宋体" w:hAnsi="宋体" w:cs="宋体"/>
          <w:spacing w:val="4"/>
          <w:szCs w:val="21"/>
          <w:highlight w:val="none"/>
        </w:rPr>
        <w:t>（一）审查、评价投标文件是否符合招标文件的商务、技术等实质性要求；</w:t>
      </w:r>
    </w:p>
    <w:p w14:paraId="46C911A5">
      <w:pPr>
        <w:spacing w:line="360" w:lineRule="auto"/>
        <w:ind w:firstLine="327" w:firstLineChars="150"/>
        <w:rPr>
          <w:rFonts w:ascii="宋体" w:hAnsi="宋体" w:cs="宋体"/>
          <w:spacing w:val="4"/>
          <w:szCs w:val="21"/>
          <w:highlight w:val="none"/>
        </w:rPr>
      </w:pPr>
      <w:r>
        <w:rPr>
          <w:rFonts w:hint="eastAsia" w:ascii="宋体" w:hAnsi="宋体" w:cs="宋体"/>
          <w:spacing w:val="4"/>
          <w:szCs w:val="21"/>
          <w:highlight w:val="none"/>
        </w:rPr>
        <w:t>（二）要求投标人对投标文件有关事项作出澄清或者说明；</w:t>
      </w:r>
    </w:p>
    <w:p w14:paraId="42884039">
      <w:pPr>
        <w:spacing w:line="360" w:lineRule="auto"/>
        <w:ind w:firstLine="327" w:firstLineChars="150"/>
        <w:rPr>
          <w:rFonts w:ascii="宋体" w:hAnsi="宋体" w:cs="宋体"/>
          <w:spacing w:val="4"/>
          <w:szCs w:val="21"/>
          <w:highlight w:val="none"/>
        </w:rPr>
      </w:pPr>
      <w:r>
        <w:rPr>
          <w:rFonts w:hint="eastAsia" w:ascii="宋体" w:hAnsi="宋体" w:cs="宋体"/>
          <w:spacing w:val="4"/>
          <w:szCs w:val="21"/>
          <w:highlight w:val="none"/>
        </w:rPr>
        <w:t>（三）对投标文件进行比较和评价；</w:t>
      </w:r>
    </w:p>
    <w:p w14:paraId="363EC632">
      <w:pPr>
        <w:spacing w:line="360" w:lineRule="auto"/>
        <w:ind w:firstLine="327" w:firstLineChars="150"/>
        <w:rPr>
          <w:rFonts w:ascii="宋体" w:hAnsi="宋体" w:cs="宋体"/>
          <w:spacing w:val="4"/>
          <w:szCs w:val="21"/>
          <w:highlight w:val="none"/>
        </w:rPr>
      </w:pPr>
      <w:r>
        <w:rPr>
          <w:rFonts w:hint="eastAsia" w:ascii="宋体" w:hAnsi="宋体" w:cs="宋体"/>
          <w:spacing w:val="4"/>
          <w:szCs w:val="21"/>
          <w:highlight w:val="none"/>
        </w:rPr>
        <w:t>（四）确定中标候选人名单，以及根据采购人委托直接确定中标人；</w:t>
      </w:r>
    </w:p>
    <w:p w14:paraId="08C499A0">
      <w:pPr>
        <w:spacing w:line="360" w:lineRule="auto"/>
        <w:ind w:firstLine="327" w:firstLineChars="150"/>
        <w:rPr>
          <w:rFonts w:ascii="宋体" w:hAnsi="宋体" w:cs="宋体"/>
          <w:spacing w:val="4"/>
          <w:szCs w:val="21"/>
          <w:highlight w:val="none"/>
        </w:rPr>
      </w:pPr>
      <w:r>
        <w:rPr>
          <w:rFonts w:hint="eastAsia" w:ascii="宋体" w:hAnsi="宋体" w:cs="宋体"/>
          <w:spacing w:val="4"/>
          <w:szCs w:val="21"/>
          <w:highlight w:val="none"/>
        </w:rPr>
        <w:t>（五）向采购人、采购代理机构或者有关部门报告评标中发现的违法行为。</w:t>
      </w:r>
    </w:p>
    <w:p w14:paraId="6E96C5CF">
      <w:pPr>
        <w:spacing w:line="360" w:lineRule="auto"/>
        <w:rPr>
          <w:rFonts w:ascii="宋体" w:hAnsi="宋体" w:cs="宋体"/>
          <w:b/>
          <w:spacing w:val="4"/>
          <w:szCs w:val="21"/>
          <w:highlight w:val="none"/>
        </w:rPr>
      </w:pPr>
      <w:r>
        <w:rPr>
          <w:rFonts w:hint="eastAsia" w:ascii="宋体" w:hAnsi="宋体" w:cs="宋体"/>
          <w:b/>
          <w:spacing w:val="4"/>
          <w:szCs w:val="21"/>
          <w:highlight w:val="none"/>
        </w:rPr>
        <w:t>三、投标人存在下列情况之一的，投标无效：</w:t>
      </w:r>
    </w:p>
    <w:p w14:paraId="7FA0FC64">
      <w:pPr>
        <w:spacing w:line="360" w:lineRule="auto"/>
        <w:ind w:firstLine="327" w:firstLineChars="150"/>
        <w:rPr>
          <w:rFonts w:ascii="宋体" w:hAnsi="宋体" w:cs="宋体"/>
          <w:spacing w:val="4"/>
          <w:szCs w:val="21"/>
          <w:highlight w:val="none"/>
        </w:rPr>
      </w:pPr>
      <w:r>
        <w:rPr>
          <w:rFonts w:hint="eastAsia" w:ascii="宋体" w:hAnsi="宋体" w:cs="宋体"/>
          <w:spacing w:val="4"/>
          <w:szCs w:val="21"/>
          <w:highlight w:val="none"/>
        </w:rPr>
        <w:t>（一）未按照招标文件的规定提交投标保证金的(不适用）；</w:t>
      </w:r>
    </w:p>
    <w:p w14:paraId="281E8535">
      <w:pPr>
        <w:spacing w:line="360" w:lineRule="auto"/>
        <w:ind w:firstLine="327" w:firstLineChars="150"/>
        <w:rPr>
          <w:rFonts w:ascii="宋体" w:hAnsi="宋体" w:cs="宋体"/>
          <w:spacing w:val="4"/>
          <w:szCs w:val="21"/>
          <w:highlight w:val="none"/>
        </w:rPr>
      </w:pPr>
      <w:r>
        <w:rPr>
          <w:rFonts w:hint="eastAsia" w:ascii="宋体" w:hAnsi="宋体" w:cs="宋体"/>
          <w:spacing w:val="4"/>
          <w:szCs w:val="21"/>
          <w:highlight w:val="none"/>
        </w:rPr>
        <w:t>（二）投标文件未按招标文件要求签署、盖章的；</w:t>
      </w:r>
    </w:p>
    <w:p w14:paraId="6C07705C">
      <w:pPr>
        <w:spacing w:line="360" w:lineRule="auto"/>
        <w:ind w:firstLine="327" w:firstLineChars="150"/>
        <w:rPr>
          <w:rFonts w:ascii="宋体" w:hAnsi="宋体" w:cs="宋体"/>
          <w:spacing w:val="4"/>
          <w:szCs w:val="21"/>
          <w:highlight w:val="none"/>
        </w:rPr>
      </w:pPr>
      <w:r>
        <w:rPr>
          <w:rFonts w:hint="eastAsia" w:ascii="宋体" w:hAnsi="宋体" w:cs="宋体"/>
          <w:spacing w:val="4"/>
          <w:szCs w:val="21"/>
          <w:highlight w:val="none"/>
        </w:rPr>
        <w:t>（三）不具备招标文件中规定的资格要求的；</w:t>
      </w:r>
    </w:p>
    <w:p w14:paraId="4CDE2E94">
      <w:pPr>
        <w:spacing w:line="360" w:lineRule="auto"/>
        <w:ind w:firstLine="327" w:firstLineChars="150"/>
        <w:rPr>
          <w:rFonts w:ascii="宋体" w:hAnsi="宋体" w:cs="宋体"/>
          <w:spacing w:val="4"/>
          <w:szCs w:val="21"/>
          <w:highlight w:val="none"/>
        </w:rPr>
      </w:pPr>
      <w:r>
        <w:rPr>
          <w:rFonts w:hint="eastAsia" w:ascii="宋体" w:hAnsi="宋体" w:cs="宋体"/>
          <w:spacing w:val="4"/>
          <w:szCs w:val="21"/>
          <w:highlight w:val="none"/>
        </w:rPr>
        <w:t>（四）报价超过招标文件中规定的预算金额或者最高限价的；</w:t>
      </w:r>
    </w:p>
    <w:p w14:paraId="43797C6A">
      <w:pPr>
        <w:spacing w:line="360" w:lineRule="auto"/>
        <w:ind w:firstLine="327" w:firstLineChars="150"/>
        <w:rPr>
          <w:rFonts w:ascii="宋体" w:hAnsi="宋体" w:cs="宋体"/>
          <w:spacing w:val="4"/>
          <w:szCs w:val="21"/>
          <w:highlight w:val="none"/>
        </w:rPr>
      </w:pPr>
      <w:r>
        <w:rPr>
          <w:rFonts w:hint="eastAsia" w:ascii="宋体" w:hAnsi="宋体" w:cs="宋体"/>
          <w:spacing w:val="4"/>
          <w:szCs w:val="21"/>
          <w:highlight w:val="none"/>
        </w:rPr>
        <w:t>（五）投标文件含有采购人不能接受的附加条件的；</w:t>
      </w:r>
    </w:p>
    <w:p w14:paraId="4276A673">
      <w:pPr>
        <w:spacing w:line="360" w:lineRule="auto"/>
        <w:ind w:firstLine="327" w:firstLineChars="150"/>
        <w:rPr>
          <w:rFonts w:ascii="宋体" w:hAnsi="宋体" w:cs="宋体"/>
          <w:spacing w:val="4"/>
          <w:szCs w:val="21"/>
          <w:highlight w:val="none"/>
        </w:rPr>
      </w:pPr>
      <w:r>
        <w:rPr>
          <w:rFonts w:hint="eastAsia" w:ascii="宋体" w:hAnsi="宋体" w:cs="宋体"/>
          <w:spacing w:val="4"/>
          <w:szCs w:val="21"/>
          <w:highlight w:val="none"/>
        </w:rPr>
        <w:t>（六）单位负责人为同一人或者存在直接控股、管理关系的不同供应商，参加本项目同一合同项下的投标的；</w:t>
      </w:r>
    </w:p>
    <w:p w14:paraId="6970CEDD">
      <w:pPr>
        <w:spacing w:line="360" w:lineRule="auto"/>
        <w:ind w:firstLine="327" w:firstLineChars="150"/>
        <w:rPr>
          <w:rFonts w:ascii="宋体" w:hAnsi="宋体" w:cs="宋体"/>
          <w:spacing w:val="4"/>
          <w:szCs w:val="21"/>
          <w:highlight w:val="none"/>
        </w:rPr>
      </w:pPr>
      <w:r>
        <w:rPr>
          <w:rFonts w:hint="eastAsia" w:ascii="宋体" w:hAnsi="宋体" w:cs="宋体"/>
          <w:spacing w:val="4"/>
          <w:szCs w:val="21"/>
          <w:highlight w:val="none"/>
        </w:rPr>
        <w:t>（七）为本采购项目提供整体设计、规范编制或者项目管理、监理、检测等服务的供应商，参加本采购项目投标的；</w:t>
      </w:r>
    </w:p>
    <w:p w14:paraId="258CE98B">
      <w:pPr>
        <w:spacing w:line="360" w:lineRule="auto"/>
        <w:ind w:firstLine="327" w:firstLineChars="150"/>
        <w:rPr>
          <w:rFonts w:ascii="宋体" w:hAnsi="宋体" w:cs="宋体"/>
          <w:spacing w:val="4"/>
          <w:szCs w:val="21"/>
          <w:highlight w:val="none"/>
        </w:rPr>
      </w:pPr>
      <w:r>
        <w:rPr>
          <w:rFonts w:hint="eastAsia" w:ascii="宋体" w:hAnsi="宋体" w:cs="宋体"/>
          <w:spacing w:val="4"/>
          <w:szCs w:val="21"/>
          <w:highlight w:val="none"/>
        </w:rPr>
        <w:t>（八）提供虚假投标文件和资料的。</w:t>
      </w:r>
    </w:p>
    <w:p w14:paraId="7302319E">
      <w:pPr>
        <w:spacing w:line="360" w:lineRule="auto"/>
        <w:ind w:firstLine="327" w:firstLineChars="150"/>
        <w:rPr>
          <w:rFonts w:ascii="宋体" w:hAnsi="宋体" w:cs="宋体"/>
          <w:spacing w:val="4"/>
          <w:szCs w:val="21"/>
          <w:highlight w:val="none"/>
        </w:rPr>
      </w:pPr>
      <w:r>
        <w:rPr>
          <w:rFonts w:hint="eastAsia" w:ascii="宋体" w:hAnsi="宋体" w:cs="宋体"/>
          <w:spacing w:val="4"/>
          <w:szCs w:val="21"/>
          <w:highlight w:val="none"/>
        </w:rPr>
        <w:t>（九）法律、法规和招标文件规定的其他无效情形；</w:t>
      </w:r>
    </w:p>
    <w:p w14:paraId="66F18D9B">
      <w:pPr>
        <w:spacing w:line="360" w:lineRule="auto"/>
        <w:rPr>
          <w:rFonts w:ascii="宋体" w:hAnsi="宋体" w:cs="宋体"/>
          <w:b/>
          <w:spacing w:val="4"/>
          <w:szCs w:val="21"/>
          <w:highlight w:val="none"/>
        </w:rPr>
      </w:pPr>
      <w:r>
        <w:rPr>
          <w:rFonts w:hint="eastAsia" w:ascii="宋体" w:hAnsi="宋体" w:cs="宋体"/>
          <w:b/>
          <w:spacing w:val="4"/>
          <w:szCs w:val="21"/>
          <w:highlight w:val="none"/>
        </w:rPr>
        <w:t>四、投标人有下列情形之一的，视为投标人串通投标，其投标无效：</w:t>
      </w:r>
    </w:p>
    <w:p w14:paraId="320C803B">
      <w:pPr>
        <w:spacing w:line="360" w:lineRule="auto"/>
        <w:ind w:firstLine="327" w:firstLineChars="150"/>
        <w:rPr>
          <w:rFonts w:ascii="宋体" w:hAnsi="宋体" w:cs="宋体"/>
          <w:spacing w:val="4"/>
          <w:szCs w:val="21"/>
          <w:highlight w:val="none"/>
        </w:rPr>
      </w:pPr>
      <w:r>
        <w:rPr>
          <w:rFonts w:hint="eastAsia" w:ascii="宋体" w:hAnsi="宋体" w:cs="宋体"/>
          <w:spacing w:val="4"/>
          <w:szCs w:val="21"/>
          <w:highlight w:val="none"/>
        </w:rPr>
        <w:t>（一）不同投标人的投标文件由同一单位或者个人编制；</w:t>
      </w:r>
    </w:p>
    <w:p w14:paraId="763FE1C8">
      <w:pPr>
        <w:spacing w:line="360" w:lineRule="auto"/>
        <w:ind w:firstLine="327" w:firstLineChars="150"/>
        <w:rPr>
          <w:rFonts w:ascii="宋体" w:hAnsi="宋体" w:cs="宋体"/>
          <w:spacing w:val="4"/>
          <w:szCs w:val="21"/>
          <w:highlight w:val="none"/>
        </w:rPr>
      </w:pPr>
      <w:r>
        <w:rPr>
          <w:rFonts w:hint="eastAsia" w:ascii="宋体" w:hAnsi="宋体" w:cs="宋体"/>
          <w:spacing w:val="4"/>
          <w:szCs w:val="21"/>
          <w:highlight w:val="none"/>
        </w:rPr>
        <w:t>（二）不同投标人委托同一单位或者个人办理投标事宜；</w:t>
      </w:r>
    </w:p>
    <w:p w14:paraId="7948280B">
      <w:pPr>
        <w:spacing w:line="360" w:lineRule="auto"/>
        <w:ind w:firstLine="327" w:firstLineChars="150"/>
        <w:rPr>
          <w:rFonts w:ascii="宋体" w:hAnsi="宋体" w:cs="宋体"/>
          <w:spacing w:val="4"/>
          <w:szCs w:val="21"/>
          <w:highlight w:val="none"/>
        </w:rPr>
      </w:pPr>
      <w:r>
        <w:rPr>
          <w:rFonts w:hint="eastAsia" w:ascii="宋体" w:hAnsi="宋体" w:cs="宋体"/>
          <w:spacing w:val="4"/>
          <w:szCs w:val="21"/>
          <w:highlight w:val="none"/>
        </w:rPr>
        <w:t>（三）不同投标人的投标文件载明的项目管理成员或者联系人员为同一人；</w:t>
      </w:r>
    </w:p>
    <w:p w14:paraId="30064558">
      <w:pPr>
        <w:spacing w:line="360" w:lineRule="auto"/>
        <w:ind w:firstLine="327" w:firstLineChars="150"/>
        <w:rPr>
          <w:rFonts w:ascii="宋体" w:hAnsi="宋体" w:cs="宋体"/>
          <w:spacing w:val="4"/>
          <w:szCs w:val="21"/>
          <w:highlight w:val="none"/>
        </w:rPr>
      </w:pPr>
      <w:r>
        <w:rPr>
          <w:rFonts w:hint="eastAsia" w:ascii="宋体" w:hAnsi="宋体" w:cs="宋体"/>
          <w:spacing w:val="4"/>
          <w:szCs w:val="21"/>
          <w:highlight w:val="none"/>
        </w:rPr>
        <w:t>（四）不同投标人的投标文件异常一致或者投标报价呈规律性差异；</w:t>
      </w:r>
    </w:p>
    <w:p w14:paraId="6B1D9293">
      <w:pPr>
        <w:spacing w:line="360" w:lineRule="auto"/>
        <w:ind w:firstLine="327" w:firstLineChars="150"/>
        <w:rPr>
          <w:rFonts w:ascii="宋体" w:hAnsi="宋体" w:cs="宋体"/>
          <w:spacing w:val="4"/>
          <w:szCs w:val="21"/>
          <w:highlight w:val="none"/>
        </w:rPr>
      </w:pPr>
      <w:r>
        <w:rPr>
          <w:rFonts w:hint="eastAsia" w:ascii="宋体" w:hAnsi="宋体" w:cs="宋体"/>
          <w:spacing w:val="4"/>
          <w:szCs w:val="21"/>
          <w:highlight w:val="none"/>
        </w:rPr>
        <w:t>（五）不同投标人的投标文件相互混装；</w:t>
      </w:r>
    </w:p>
    <w:p w14:paraId="446C43C4">
      <w:pPr>
        <w:spacing w:line="360" w:lineRule="auto"/>
        <w:ind w:firstLine="327" w:firstLineChars="150"/>
        <w:rPr>
          <w:rFonts w:ascii="宋体" w:hAnsi="宋体" w:cs="宋体"/>
          <w:spacing w:val="4"/>
          <w:szCs w:val="21"/>
          <w:highlight w:val="none"/>
        </w:rPr>
      </w:pPr>
      <w:r>
        <w:rPr>
          <w:rFonts w:hint="eastAsia" w:ascii="宋体" w:hAnsi="宋体" w:cs="宋体"/>
          <w:spacing w:val="4"/>
          <w:szCs w:val="21"/>
          <w:highlight w:val="none"/>
        </w:rPr>
        <w:t>（六）不同投标人的投标保证金从同一单位或者个人的账户转出。</w:t>
      </w:r>
    </w:p>
    <w:p w14:paraId="7222EC37">
      <w:pPr>
        <w:spacing w:line="360" w:lineRule="auto"/>
        <w:rPr>
          <w:rFonts w:ascii="宋体" w:hAnsi="宋体" w:cs="宋体"/>
          <w:b/>
          <w:spacing w:val="4"/>
          <w:szCs w:val="21"/>
          <w:highlight w:val="none"/>
        </w:rPr>
      </w:pPr>
      <w:r>
        <w:rPr>
          <w:rFonts w:hint="eastAsia" w:ascii="宋体" w:hAnsi="宋体" w:cs="宋体"/>
          <w:b/>
          <w:spacing w:val="4"/>
          <w:szCs w:val="21"/>
          <w:highlight w:val="none"/>
        </w:rPr>
        <w:t>五、评标程序</w:t>
      </w:r>
    </w:p>
    <w:p w14:paraId="77C4602D">
      <w:pPr>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1.投标文件的审查</w:t>
      </w:r>
    </w:p>
    <w:p w14:paraId="5A460892">
      <w:pPr>
        <w:spacing w:line="360" w:lineRule="auto"/>
        <w:ind w:firstLine="420" w:firstLineChars="200"/>
        <w:rPr>
          <w:rFonts w:ascii="宋体" w:hAnsi="宋体" w:cs="宋体"/>
          <w:szCs w:val="21"/>
          <w:highlight w:val="none"/>
        </w:rPr>
      </w:pPr>
      <w:r>
        <w:rPr>
          <w:rFonts w:hint="eastAsia" w:ascii="宋体" w:hAnsi="宋体" w:cs="宋体"/>
          <w:szCs w:val="21"/>
          <w:highlight w:val="none"/>
        </w:rPr>
        <w:t>审查分为资格性检查和符合性检查。分别按照以下内容对投标文件进行检查，一项不合格即按照无效响应处理。</w:t>
      </w:r>
    </w:p>
    <w:p w14:paraId="7A59982D">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投标文件审查合格的为实质性响应招标文件要求的供应商。</w:t>
      </w:r>
    </w:p>
    <w:p w14:paraId="7318583D">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1.1资格性检查：</w:t>
      </w:r>
    </w:p>
    <w:p w14:paraId="1176427C">
      <w:pPr>
        <w:spacing w:line="360" w:lineRule="auto"/>
        <w:ind w:firstLine="420" w:firstLineChars="200"/>
        <w:rPr>
          <w:rFonts w:ascii="宋体" w:hAnsi="宋体" w:cs="宋体"/>
          <w:szCs w:val="21"/>
          <w:highlight w:val="none"/>
        </w:rPr>
      </w:pPr>
      <w:r>
        <w:rPr>
          <w:rFonts w:hint="eastAsia" w:ascii="宋体" w:hAnsi="宋体" w:cs="宋体"/>
          <w:szCs w:val="21"/>
          <w:highlight w:val="none"/>
        </w:rPr>
        <w:t>1.1.1提供的资格证明文件是否符合国家法律法规和招标文件的要求，并且齐全、真实、有效。</w:t>
      </w:r>
    </w:p>
    <w:p w14:paraId="08D96E72">
      <w:pPr>
        <w:spacing w:line="360" w:lineRule="auto"/>
        <w:ind w:firstLine="420" w:firstLineChars="200"/>
        <w:rPr>
          <w:rFonts w:ascii="宋体" w:hAnsi="宋体" w:cs="宋体"/>
          <w:szCs w:val="21"/>
          <w:highlight w:val="none"/>
        </w:rPr>
      </w:pPr>
      <w:r>
        <w:rPr>
          <w:rFonts w:hint="eastAsia" w:ascii="宋体" w:hAnsi="宋体" w:cs="宋体"/>
          <w:szCs w:val="21"/>
          <w:highlight w:val="none"/>
        </w:rPr>
        <w:t>1.1.2是否按照招标文件的要求提交了足额有效的投标保证金（如有要求）。</w:t>
      </w:r>
    </w:p>
    <w:p w14:paraId="165446B8">
      <w:pPr>
        <w:spacing w:line="360" w:lineRule="auto"/>
        <w:ind w:firstLine="420" w:firstLineChars="200"/>
        <w:rPr>
          <w:rFonts w:ascii="宋体" w:hAnsi="宋体" w:cs="宋体"/>
          <w:szCs w:val="21"/>
          <w:highlight w:val="none"/>
        </w:rPr>
      </w:pPr>
      <w:r>
        <w:rPr>
          <w:rFonts w:hint="eastAsia" w:ascii="宋体" w:hAnsi="宋体" w:cs="宋体"/>
          <w:szCs w:val="21"/>
          <w:highlight w:val="none"/>
        </w:rPr>
        <w:t>1.1.3在 “信用中国”网站（www.creditchina.gov.cn）和“中国政府采购网”（www.ccgp.gov.cn）对供应商信用信息进行查询，如果供应商被查实在投标截止时间前已列入失信被执行人、重大税收违法案件当事人名单、政府采购严重违法失信行为记录名单，其投标响应为无效。</w:t>
      </w:r>
    </w:p>
    <w:p w14:paraId="0C9E1F5A">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1.2符合性检查：</w:t>
      </w:r>
    </w:p>
    <w:p w14:paraId="27A80483">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1.2.1评标委员会对符合资格的投标人的投标文件进行符合性（完整性、有效性及响应性）审查，以确定其是否满足招标文件的商务、技术等实质性要求。</w:t>
      </w:r>
    </w:p>
    <w:p w14:paraId="10334E3C">
      <w:pPr>
        <w:spacing w:line="360" w:lineRule="auto"/>
        <w:ind w:left="1" w:firstLine="420" w:firstLineChars="200"/>
        <w:rPr>
          <w:rFonts w:ascii="宋体" w:hAnsi="宋体" w:cs="宋体"/>
          <w:spacing w:val="4"/>
          <w:szCs w:val="21"/>
          <w:highlight w:val="none"/>
        </w:rPr>
      </w:pPr>
      <w:r>
        <w:rPr>
          <w:rFonts w:hint="eastAsia" w:ascii="宋体" w:hAnsi="宋体" w:cs="宋体"/>
          <w:szCs w:val="21"/>
          <w:highlight w:val="none"/>
        </w:rPr>
        <w:t>1.2.1.1</w:t>
      </w:r>
      <w:r>
        <w:rPr>
          <w:rFonts w:hint="eastAsia" w:ascii="宋体" w:hAnsi="宋体" w:cs="宋体"/>
          <w:kern w:val="0"/>
          <w:szCs w:val="21"/>
          <w:highlight w:val="none"/>
        </w:rPr>
        <w:t>投标文件</w:t>
      </w:r>
      <w:r>
        <w:rPr>
          <w:rFonts w:hint="eastAsia" w:ascii="宋体" w:hAnsi="宋体" w:cs="宋体"/>
          <w:spacing w:val="4"/>
          <w:szCs w:val="21"/>
          <w:highlight w:val="none"/>
        </w:rPr>
        <w:t>的完整性审查。</w:t>
      </w:r>
    </w:p>
    <w:p w14:paraId="32BFF81E">
      <w:pPr>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1.2.1.1.1</w:t>
      </w:r>
      <w:r>
        <w:rPr>
          <w:rFonts w:hint="eastAsia" w:ascii="宋体" w:hAnsi="宋体" w:cs="宋体"/>
          <w:kern w:val="0"/>
          <w:szCs w:val="21"/>
          <w:highlight w:val="none"/>
        </w:rPr>
        <w:t>投标文件</w:t>
      </w:r>
      <w:r>
        <w:rPr>
          <w:rFonts w:hint="eastAsia" w:ascii="宋体" w:hAnsi="宋体" w:cs="宋体"/>
          <w:spacing w:val="4"/>
          <w:szCs w:val="21"/>
          <w:highlight w:val="none"/>
        </w:rPr>
        <w:t>是否按照招标文件要求的格式编写；</w:t>
      </w:r>
    </w:p>
    <w:p w14:paraId="7BF83A8C">
      <w:pPr>
        <w:spacing w:line="360" w:lineRule="auto"/>
        <w:ind w:left="17" w:firstLine="436" w:firstLineChars="200"/>
        <w:rPr>
          <w:rFonts w:ascii="宋体" w:hAnsi="宋体" w:cs="宋体"/>
          <w:spacing w:val="4"/>
          <w:szCs w:val="21"/>
          <w:highlight w:val="none"/>
        </w:rPr>
      </w:pPr>
      <w:r>
        <w:rPr>
          <w:rFonts w:hint="eastAsia" w:ascii="宋体" w:hAnsi="宋体" w:cs="宋体"/>
          <w:spacing w:val="4"/>
          <w:szCs w:val="21"/>
          <w:highlight w:val="none"/>
        </w:rPr>
        <w:t>1.2.1.2</w:t>
      </w:r>
      <w:r>
        <w:rPr>
          <w:rFonts w:hint="eastAsia" w:ascii="宋体" w:hAnsi="宋体" w:cs="宋体"/>
          <w:kern w:val="0"/>
          <w:szCs w:val="21"/>
          <w:highlight w:val="none"/>
        </w:rPr>
        <w:t>投标文件</w:t>
      </w:r>
      <w:r>
        <w:rPr>
          <w:rFonts w:hint="eastAsia" w:ascii="宋体" w:hAnsi="宋体" w:cs="宋体"/>
          <w:spacing w:val="4"/>
          <w:szCs w:val="21"/>
          <w:highlight w:val="none"/>
        </w:rPr>
        <w:t>的有效性审查。</w:t>
      </w:r>
    </w:p>
    <w:p w14:paraId="5F522BB1">
      <w:pPr>
        <w:spacing w:line="360" w:lineRule="auto"/>
        <w:ind w:left="17" w:firstLine="436" w:firstLineChars="200"/>
        <w:rPr>
          <w:rFonts w:ascii="宋体" w:hAnsi="宋体" w:cs="宋体"/>
          <w:spacing w:val="4"/>
          <w:szCs w:val="21"/>
          <w:highlight w:val="none"/>
        </w:rPr>
      </w:pPr>
      <w:r>
        <w:rPr>
          <w:rFonts w:hint="eastAsia" w:ascii="宋体" w:hAnsi="宋体" w:cs="宋体"/>
          <w:spacing w:val="4"/>
          <w:szCs w:val="21"/>
          <w:highlight w:val="none"/>
        </w:rPr>
        <w:t>1.2.1.2.1</w:t>
      </w:r>
      <w:r>
        <w:rPr>
          <w:rFonts w:hint="eastAsia" w:ascii="宋体" w:hAnsi="宋体" w:cs="宋体"/>
          <w:kern w:val="0"/>
          <w:szCs w:val="21"/>
          <w:highlight w:val="none"/>
        </w:rPr>
        <w:t>投标文件</w:t>
      </w:r>
      <w:r>
        <w:rPr>
          <w:rFonts w:hint="eastAsia" w:ascii="宋体" w:hAnsi="宋体" w:cs="宋体"/>
          <w:spacing w:val="4"/>
          <w:szCs w:val="21"/>
          <w:highlight w:val="none"/>
        </w:rPr>
        <w:t>的签署、加盖印章是否有效；提供的各种证明文件、数据、资料是否有效。</w:t>
      </w:r>
    </w:p>
    <w:p w14:paraId="4DA99700">
      <w:pPr>
        <w:spacing w:line="360" w:lineRule="auto"/>
        <w:ind w:left="17" w:firstLine="436" w:firstLineChars="200"/>
        <w:rPr>
          <w:rFonts w:ascii="宋体" w:hAnsi="宋体" w:cs="宋体"/>
          <w:spacing w:val="4"/>
          <w:szCs w:val="21"/>
          <w:highlight w:val="none"/>
        </w:rPr>
      </w:pPr>
      <w:r>
        <w:rPr>
          <w:rFonts w:hint="eastAsia" w:ascii="宋体" w:hAnsi="宋体" w:cs="宋体"/>
          <w:spacing w:val="4"/>
          <w:szCs w:val="21"/>
          <w:highlight w:val="none"/>
        </w:rPr>
        <w:t>1.2.1.3</w:t>
      </w:r>
      <w:r>
        <w:rPr>
          <w:rFonts w:hint="eastAsia" w:ascii="宋体" w:hAnsi="宋体" w:cs="宋体"/>
          <w:kern w:val="0"/>
          <w:szCs w:val="21"/>
          <w:highlight w:val="none"/>
        </w:rPr>
        <w:t>投标文件</w:t>
      </w:r>
      <w:r>
        <w:rPr>
          <w:rFonts w:hint="eastAsia" w:ascii="宋体" w:hAnsi="宋体" w:cs="宋体"/>
          <w:spacing w:val="4"/>
          <w:szCs w:val="21"/>
          <w:highlight w:val="none"/>
        </w:rPr>
        <w:t>的响应性审查。</w:t>
      </w:r>
    </w:p>
    <w:p w14:paraId="5C9E19FF">
      <w:pPr>
        <w:spacing w:line="360" w:lineRule="auto"/>
        <w:ind w:left="17" w:firstLine="436" w:firstLineChars="200"/>
        <w:rPr>
          <w:rFonts w:ascii="宋体" w:hAnsi="宋体" w:cs="宋体"/>
          <w:spacing w:val="4"/>
          <w:szCs w:val="21"/>
          <w:highlight w:val="none"/>
        </w:rPr>
      </w:pPr>
      <w:r>
        <w:rPr>
          <w:rFonts w:hint="eastAsia" w:ascii="宋体" w:hAnsi="宋体" w:cs="宋体"/>
          <w:spacing w:val="4"/>
          <w:szCs w:val="21"/>
          <w:highlight w:val="none"/>
        </w:rPr>
        <w:t>1.2.1.3.1</w:t>
      </w:r>
      <w:r>
        <w:rPr>
          <w:rFonts w:hint="eastAsia" w:ascii="宋体" w:hAnsi="宋体" w:cs="宋体"/>
          <w:kern w:val="0"/>
          <w:szCs w:val="21"/>
          <w:highlight w:val="none"/>
        </w:rPr>
        <w:t>投标</w:t>
      </w:r>
      <w:r>
        <w:rPr>
          <w:rFonts w:hint="eastAsia" w:ascii="宋体" w:hAnsi="宋体" w:cs="宋体"/>
          <w:spacing w:val="4"/>
          <w:szCs w:val="21"/>
          <w:highlight w:val="none"/>
        </w:rPr>
        <w:t>报价是否超过采购预算或最高限价；</w:t>
      </w:r>
    </w:p>
    <w:p w14:paraId="3D4E87B8">
      <w:pPr>
        <w:spacing w:line="360" w:lineRule="auto"/>
        <w:ind w:left="655" w:leftChars="208" w:hanging="218" w:hangingChars="100"/>
        <w:rPr>
          <w:rFonts w:ascii="宋体" w:hAnsi="宋体" w:cs="宋体"/>
          <w:spacing w:val="4"/>
          <w:szCs w:val="21"/>
          <w:highlight w:val="none"/>
        </w:rPr>
      </w:pPr>
      <w:r>
        <w:rPr>
          <w:rFonts w:hint="eastAsia" w:ascii="宋体" w:hAnsi="宋体" w:cs="宋体"/>
          <w:spacing w:val="4"/>
          <w:szCs w:val="21"/>
          <w:highlight w:val="none"/>
        </w:rPr>
        <w:t>1.2.1.3.2投标有效期是否符合招标文件的要求；</w:t>
      </w:r>
    </w:p>
    <w:p w14:paraId="273E5179">
      <w:pPr>
        <w:spacing w:line="360" w:lineRule="auto"/>
        <w:ind w:firstLine="420" w:firstLineChars="200"/>
        <w:rPr>
          <w:rFonts w:ascii="宋体" w:hAnsi="宋体" w:cs="宋体"/>
          <w:kern w:val="0"/>
          <w:szCs w:val="21"/>
          <w:highlight w:val="none"/>
        </w:rPr>
      </w:pPr>
      <w:r>
        <w:rPr>
          <w:rFonts w:hint="eastAsia" w:ascii="宋体" w:hAnsi="宋体"/>
          <w:szCs w:val="21"/>
          <w:highlight w:val="none"/>
        </w:rPr>
        <w:t>1.2.1.3.3本项目专门面向中小企业采购，仅限符合《政府采购促进中小企业发展暂行办法》（财库〔2020〕46号）条件的中小企业参与，供应商应填写中小企业声明函并对真实性负责。（残疾人福利性单位及监狱企业视同为小型、微型企业）供应商须中小企业声明函（原件）（注：若供应商为残疾人福利性单位的，提供</w:t>
      </w:r>
      <w:r>
        <w:rPr>
          <w:rFonts w:hint="eastAsia" w:ascii="宋体" w:hAnsi="宋体" w:cs="宋体"/>
          <w:szCs w:val="21"/>
          <w:highlight w:val="none"/>
        </w:rPr>
        <w:t>《残疾人福利性单位声明函》原件；若供应商为监狱企业的，提供由省级以上监狱管理局、戒毒管理局（含新疆生产建设兵团）出具的属于监狱企业的证明文件</w:t>
      </w:r>
      <w:r>
        <w:rPr>
          <w:rFonts w:hint="eastAsia" w:ascii="宋体" w:hAnsi="宋体"/>
          <w:szCs w:val="21"/>
          <w:highlight w:val="none"/>
        </w:rPr>
        <w:t>）；</w:t>
      </w:r>
    </w:p>
    <w:p w14:paraId="2A9FB17D">
      <w:pPr>
        <w:spacing w:line="360" w:lineRule="auto"/>
        <w:ind w:left="899" w:leftChars="228" w:hanging="420" w:hangingChars="200"/>
        <w:rPr>
          <w:rFonts w:ascii="宋体" w:hAnsi="宋体" w:cs="宋体"/>
          <w:kern w:val="0"/>
          <w:szCs w:val="21"/>
          <w:highlight w:val="none"/>
        </w:rPr>
      </w:pPr>
      <w:r>
        <w:rPr>
          <w:rFonts w:hint="eastAsia" w:ascii="宋体" w:hAnsi="宋体" w:cs="宋体"/>
          <w:kern w:val="0"/>
          <w:szCs w:val="21"/>
          <w:highlight w:val="none"/>
        </w:rPr>
        <w:t>2.评委会对报价明显偏低的审查：</w:t>
      </w:r>
    </w:p>
    <w:p w14:paraId="598DD67F">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6382EF1C">
      <w:pPr>
        <w:spacing w:line="360" w:lineRule="auto"/>
        <w:ind w:left="1013" w:leftChars="171" w:hanging="654" w:hangingChars="300"/>
        <w:rPr>
          <w:rFonts w:ascii="宋体" w:hAnsi="宋体" w:cs="宋体"/>
          <w:spacing w:val="4"/>
          <w:szCs w:val="21"/>
          <w:highlight w:val="none"/>
        </w:rPr>
      </w:pPr>
      <w:r>
        <w:rPr>
          <w:rFonts w:hint="eastAsia" w:ascii="宋体" w:hAnsi="宋体" w:cs="宋体"/>
          <w:spacing w:val="4"/>
          <w:szCs w:val="21"/>
          <w:highlight w:val="none"/>
        </w:rPr>
        <w:t>3.澄清有关问题：</w:t>
      </w:r>
    </w:p>
    <w:p w14:paraId="48AB41E0">
      <w:pPr>
        <w:spacing w:line="360" w:lineRule="auto"/>
        <w:ind w:left="1" w:firstLine="327" w:firstLineChars="150"/>
        <w:rPr>
          <w:rFonts w:ascii="宋体" w:hAnsi="宋体" w:cs="宋体"/>
          <w:kern w:val="0"/>
          <w:szCs w:val="21"/>
          <w:highlight w:val="none"/>
        </w:rPr>
      </w:pPr>
      <w:r>
        <w:rPr>
          <w:rFonts w:hint="eastAsia" w:ascii="宋体" w:hAnsi="宋体" w:cs="宋体"/>
          <w:spacing w:val="4"/>
          <w:szCs w:val="21"/>
          <w:highlight w:val="none"/>
        </w:rPr>
        <w:t>3.1</w:t>
      </w:r>
      <w:r>
        <w:rPr>
          <w:rFonts w:hint="eastAsia" w:ascii="宋体" w:hAnsi="宋体" w:cs="宋体"/>
          <w:kern w:val="0"/>
          <w:szCs w:val="21"/>
          <w:highlight w:val="none"/>
        </w:rPr>
        <w:t>对于投标文件中含义不明确、同类问题表述不一致或者有明显文字和计算错误的内容，评标委员会以书面形式要求投标人做出必要的澄清、说明或者补正。投标人的澄清、说明或者补正应当采用书面形式，由法定代表人或其授权的代表签署全名。投标人的澄清、说明或者补正不得超出投标文件的范围或者改变投标文件的实质性内容。</w:t>
      </w:r>
    </w:p>
    <w:p w14:paraId="0558BAB6">
      <w:pPr>
        <w:spacing w:line="360" w:lineRule="auto"/>
        <w:ind w:firstLine="327" w:firstLineChars="150"/>
        <w:rPr>
          <w:rFonts w:ascii="宋体" w:hAnsi="宋体" w:cs="宋体"/>
          <w:kern w:val="0"/>
          <w:szCs w:val="21"/>
          <w:highlight w:val="none"/>
        </w:rPr>
      </w:pPr>
      <w:r>
        <w:rPr>
          <w:rFonts w:hint="eastAsia" w:ascii="宋体" w:hAnsi="宋体" w:cs="宋体"/>
          <w:spacing w:val="4"/>
          <w:szCs w:val="21"/>
          <w:highlight w:val="none"/>
        </w:rPr>
        <w:t>3.2</w:t>
      </w:r>
      <w:r>
        <w:rPr>
          <w:rFonts w:hint="eastAsia" w:ascii="宋体" w:hAnsi="宋体" w:cs="宋体"/>
          <w:kern w:val="0"/>
          <w:szCs w:val="21"/>
          <w:highlight w:val="none"/>
        </w:rPr>
        <w:t>投标文件报价出现前后不一致的，按照下列规定修正：</w:t>
      </w:r>
    </w:p>
    <w:p w14:paraId="6B685CF6">
      <w:pPr>
        <w:spacing w:line="360" w:lineRule="auto"/>
        <w:ind w:left="1" w:firstLine="327" w:firstLineChars="150"/>
        <w:rPr>
          <w:rFonts w:ascii="宋体" w:hAnsi="宋体" w:cs="宋体"/>
          <w:spacing w:val="4"/>
          <w:szCs w:val="21"/>
          <w:highlight w:val="none"/>
        </w:rPr>
      </w:pPr>
      <w:r>
        <w:rPr>
          <w:rFonts w:hint="eastAsia" w:ascii="宋体" w:hAnsi="宋体" w:cs="宋体"/>
          <w:spacing w:val="4"/>
          <w:szCs w:val="21"/>
          <w:highlight w:val="none"/>
        </w:rPr>
        <w:t>3.3.1投标文件中开标一览表（报价表）内容与投标文件中相应内容不一致的，以开标一览表（报价表）为准；</w:t>
      </w:r>
    </w:p>
    <w:p w14:paraId="6F1B26DC">
      <w:pPr>
        <w:spacing w:line="360" w:lineRule="auto"/>
        <w:ind w:firstLine="327" w:firstLineChars="150"/>
        <w:rPr>
          <w:rFonts w:ascii="宋体" w:hAnsi="宋体" w:cs="宋体"/>
          <w:spacing w:val="4"/>
          <w:szCs w:val="21"/>
          <w:highlight w:val="none"/>
        </w:rPr>
      </w:pPr>
      <w:r>
        <w:rPr>
          <w:rFonts w:hint="eastAsia" w:ascii="宋体" w:hAnsi="宋体" w:cs="宋体"/>
          <w:spacing w:val="4"/>
          <w:szCs w:val="21"/>
          <w:highlight w:val="none"/>
        </w:rPr>
        <w:t>3.2.2大写金额和小写金额不一致的，以大写金额为准；</w:t>
      </w:r>
    </w:p>
    <w:p w14:paraId="57F06679">
      <w:pPr>
        <w:spacing w:line="360" w:lineRule="auto"/>
        <w:ind w:left="1" w:firstLine="327" w:firstLineChars="150"/>
        <w:rPr>
          <w:rFonts w:ascii="宋体" w:hAnsi="宋体" w:cs="宋体"/>
          <w:spacing w:val="4"/>
          <w:szCs w:val="21"/>
          <w:highlight w:val="none"/>
        </w:rPr>
      </w:pPr>
      <w:r>
        <w:rPr>
          <w:rFonts w:hint="eastAsia" w:ascii="宋体" w:hAnsi="宋体" w:cs="宋体"/>
          <w:spacing w:val="4"/>
          <w:szCs w:val="21"/>
          <w:highlight w:val="none"/>
        </w:rPr>
        <w:t>3.2.3单价金额小数点或者百分比有明显错位的，以开标一览表的总价为准，并修改单价；</w:t>
      </w:r>
    </w:p>
    <w:p w14:paraId="63234753">
      <w:pPr>
        <w:spacing w:line="360" w:lineRule="auto"/>
        <w:ind w:firstLine="327" w:firstLineChars="150"/>
        <w:rPr>
          <w:rFonts w:ascii="宋体" w:hAnsi="宋体" w:cs="宋体"/>
          <w:spacing w:val="4"/>
          <w:szCs w:val="21"/>
          <w:highlight w:val="none"/>
        </w:rPr>
      </w:pPr>
      <w:r>
        <w:rPr>
          <w:rFonts w:hint="eastAsia" w:ascii="宋体" w:hAnsi="宋体" w:cs="宋体"/>
          <w:spacing w:val="4"/>
          <w:szCs w:val="21"/>
          <w:highlight w:val="none"/>
        </w:rPr>
        <w:t>3.2.4总价金额与按单价汇总金额不一致的，以单价金额计算结果为准。</w:t>
      </w:r>
    </w:p>
    <w:p w14:paraId="16F2391F">
      <w:pPr>
        <w:spacing w:line="360" w:lineRule="auto"/>
        <w:ind w:left="2" w:firstLine="315" w:firstLineChars="150"/>
        <w:rPr>
          <w:rFonts w:ascii="宋体" w:hAnsi="宋体" w:cs="宋体"/>
          <w:spacing w:val="4"/>
          <w:szCs w:val="21"/>
          <w:highlight w:val="none"/>
        </w:rPr>
      </w:pPr>
      <w:r>
        <w:rPr>
          <w:rFonts w:hint="eastAsia" w:ascii="宋体" w:hAnsi="宋体" w:cs="宋体"/>
          <w:kern w:val="0"/>
          <w:szCs w:val="21"/>
          <w:highlight w:val="none"/>
        </w:rPr>
        <w:t>3.2.5同时出现两种以上不一致的，按照前款规定的顺序修正。修正后的报价经投标人书面确认后产生约束力，投标人不确认的，其投标无效。</w:t>
      </w:r>
    </w:p>
    <w:p w14:paraId="4D67F933">
      <w:pPr>
        <w:spacing w:line="360" w:lineRule="auto"/>
        <w:ind w:firstLine="436" w:firstLineChars="200"/>
        <w:rPr>
          <w:rFonts w:ascii="宋体" w:hAnsi="宋体" w:cs="宋体"/>
          <w:szCs w:val="21"/>
          <w:highlight w:val="none"/>
        </w:rPr>
      </w:pPr>
      <w:r>
        <w:rPr>
          <w:rFonts w:hint="eastAsia" w:ascii="宋体" w:hAnsi="宋体" w:cs="宋体"/>
          <w:spacing w:val="4"/>
          <w:szCs w:val="21"/>
          <w:highlight w:val="none"/>
        </w:rPr>
        <w:t>4.评标价的确定：投标文件经审查合格的</w:t>
      </w:r>
      <w:r>
        <w:rPr>
          <w:rFonts w:hint="eastAsia" w:ascii="宋体" w:hAnsi="宋体" w:cs="宋体"/>
          <w:szCs w:val="21"/>
          <w:highlight w:val="none"/>
        </w:rPr>
        <w:t>，为有效投标。对于所有有效投标按照以下规则进行评标价的确定</w:t>
      </w:r>
      <w:r>
        <w:rPr>
          <w:rFonts w:hint="eastAsia" w:ascii="宋体" w:hAnsi="宋体" w:cs="宋体"/>
          <w:b/>
          <w:bCs/>
          <w:szCs w:val="21"/>
          <w:highlight w:val="none"/>
        </w:rPr>
        <w:t>（本项目专门面向中小企业采购，不进行价格折扣）</w:t>
      </w:r>
      <w:r>
        <w:rPr>
          <w:rFonts w:hint="eastAsia" w:ascii="宋体" w:hAnsi="宋体" w:cs="宋体"/>
          <w:szCs w:val="21"/>
          <w:highlight w:val="none"/>
        </w:rPr>
        <w:t>。</w:t>
      </w:r>
    </w:p>
    <w:p w14:paraId="771E6702">
      <w:pPr>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4.1对于不需要进行政策性价格优惠调整的，其评标价为按照以上3.2条款修正后的投标总价。</w:t>
      </w:r>
    </w:p>
    <w:p w14:paraId="278D2775">
      <w:pPr>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4.2对于符合政策性优惠的，其评标价按照以下规则进行计算调整。</w:t>
      </w:r>
    </w:p>
    <w:p w14:paraId="63F34D20">
      <w:pPr>
        <w:spacing w:line="360" w:lineRule="auto"/>
        <w:ind w:firstLine="457" w:firstLineChars="210"/>
        <w:rPr>
          <w:rFonts w:ascii="宋体" w:hAnsi="宋体" w:cs="宋体"/>
          <w:spacing w:val="4"/>
          <w:szCs w:val="21"/>
          <w:highlight w:val="none"/>
        </w:rPr>
      </w:pPr>
      <w:r>
        <w:rPr>
          <w:rFonts w:hint="eastAsia" w:ascii="宋体" w:hAnsi="宋体" w:cs="宋体"/>
          <w:spacing w:val="4"/>
          <w:szCs w:val="21"/>
          <w:highlight w:val="none"/>
        </w:rPr>
        <w:t>4.2.1符合财库〔2020〕46号文件规定的小微企业</w:t>
      </w:r>
      <w:r>
        <w:rPr>
          <w:rFonts w:hint="eastAsia" w:ascii="宋体" w:hAnsi="宋体" w:cs="宋体"/>
          <w:szCs w:val="21"/>
          <w:highlight w:val="none"/>
        </w:rPr>
        <w:t>单位</w:t>
      </w:r>
      <w:r>
        <w:rPr>
          <w:rFonts w:hint="eastAsia" w:ascii="宋体" w:hAnsi="宋体" w:cs="宋体"/>
          <w:spacing w:val="4"/>
          <w:szCs w:val="21"/>
          <w:highlight w:val="none"/>
        </w:rPr>
        <w:t>的评标价计算规则：</w:t>
      </w:r>
    </w:p>
    <w:p w14:paraId="0F49057E">
      <w:pPr>
        <w:spacing w:line="360" w:lineRule="auto"/>
        <w:ind w:firstLine="457" w:firstLineChars="210"/>
        <w:rPr>
          <w:rFonts w:ascii="宋体" w:hAnsi="宋体" w:cs="宋体"/>
          <w:spacing w:val="4"/>
          <w:szCs w:val="21"/>
          <w:highlight w:val="none"/>
        </w:rPr>
      </w:pPr>
      <w:r>
        <w:rPr>
          <w:rFonts w:hint="eastAsia" w:ascii="宋体" w:hAnsi="宋体" w:cs="宋体"/>
          <w:spacing w:val="4"/>
          <w:szCs w:val="21"/>
          <w:highlight w:val="none"/>
        </w:rPr>
        <w:t>4.2.1.1本项目专门面向中小企业采购，不再执行价格评审优惠的扶持政策。</w:t>
      </w:r>
    </w:p>
    <w:p w14:paraId="133C7324">
      <w:pPr>
        <w:spacing w:line="360" w:lineRule="auto"/>
        <w:ind w:firstLine="436" w:firstLineChars="200"/>
        <w:rPr>
          <w:rFonts w:ascii="宋体" w:hAnsi="宋体" w:cs="宋体"/>
          <w:szCs w:val="21"/>
          <w:highlight w:val="none"/>
        </w:rPr>
      </w:pPr>
      <w:r>
        <w:rPr>
          <w:rFonts w:hint="eastAsia" w:ascii="宋体" w:hAnsi="宋体" w:cs="宋体"/>
          <w:spacing w:val="4"/>
          <w:szCs w:val="21"/>
          <w:highlight w:val="none"/>
        </w:rPr>
        <w:t>4.2.1.2投标时须</w:t>
      </w:r>
      <w:r>
        <w:rPr>
          <w:rFonts w:hint="eastAsia" w:ascii="宋体" w:hAnsi="宋体" w:cs="宋体"/>
          <w:szCs w:val="21"/>
          <w:highlight w:val="none"/>
        </w:rPr>
        <w:t>提供按照</w:t>
      </w:r>
      <w:r>
        <w:rPr>
          <w:rFonts w:hint="eastAsia" w:ascii="宋体" w:hAnsi="宋体" w:cs="宋体"/>
          <w:spacing w:val="4"/>
          <w:szCs w:val="21"/>
          <w:highlight w:val="none"/>
        </w:rPr>
        <w:t>（财库〔2020〕46号）文件附件格式填写的</w:t>
      </w:r>
      <w:r>
        <w:rPr>
          <w:rFonts w:hint="eastAsia" w:ascii="宋体" w:hAnsi="宋体" w:cs="宋体"/>
          <w:szCs w:val="21"/>
          <w:highlight w:val="none"/>
        </w:rPr>
        <w:t>《中小企业声明函（服务）》。</w:t>
      </w:r>
    </w:p>
    <w:p w14:paraId="5078FCFE">
      <w:pPr>
        <w:spacing w:line="360" w:lineRule="auto"/>
        <w:ind w:firstLine="457" w:firstLineChars="210"/>
        <w:rPr>
          <w:rFonts w:ascii="宋体" w:hAnsi="宋体" w:cs="宋体"/>
          <w:spacing w:val="4"/>
          <w:szCs w:val="21"/>
          <w:highlight w:val="none"/>
        </w:rPr>
      </w:pPr>
      <w:r>
        <w:rPr>
          <w:rFonts w:hint="eastAsia" w:ascii="宋体" w:hAnsi="宋体" w:cs="宋体"/>
          <w:spacing w:val="4"/>
          <w:szCs w:val="21"/>
          <w:highlight w:val="none"/>
        </w:rPr>
        <w:t>4.2.2符合（财库〔2017〕141号）文件规定的残疾人福利性单位的评标价计算规则：</w:t>
      </w:r>
    </w:p>
    <w:p w14:paraId="602416B9">
      <w:pPr>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4.2.2.1在政府采购活动中，残疾人福利性单位视同小型、微型企业，享受预留份额、评审中价格扣除等促进中小企业发展的政府采购政策。向残疾人福利性单位采购的金额，计入面向中小企业采购的统计数据。本项目专门面向中小企业采购，不再执行价格评审优惠的扶持政策。</w:t>
      </w:r>
    </w:p>
    <w:p w14:paraId="6BD74543">
      <w:pPr>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4.2.2.2确认为残疾人福利性单位投标的，应当同时符合以下条件：</w:t>
      </w:r>
    </w:p>
    <w:p w14:paraId="211FBD07">
      <w:pPr>
        <w:spacing w:line="360" w:lineRule="auto"/>
        <w:ind w:firstLine="457" w:firstLineChars="210"/>
        <w:rPr>
          <w:rFonts w:ascii="宋体" w:hAnsi="宋体" w:cs="宋体"/>
          <w:spacing w:val="4"/>
          <w:szCs w:val="21"/>
          <w:highlight w:val="none"/>
        </w:rPr>
      </w:pPr>
      <w:r>
        <w:rPr>
          <w:rFonts w:hint="eastAsia" w:ascii="宋体" w:hAnsi="宋体" w:cs="宋体"/>
          <w:spacing w:val="4"/>
          <w:szCs w:val="21"/>
          <w:highlight w:val="none"/>
        </w:rPr>
        <w:t>4.2.2.2.1符合（财库〔2017〕141号）文件相关规定。</w:t>
      </w:r>
    </w:p>
    <w:p w14:paraId="5012A3FD">
      <w:pPr>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4.2.2.2.2投标时提供本单位的服务，或者提供其他残疾人福利性单位承担的服务。</w:t>
      </w:r>
    </w:p>
    <w:p w14:paraId="44D176FD">
      <w:pPr>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4.2.2.2.3投标人须提供按照（财库〔2017〕141号）文件附件格式填写的《残疾人福利性单位声明函》。</w:t>
      </w:r>
    </w:p>
    <w:p w14:paraId="3977AC6A">
      <w:pPr>
        <w:spacing w:line="360" w:lineRule="auto"/>
        <w:ind w:firstLine="457" w:firstLineChars="210"/>
        <w:rPr>
          <w:rFonts w:ascii="宋体" w:hAnsi="宋体" w:cs="宋体"/>
          <w:spacing w:val="4"/>
          <w:szCs w:val="21"/>
          <w:highlight w:val="none"/>
        </w:rPr>
      </w:pPr>
      <w:r>
        <w:rPr>
          <w:rFonts w:hint="eastAsia" w:ascii="宋体" w:hAnsi="宋体" w:cs="宋体"/>
          <w:spacing w:val="4"/>
          <w:szCs w:val="21"/>
          <w:highlight w:val="none"/>
        </w:rPr>
        <w:t>4.2.3符合（财库〔2014〕68号）文件规定的监狱企业的评标价计算规则：</w:t>
      </w:r>
    </w:p>
    <w:p w14:paraId="7E16BD89">
      <w:pPr>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4.2.3.1在政府采购活动中，监狱企业视同小型、微型企业，享受预留份额、评审中价格扣除等政府采购促进中小企业发展的政府采购政策。向监狱企业采购的金额，计入面向中小企业采购的统计数据。本项目专门面向中小企业采购，不再执行价格评审优惠的扶持政策。</w:t>
      </w:r>
    </w:p>
    <w:p w14:paraId="1130303A">
      <w:pPr>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4.2.3.2确认为监狱企业投标的，应当同时符合以下条件：</w:t>
      </w:r>
    </w:p>
    <w:p w14:paraId="078A225E">
      <w:pPr>
        <w:spacing w:line="360" w:lineRule="auto"/>
        <w:ind w:firstLine="457" w:firstLineChars="210"/>
        <w:rPr>
          <w:rFonts w:ascii="宋体" w:hAnsi="宋体" w:cs="宋体"/>
          <w:spacing w:val="4"/>
          <w:szCs w:val="21"/>
          <w:highlight w:val="none"/>
        </w:rPr>
      </w:pPr>
      <w:r>
        <w:rPr>
          <w:rFonts w:hint="eastAsia" w:ascii="宋体" w:hAnsi="宋体" w:cs="宋体"/>
          <w:spacing w:val="4"/>
          <w:szCs w:val="21"/>
          <w:highlight w:val="none"/>
        </w:rPr>
        <w:t>4.2.3.2.1符合（财库〔2014〕68号）文件相关规定。</w:t>
      </w:r>
    </w:p>
    <w:p w14:paraId="25CA57FE">
      <w:pPr>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4.2.3.2.2投标时提供本单位的服务，或者提供其他监狱企业承担的服务。</w:t>
      </w:r>
    </w:p>
    <w:p w14:paraId="2D93D1BB">
      <w:pPr>
        <w:spacing w:line="360" w:lineRule="auto"/>
        <w:ind w:firstLine="457" w:firstLineChars="210"/>
        <w:rPr>
          <w:rFonts w:ascii="宋体" w:hAnsi="宋体" w:cs="宋体"/>
          <w:spacing w:val="4"/>
          <w:szCs w:val="21"/>
          <w:highlight w:val="none"/>
        </w:rPr>
      </w:pPr>
      <w:r>
        <w:rPr>
          <w:rFonts w:hint="eastAsia" w:ascii="宋体" w:hAnsi="宋体" w:cs="宋体"/>
          <w:spacing w:val="4"/>
          <w:szCs w:val="21"/>
          <w:highlight w:val="none"/>
        </w:rPr>
        <w:t>4.2.3.2.3投标人须提供由省级以上监狱管理局、戒毒管理局（含新疆生产建设兵团）出具的属于监狱企业的证明文件。</w:t>
      </w:r>
    </w:p>
    <w:p w14:paraId="598DDF3F">
      <w:pPr>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4.3评标价的计算：</w:t>
      </w:r>
    </w:p>
    <w:p w14:paraId="213E7E5B">
      <w:pPr>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本项目专门面向中小企业采购，不再执行价格评审优惠的扶持政策。</w:t>
      </w:r>
    </w:p>
    <w:p w14:paraId="57E0CB99">
      <w:pPr>
        <w:spacing w:line="360" w:lineRule="auto"/>
        <w:ind w:firstLine="457" w:firstLineChars="210"/>
        <w:rPr>
          <w:rFonts w:ascii="宋体" w:hAnsi="宋体" w:cs="宋体"/>
          <w:spacing w:val="4"/>
          <w:szCs w:val="21"/>
          <w:highlight w:val="none"/>
        </w:rPr>
      </w:pPr>
      <w:r>
        <w:rPr>
          <w:rFonts w:hint="eastAsia" w:ascii="宋体" w:hAnsi="宋体" w:cs="宋体"/>
          <w:spacing w:val="4"/>
          <w:szCs w:val="21"/>
          <w:highlight w:val="none"/>
        </w:rPr>
        <w:t>5.符合政府采购政策的投标服务以及提供投标产品的加分规则：</w:t>
      </w:r>
    </w:p>
    <w:p w14:paraId="0B93EC39">
      <w:pPr>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5.1投标服务涉及提供的所有投标产品进入“节能产品政府采购品目清单”（相关证书的颁发机构应来自《参与实施政府采购节能产品认证机构名录》）的予以加分，并计入最终得分。具体评审标准及分值见《评审因素量化赋分表》（不是所有投标产品的不享受此项优惠）。</w:t>
      </w:r>
    </w:p>
    <w:p w14:paraId="071F238C">
      <w:pPr>
        <w:spacing w:line="360" w:lineRule="auto"/>
        <w:ind w:firstLine="436" w:firstLineChars="200"/>
        <w:rPr>
          <w:rFonts w:ascii="宋体" w:hAnsi="宋体" w:cs="宋体"/>
          <w:i/>
          <w:iCs/>
          <w:spacing w:val="4"/>
          <w:szCs w:val="21"/>
          <w:highlight w:val="none"/>
        </w:rPr>
      </w:pPr>
      <w:r>
        <w:rPr>
          <w:rFonts w:hint="eastAsia" w:ascii="宋体" w:hAnsi="宋体" w:cs="宋体"/>
          <w:spacing w:val="4"/>
          <w:szCs w:val="21"/>
          <w:highlight w:val="none"/>
        </w:rPr>
        <w:t xml:space="preserve">5.2投标服务涉及提供的所有投标产品进入“环境标志产品政府采购品目清单”（相关证书的颁发机构应来自《参与实施政府采购环境标志产品认证机构名录》）的予以加分，并计入最终得分。具体评审标准及分值见《评审因素量化赋分表》；（不是所有投标产品的不享受此项优惠）。   </w:t>
      </w:r>
    </w:p>
    <w:p w14:paraId="6C661C53">
      <w:pPr>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6.比较与评价：</w:t>
      </w:r>
    </w:p>
    <w:p w14:paraId="2079BA27">
      <w:pPr>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6.1评委会各成员按照《评审因素量化赋分表》规定的内容，独立进行综合比较、评价打分。</w:t>
      </w:r>
    </w:p>
    <w:p w14:paraId="4B84A81E">
      <w:pPr>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7.推荐中标候选人名单：</w:t>
      </w:r>
    </w:p>
    <w:p w14:paraId="4862EE96">
      <w:pPr>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7.1汇总全体评委对每个投标人的赋分，计算出每个投标人的综合得分，按包得分从高到低顺序排列，推荐前3名为中标候选人。</w:t>
      </w:r>
    </w:p>
    <w:p w14:paraId="149E115E">
      <w:pPr>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7.2得分相同的，按投标报价由低到高顺序排列。得分且投标报价相同的并列。</w:t>
      </w:r>
    </w:p>
    <w:p w14:paraId="78DD24CD">
      <w:pPr>
        <w:spacing w:line="360" w:lineRule="auto"/>
        <w:ind w:firstLine="436" w:firstLineChars="200"/>
        <w:jc w:val="center"/>
        <w:rPr>
          <w:rFonts w:ascii="宋体" w:hAnsi="宋体" w:cs="宋体"/>
          <w:highlight w:val="none"/>
        </w:rPr>
      </w:pPr>
      <w:r>
        <w:rPr>
          <w:rFonts w:hint="eastAsia" w:ascii="宋体" w:hAnsi="宋体" w:cs="宋体"/>
          <w:spacing w:val="4"/>
          <w:szCs w:val="21"/>
          <w:highlight w:val="none"/>
        </w:rPr>
        <w:br w:type="page"/>
      </w:r>
      <w:r>
        <w:rPr>
          <w:rFonts w:hint="eastAsia" w:ascii="宋体" w:hAnsi="宋体" w:cs="宋体"/>
          <w:b/>
          <w:sz w:val="32"/>
          <w:szCs w:val="32"/>
          <w:highlight w:val="none"/>
        </w:rPr>
        <w:t>评审因素量化赋分表</w:t>
      </w:r>
    </w:p>
    <w:tbl>
      <w:tblPr>
        <w:tblStyle w:val="12"/>
        <w:tblW w:w="0" w:type="auto"/>
        <w:tblInd w:w="13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1"/>
        <w:gridCol w:w="721"/>
        <w:gridCol w:w="2017"/>
        <w:gridCol w:w="4852"/>
      </w:tblGrid>
      <w:tr w14:paraId="7023A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691" w:type="dxa"/>
            <w:tcBorders>
              <w:top w:val="single" w:color="auto" w:sz="12" w:space="0"/>
            </w:tcBorders>
            <w:vAlign w:val="center"/>
          </w:tcPr>
          <w:p w14:paraId="32A88E9E">
            <w:pPr>
              <w:spacing w:line="360" w:lineRule="auto"/>
              <w:jc w:val="center"/>
              <w:rPr>
                <w:rFonts w:ascii="宋体" w:hAnsi="宋体" w:cs="宋体"/>
                <w:b/>
                <w:szCs w:val="21"/>
                <w:highlight w:val="none"/>
              </w:rPr>
            </w:pPr>
            <w:r>
              <w:rPr>
                <w:rFonts w:hint="eastAsia" w:ascii="宋体" w:hAnsi="宋体" w:cs="宋体"/>
                <w:b/>
                <w:szCs w:val="21"/>
                <w:highlight w:val="none"/>
              </w:rPr>
              <w:t>类别</w:t>
            </w:r>
          </w:p>
        </w:tc>
        <w:tc>
          <w:tcPr>
            <w:tcW w:w="721" w:type="dxa"/>
            <w:tcBorders>
              <w:top w:val="single" w:color="auto" w:sz="12" w:space="0"/>
            </w:tcBorders>
            <w:vAlign w:val="center"/>
          </w:tcPr>
          <w:p w14:paraId="2D5056ED">
            <w:pPr>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2017" w:type="dxa"/>
            <w:tcBorders>
              <w:top w:val="single" w:color="auto" w:sz="12" w:space="0"/>
            </w:tcBorders>
            <w:vAlign w:val="center"/>
          </w:tcPr>
          <w:p w14:paraId="206DF43F">
            <w:pPr>
              <w:spacing w:line="360" w:lineRule="auto"/>
              <w:jc w:val="center"/>
              <w:rPr>
                <w:rFonts w:ascii="宋体" w:hAnsi="宋体" w:cs="宋体"/>
                <w:b/>
                <w:szCs w:val="21"/>
                <w:highlight w:val="none"/>
              </w:rPr>
            </w:pPr>
            <w:r>
              <w:rPr>
                <w:rFonts w:hint="eastAsia" w:ascii="宋体" w:hAnsi="宋体" w:cs="宋体"/>
                <w:b/>
                <w:szCs w:val="21"/>
                <w:highlight w:val="none"/>
              </w:rPr>
              <w:t>评审要素及分值</w:t>
            </w:r>
          </w:p>
        </w:tc>
        <w:tc>
          <w:tcPr>
            <w:tcW w:w="4852" w:type="dxa"/>
            <w:tcBorders>
              <w:top w:val="single" w:color="auto" w:sz="12" w:space="0"/>
            </w:tcBorders>
            <w:vAlign w:val="center"/>
          </w:tcPr>
          <w:p w14:paraId="7FD3DDC4">
            <w:pPr>
              <w:spacing w:line="360" w:lineRule="auto"/>
              <w:jc w:val="center"/>
              <w:rPr>
                <w:rFonts w:ascii="宋体" w:hAnsi="宋体" w:cs="宋体"/>
                <w:b/>
                <w:szCs w:val="21"/>
                <w:highlight w:val="none"/>
              </w:rPr>
            </w:pPr>
            <w:r>
              <w:rPr>
                <w:rFonts w:hint="eastAsia" w:ascii="宋体" w:hAnsi="宋体" w:cs="宋体"/>
                <w:b/>
                <w:szCs w:val="21"/>
                <w:highlight w:val="none"/>
              </w:rPr>
              <w:t>赋分标准</w:t>
            </w:r>
          </w:p>
        </w:tc>
      </w:tr>
      <w:tr w14:paraId="3C0AF4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91" w:type="dxa"/>
            <w:vMerge w:val="restart"/>
            <w:vAlign w:val="center"/>
          </w:tcPr>
          <w:p w14:paraId="7B994DD8">
            <w:pPr>
              <w:snapToGrid w:val="0"/>
              <w:spacing w:line="360" w:lineRule="auto"/>
              <w:jc w:val="center"/>
              <w:rPr>
                <w:rFonts w:ascii="宋体" w:hAnsi="宋体" w:cs="宋体"/>
                <w:szCs w:val="21"/>
                <w:highlight w:val="none"/>
              </w:rPr>
            </w:pPr>
            <w:r>
              <w:rPr>
                <w:rFonts w:hint="eastAsia" w:ascii="宋体" w:hAnsi="宋体" w:cs="宋体"/>
                <w:szCs w:val="21"/>
                <w:highlight w:val="none"/>
              </w:rPr>
              <w:t>服务</w:t>
            </w:r>
          </w:p>
          <w:p w14:paraId="14666008">
            <w:pPr>
              <w:snapToGrid w:val="0"/>
              <w:spacing w:line="360" w:lineRule="auto"/>
              <w:jc w:val="center"/>
              <w:rPr>
                <w:rFonts w:ascii="宋体" w:hAnsi="宋体" w:cs="宋体"/>
                <w:szCs w:val="21"/>
                <w:highlight w:val="none"/>
              </w:rPr>
            </w:pPr>
            <w:r>
              <w:rPr>
                <w:rFonts w:hint="eastAsia" w:ascii="宋体" w:hAnsi="宋体" w:cs="宋体"/>
                <w:szCs w:val="21"/>
                <w:highlight w:val="none"/>
              </w:rPr>
              <w:t>80分</w:t>
            </w:r>
          </w:p>
        </w:tc>
        <w:tc>
          <w:tcPr>
            <w:tcW w:w="721" w:type="dxa"/>
            <w:vAlign w:val="center"/>
          </w:tcPr>
          <w:p w14:paraId="11456F5A">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2017" w:type="dxa"/>
            <w:vAlign w:val="center"/>
          </w:tcPr>
          <w:p w14:paraId="4AADC6C3">
            <w:pPr>
              <w:spacing w:line="360" w:lineRule="auto"/>
              <w:jc w:val="center"/>
              <w:rPr>
                <w:rFonts w:ascii="宋体" w:hAnsi="宋体" w:cs="宋体"/>
                <w:szCs w:val="21"/>
                <w:highlight w:val="none"/>
              </w:rPr>
            </w:pPr>
            <w:r>
              <w:rPr>
                <w:rFonts w:hint="eastAsia" w:ascii="宋体" w:hAnsi="宋体" w:cs="宋体"/>
                <w:szCs w:val="21"/>
                <w:highlight w:val="none"/>
              </w:rPr>
              <w:t>服务管理方案</w:t>
            </w:r>
          </w:p>
          <w:p w14:paraId="25A20A54">
            <w:pPr>
              <w:spacing w:line="360" w:lineRule="auto"/>
              <w:jc w:val="center"/>
              <w:rPr>
                <w:rFonts w:ascii="宋体" w:hAnsi="宋体" w:cs="宋体"/>
                <w:szCs w:val="21"/>
                <w:highlight w:val="none"/>
              </w:rPr>
            </w:pPr>
            <w:r>
              <w:rPr>
                <w:rFonts w:hint="eastAsia" w:ascii="宋体" w:hAnsi="宋体" w:cs="宋体"/>
                <w:szCs w:val="21"/>
                <w:highlight w:val="none"/>
              </w:rPr>
              <w:t>35分</w:t>
            </w:r>
          </w:p>
        </w:tc>
        <w:tc>
          <w:tcPr>
            <w:tcW w:w="4852" w:type="dxa"/>
            <w:vAlign w:val="center"/>
          </w:tcPr>
          <w:p w14:paraId="07511F31">
            <w:pPr>
              <w:spacing w:line="360" w:lineRule="auto"/>
              <w:ind w:left="315" w:hanging="315" w:hangingChars="150"/>
              <w:rPr>
                <w:rFonts w:ascii="宋体" w:hAnsi="宋体" w:cs="宋体"/>
                <w:szCs w:val="21"/>
                <w:highlight w:val="none"/>
              </w:rPr>
            </w:pPr>
            <w:r>
              <w:rPr>
                <w:rFonts w:hint="eastAsia" w:ascii="宋体" w:hAnsi="宋体" w:cs="宋体"/>
                <w:szCs w:val="21"/>
                <w:highlight w:val="none"/>
              </w:rPr>
              <w:t>1）针对本项目制定规范化的实施方案。方案设计合理、可操作性强、架构完整、层次清楚，[10-8]分；方案设计较合理、可操作性较强,(8-4]分；方案设计基本合理、可操作,(4-0]分；</w:t>
            </w:r>
          </w:p>
          <w:p w14:paraId="0A7C4CB3">
            <w:pPr>
              <w:spacing w:line="360" w:lineRule="auto"/>
              <w:ind w:left="315" w:hanging="315" w:hangingChars="150"/>
              <w:rPr>
                <w:rFonts w:ascii="宋体" w:hAnsi="宋体" w:cs="宋体"/>
                <w:szCs w:val="21"/>
                <w:highlight w:val="none"/>
              </w:rPr>
            </w:pPr>
            <w:r>
              <w:rPr>
                <w:rFonts w:hint="eastAsia" w:ascii="宋体" w:hAnsi="宋体" w:cs="宋体"/>
                <w:szCs w:val="21"/>
                <w:highlight w:val="none"/>
              </w:rPr>
              <w:t>2）针对本项目具有详细、具体、可行性的实施保障措施及服务质量承诺。对本项目服务组织调配合理、服务响应时间有明确保障、业务特点突出、设备情况运维管理完善，[10-8]分；组织调配较合理、服务响应时间能够保障，(8-4]分；组织调配基本合理、服务响应时间承诺能够保障，(4-0]分；</w:t>
            </w:r>
          </w:p>
          <w:p w14:paraId="68DBE991">
            <w:pPr>
              <w:spacing w:line="360" w:lineRule="auto"/>
              <w:ind w:left="315" w:hanging="315" w:hangingChars="150"/>
              <w:rPr>
                <w:rFonts w:ascii="宋体" w:hAnsi="宋体" w:cs="宋体"/>
                <w:szCs w:val="21"/>
                <w:highlight w:val="none"/>
              </w:rPr>
            </w:pPr>
            <w:r>
              <w:rPr>
                <w:rFonts w:hint="eastAsia" w:ascii="宋体" w:hAnsi="宋体" w:cs="宋体"/>
                <w:szCs w:val="21"/>
                <w:highlight w:val="none"/>
              </w:rPr>
              <w:t>3）针对本项目有具体可行的应急措施和解决方案。有明确的承诺，能够应对在服务期间可能发生的突然状况，并制定相应的应急预案，确保违法车辆拖移工作有序进行。管理办法针对性强、详尽可行，[10-8]分；管理办法有针对性、基本详尽可行，(8-4]分；管理办法无针对性、可行性一般，(4-0]分；</w:t>
            </w:r>
          </w:p>
          <w:p w14:paraId="5759E81E">
            <w:pPr>
              <w:spacing w:line="360" w:lineRule="auto"/>
              <w:ind w:left="315" w:hanging="315" w:hangingChars="150"/>
              <w:rPr>
                <w:rFonts w:ascii="宋体" w:hAnsi="宋体" w:cs="宋体"/>
                <w:szCs w:val="21"/>
                <w:highlight w:val="none"/>
              </w:rPr>
            </w:pPr>
            <w:r>
              <w:rPr>
                <w:rFonts w:hint="eastAsia" w:ascii="宋体" w:hAnsi="宋体" w:cs="宋体"/>
                <w:szCs w:val="21"/>
                <w:highlight w:val="none"/>
              </w:rPr>
              <w:t>4）企业有完善的人员组织架构、管理制度和措施。组织架构合理，人员分工清晰合理责任明确，管理制度和措施完善合理有效，[5-3]分；有人员组织架构，管理制度和措施，[3-0]分。</w:t>
            </w:r>
          </w:p>
        </w:tc>
      </w:tr>
      <w:tr w14:paraId="5A36EF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1" w:type="dxa"/>
            <w:vMerge w:val="continue"/>
            <w:vAlign w:val="center"/>
          </w:tcPr>
          <w:p w14:paraId="60F1CE4A">
            <w:pPr>
              <w:snapToGrid w:val="0"/>
              <w:spacing w:line="360" w:lineRule="auto"/>
              <w:jc w:val="center"/>
              <w:rPr>
                <w:rFonts w:ascii="宋体" w:hAnsi="宋体" w:cs="宋体"/>
                <w:szCs w:val="21"/>
                <w:highlight w:val="none"/>
              </w:rPr>
            </w:pPr>
          </w:p>
        </w:tc>
        <w:tc>
          <w:tcPr>
            <w:tcW w:w="721" w:type="dxa"/>
            <w:vAlign w:val="center"/>
          </w:tcPr>
          <w:p w14:paraId="032AB09D">
            <w:pPr>
              <w:spacing w:line="360" w:lineRule="auto"/>
              <w:jc w:val="center"/>
              <w:rPr>
                <w:rFonts w:ascii="宋体" w:hAnsi="宋体" w:cs="宋体"/>
                <w:szCs w:val="21"/>
                <w:highlight w:val="none"/>
              </w:rPr>
            </w:pPr>
            <w:r>
              <w:rPr>
                <w:rFonts w:hint="eastAsia" w:ascii="宋体" w:hAnsi="宋体" w:cs="宋体"/>
                <w:szCs w:val="21"/>
                <w:highlight w:val="none"/>
              </w:rPr>
              <w:t>2</w:t>
            </w:r>
          </w:p>
        </w:tc>
        <w:tc>
          <w:tcPr>
            <w:tcW w:w="2017" w:type="dxa"/>
            <w:vAlign w:val="center"/>
          </w:tcPr>
          <w:p w14:paraId="2F0861F1">
            <w:pPr>
              <w:spacing w:line="360" w:lineRule="auto"/>
              <w:jc w:val="center"/>
              <w:rPr>
                <w:rFonts w:ascii="宋体" w:hAnsi="宋体" w:cs="宋体"/>
                <w:szCs w:val="21"/>
                <w:highlight w:val="none"/>
              </w:rPr>
            </w:pPr>
            <w:r>
              <w:rPr>
                <w:rFonts w:hint="eastAsia" w:ascii="宋体" w:hAnsi="宋体" w:cs="宋体"/>
                <w:szCs w:val="21"/>
                <w:highlight w:val="none"/>
              </w:rPr>
              <w:t>服务要求</w:t>
            </w:r>
          </w:p>
          <w:p w14:paraId="2AE0F1A2">
            <w:pPr>
              <w:spacing w:line="360" w:lineRule="auto"/>
              <w:jc w:val="center"/>
              <w:rPr>
                <w:rFonts w:ascii="宋体" w:hAnsi="宋体" w:cs="宋体"/>
                <w:szCs w:val="21"/>
                <w:highlight w:val="none"/>
              </w:rPr>
            </w:pPr>
            <w:r>
              <w:rPr>
                <w:rFonts w:hint="eastAsia" w:ascii="宋体" w:hAnsi="宋体" w:cs="宋体"/>
                <w:szCs w:val="21"/>
                <w:highlight w:val="none"/>
              </w:rPr>
              <w:t>40分</w:t>
            </w:r>
          </w:p>
        </w:tc>
        <w:tc>
          <w:tcPr>
            <w:tcW w:w="4852" w:type="dxa"/>
            <w:vAlign w:val="center"/>
          </w:tcPr>
          <w:p w14:paraId="2EFC61EE">
            <w:pPr>
              <w:spacing w:line="360" w:lineRule="auto"/>
              <w:ind w:left="315" w:hanging="315" w:hangingChars="150"/>
              <w:rPr>
                <w:rFonts w:ascii="宋体" w:hAnsi="宋体" w:cs="宋体"/>
                <w:szCs w:val="21"/>
                <w:highlight w:val="none"/>
              </w:rPr>
            </w:pPr>
            <w:r>
              <w:rPr>
                <w:rFonts w:hint="eastAsia" w:ascii="宋体" w:hAnsi="宋体" w:cs="宋体"/>
                <w:szCs w:val="21"/>
                <w:highlight w:val="none"/>
              </w:rPr>
              <w:t>1）参与车辆情况：满足本标包车辆基础要求不得分。在此基础上，每多一辆大型拖车加1分，最多加3分。车身正面、侧面有明显企业名称标识。（提供有效的车辆所有权证明，车辆户籍与投标营业执照单位一致，车身明显位置喷涂（粘贴）所属企业标识）。</w:t>
            </w:r>
          </w:p>
          <w:p w14:paraId="5BF9B9A7">
            <w:pPr>
              <w:spacing w:line="360" w:lineRule="auto"/>
              <w:ind w:left="315" w:hanging="315" w:hangingChars="150"/>
              <w:rPr>
                <w:rFonts w:ascii="宋体" w:hAnsi="宋体" w:cs="宋体"/>
                <w:szCs w:val="21"/>
                <w:highlight w:val="none"/>
              </w:rPr>
            </w:pPr>
            <w:r>
              <w:rPr>
                <w:rFonts w:hint="eastAsia" w:ascii="宋体" w:hAnsi="宋体" w:cs="宋体"/>
                <w:szCs w:val="21"/>
                <w:highlight w:val="none"/>
              </w:rPr>
              <w:t>2）拖移、吊装车辆装备有定位设备,根据车辆装备定位设备情况，[5-0]分。（提供设备照片和设备参数）</w:t>
            </w:r>
          </w:p>
          <w:p w14:paraId="501C9ECF">
            <w:pPr>
              <w:spacing w:line="360" w:lineRule="auto"/>
              <w:ind w:left="315" w:hanging="315" w:hangingChars="150"/>
              <w:rPr>
                <w:rFonts w:ascii="宋体" w:hAnsi="宋体" w:cs="宋体"/>
                <w:szCs w:val="21"/>
                <w:highlight w:val="none"/>
              </w:rPr>
            </w:pPr>
            <w:r>
              <w:rPr>
                <w:rFonts w:hint="eastAsia" w:ascii="宋体" w:hAnsi="宋体" w:cs="宋体"/>
                <w:szCs w:val="21"/>
                <w:highlight w:val="none"/>
              </w:rPr>
              <w:t>3）拖移、吊装车辆前后安装行车记录仪，拍摄内容保存时长不少于6个月，根据车辆装备行车记录仪分辨率存储设备等实际情况，[5-0]分。（提供设备照片和设备参数）</w:t>
            </w:r>
          </w:p>
          <w:p w14:paraId="10564770">
            <w:pPr>
              <w:spacing w:line="360" w:lineRule="auto"/>
              <w:ind w:left="315" w:hanging="315" w:hangingChars="150"/>
              <w:rPr>
                <w:rFonts w:ascii="宋体" w:hAnsi="宋体" w:cs="宋体"/>
                <w:szCs w:val="21"/>
                <w:highlight w:val="none"/>
              </w:rPr>
            </w:pPr>
            <w:r>
              <w:rPr>
                <w:rFonts w:hint="eastAsia" w:ascii="宋体" w:hAnsi="宋体" w:cs="宋体"/>
                <w:szCs w:val="21"/>
                <w:highlight w:val="none"/>
              </w:rPr>
              <w:t>4）满</w:t>
            </w:r>
            <w:bookmarkStart w:id="158" w:name="_GoBack"/>
            <w:r>
              <w:rPr>
                <w:rFonts w:hint="eastAsia" w:ascii="宋体" w:hAnsi="宋体" w:cs="宋体"/>
                <w:szCs w:val="21"/>
                <w:highlight w:val="none"/>
              </w:rPr>
              <w:t>足工作车辆第三者责任险保额不低于100万元，</w:t>
            </w:r>
            <w:r>
              <w:rPr>
                <w:rFonts w:hint="eastAsia" w:ascii="宋体" w:hAnsi="宋体" w:cs="宋体"/>
                <w:szCs w:val="21"/>
                <w:highlight w:val="none"/>
                <w:lang w:val="en-US" w:eastAsia="zh-CN"/>
              </w:rPr>
              <w:t>大型拖车</w:t>
            </w:r>
            <w:r>
              <w:rPr>
                <w:rFonts w:hint="eastAsia" w:ascii="宋体" w:hAnsi="宋体" w:cs="宋体"/>
                <w:szCs w:val="21"/>
                <w:highlight w:val="none"/>
              </w:rPr>
              <w:t>公路货运承运人责任保险保额不低于100万元，不得分；在此</w:t>
            </w:r>
            <w:bookmarkEnd w:id="158"/>
            <w:r>
              <w:rPr>
                <w:rFonts w:hint="eastAsia" w:ascii="宋体" w:hAnsi="宋体" w:cs="宋体"/>
                <w:szCs w:val="21"/>
                <w:highlight w:val="none"/>
              </w:rPr>
              <w:t>基础上这两项中每项保险高50万，得1分，满分5分。（提供保单等证明材料）</w:t>
            </w:r>
          </w:p>
          <w:p w14:paraId="44F67A9F">
            <w:pPr>
              <w:spacing w:line="360" w:lineRule="auto"/>
              <w:ind w:left="315" w:hanging="315" w:hangingChars="150"/>
              <w:rPr>
                <w:rFonts w:ascii="宋体" w:hAnsi="宋体" w:cs="宋体"/>
                <w:szCs w:val="21"/>
                <w:highlight w:val="none"/>
              </w:rPr>
            </w:pPr>
            <w:r>
              <w:rPr>
                <w:rFonts w:hint="eastAsia" w:ascii="宋体" w:hAnsi="宋体" w:cs="宋体"/>
                <w:szCs w:val="21"/>
                <w:highlight w:val="none"/>
              </w:rPr>
              <w:t>5）具备专业调度中心，工作人员必须全天（含节假日）24小时在岗值班，[5-0]分；（提供调度中心照片）</w:t>
            </w:r>
          </w:p>
          <w:p w14:paraId="595C6A39">
            <w:pPr>
              <w:spacing w:line="360" w:lineRule="auto"/>
              <w:ind w:left="315" w:hanging="315" w:hangingChars="150"/>
              <w:rPr>
                <w:rFonts w:ascii="宋体" w:hAnsi="宋体" w:cs="宋体"/>
                <w:szCs w:val="21"/>
                <w:highlight w:val="none"/>
              </w:rPr>
            </w:pPr>
            <w:r>
              <w:rPr>
                <w:rFonts w:hint="eastAsia" w:ascii="宋体" w:hAnsi="宋体" w:cs="宋体"/>
                <w:szCs w:val="21"/>
                <w:highlight w:val="none"/>
              </w:rPr>
              <w:t>6）对本项目拟投入的辅助设备（如拖吊车辅助设备、通信工具等）的配置情况（数量、功能、品种）进行说明。辅助设备品种多、功能全、数量多，[10-7）分；辅助设备品种较多、功能较全、数量较多，[7-3）分；辅助设备品种少、功能不全、数量少，[3-0]分。（提供购买发票或租赁合同复印件）</w:t>
            </w:r>
          </w:p>
          <w:p w14:paraId="30A28E02">
            <w:pPr>
              <w:spacing w:line="360" w:lineRule="auto"/>
              <w:ind w:left="315" w:hanging="315" w:hangingChars="150"/>
              <w:rPr>
                <w:rFonts w:ascii="宋体" w:hAnsi="宋体" w:cs="宋体"/>
                <w:szCs w:val="21"/>
                <w:highlight w:val="none"/>
              </w:rPr>
            </w:pPr>
            <w:r>
              <w:rPr>
                <w:rFonts w:hint="eastAsia" w:ascii="宋体" w:hAnsi="宋体" w:cs="宋体"/>
                <w:szCs w:val="21"/>
                <w:highlight w:val="none"/>
              </w:rPr>
              <w:t>7）针对本项目提供的团队综合服务能力强、工作人员分工明确，每辆车辆配备一名驾驶员，足够数量装卸工作人员。团队综合服务能力强、工作人员分工明确，[7-5）分；团队综合服务能力较强、工作人员分工较明确，[5-2）分；团队综合服务能力一般、工作人员分工不明确，[2-0]分；（提供人员清单）。</w:t>
            </w:r>
          </w:p>
        </w:tc>
      </w:tr>
      <w:tr w14:paraId="3650E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1" w:type="dxa"/>
            <w:vMerge w:val="continue"/>
            <w:vAlign w:val="center"/>
          </w:tcPr>
          <w:p w14:paraId="04ABF1CE">
            <w:pPr>
              <w:snapToGrid w:val="0"/>
              <w:spacing w:line="360" w:lineRule="auto"/>
              <w:jc w:val="center"/>
              <w:rPr>
                <w:rFonts w:ascii="宋体" w:hAnsi="宋体" w:cs="宋体"/>
                <w:szCs w:val="21"/>
                <w:highlight w:val="none"/>
              </w:rPr>
            </w:pPr>
          </w:p>
        </w:tc>
        <w:tc>
          <w:tcPr>
            <w:tcW w:w="721" w:type="dxa"/>
            <w:vAlign w:val="center"/>
          </w:tcPr>
          <w:p w14:paraId="3ECB101B">
            <w:pPr>
              <w:spacing w:line="360" w:lineRule="auto"/>
              <w:jc w:val="center"/>
              <w:rPr>
                <w:rFonts w:ascii="宋体" w:hAnsi="宋体" w:cs="宋体"/>
                <w:szCs w:val="21"/>
                <w:highlight w:val="none"/>
              </w:rPr>
            </w:pPr>
            <w:r>
              <w:rPr>
                <w:rFonts w:hint="eastAsia" w:ascii="宋体" w:hAnsi="宋体" w:cs="宋体"/>
                <w:szCs w:val="21"/>
                <w:highlight w:val="none"/>
              </w:rPr>
              <w:t>3</w:t>
            </w:r>
          </w:p>
        </w:tc>
        <w:tc>
          <w:tcPr>
            <w:tcW w:w="2017" w:type="dxa"/>
            <w:vAlign w:val="center"/>
          </w:tcPr>
          <w:p w14:paraId="2A9C1D46">
            <w:pPr>
              <w:spacing w:line="360" w:lineRule="auto"/>
              <w:jc w:val="center"/>
              <w:rPr>
                <w:rFonts w:ascii="宋体" w:hAnsi="宋体" w:cs="宋体"/>
                <w:szCs w:val="21"/>
                <w:highlight w:val="none"/>
              </w:rPr>
            </w:pPr>
            <w:r>
              <w:rPr>
                <w:rFonts w:hint="eastAsia" w:ascii="宋体" w:hAnsi="宋体" w:cs="宋体"/>
                <w:szCs w:val="21"/>
                <w:highlight w:val="none"/>
              </w:rPr>
              <w:t>技术服务保证</w:t>
            </w:r>
          </w:p>
          <w:p w14:paraId="63A12DCF">
            <w:pPr>
              <w:pStyle w:val="2"/>
              <w:jc w:val="center"/>
              <w:rPr>
                <w:rFonts w:ascii="宋体" w:hAnsi="宋体" w:cs="宋体"/>
                <w:szCs w:val="21"/>
                <w:highlight w:val="none"/>
              </w:rPr>
            </w:pPr>
            <w:r>
              <w:rPr>
                <w:rFonts w:hint="eastAsia" w:ascii="宋体" w:hAnsi="宋体" w:cs="宋体"/>
                <w:sz w:val="21"/>
                <w:szCs w:val="21"/>
                <w:highlight w:val="none"/>
              </w:rPr>
              <w:t>5分</w:t>
            </w:r>
          </w:p>
        </w:tc>
        <w:tc>
          <w:tcPr>
            <w:tcW w:w="4852" w:type="dxa"/>
            <w:vAlign w:val="center"/>
          </w:tcPr>
          <w:p w14:paraId="4730257B">
            <w:pPr>
              <w:spacing w:line="360" w:lineRule="auto"/>
              <w:rPr>
                <w:rFonts w:ascii="宋体" w:hAnsi="宋体" w:cs="宋体"/>
                <w:szCs w:val="21"/>
                <w:highlight w:val="none"/>
              </w:rPr>
            </w:pPr>
            <w:r>
              <w:rPr>
                <w:rFonts w:hint="eastAsia" w:ascii="宋体" w:hAnsi="宋体" w:cs="宋体"/>
                <w:szCs w:val="21"/>
                <w:highlight w:val="none"/>
              </w:rPr>
              <w:t>供应商对招标文件服务要求中“服务管理要求”两部分中优于招标文件规定的内容，应在投标文件中做出明确标注并做出详细解释和说明（服务管理要求第（1）、（6）、（7）条除外），评标委员会综合评审得5-0分，无优于条款得0分。</w:t>
            </w:r>
          </w:p>
        </w:tc>
      </w:tr>
      <w:tr w14:paraId="0A577F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691" w:type="dxa"/>
            <w:vAlign w:val="center"/>
          </w:tcPr>
          <w:p w14:paraId="1DEAFFCF">
            <w:pPr>
              <w:snapToGrid w:val="0"/>
              <w:spacing w:line="360" w:lineRule="auto"/>
              <w:jc w:val="center"/>
              <w:rPr>
                <w:rFonts w:ascii="宋体" w:hAnsi="宋体" w:cs="宋体"/>
                <w:szCs w:val="21"/>
                <w:highlight w:val="none"/>
              </w:rPr>
            </w:pPr>
            <w:r>
              <w:rPr>
                <w:rFonts w:hint="eastAsia" w:ascii="宋体" w:hAnsi="宋体" w:cs="宋体"/>
                <w:szCs w:val="21"/>
                <w:highlight w:val="none"/>
              </w:rPr>
              <w:t>商务10分</w:t>
            </w:r>
          </w:p>
        </w:tc>
        <w:tc>
          <w:tcPr>
            <w:tcW w:w="721" w:type="dxa"/>
            <w:vAlign w:val="center"/>
          </w:tcPr>
          <w:p w14:paraId="2211DDC2">
            <w:pPr>
              <w:snapToGri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2017" w:type="dxa"/>
            <w:vAlign w:val="center"/>
          </w:tcPr>
          <w:p w14:paraId="172A14F5">
            <w:pPr>
              <w:snapToGrid w:val="0"/>
              <w:spacing w:line="360" w:lineRule="auto"/>
              <w:jc w:val="center"/>
              <w:rPr>
                <w:rFonts w:ascii="宋体" w:hAnsi="宋体" w:cs="宋体"/>
                <w:szCs w:val="21"/>
                <w:highlight w:val="none"/>
              </w:rPr>
            </w:pPr>
            <w:r>
              <w:rPr>
                <w:rFonts w:hint="eastAsia" w:ascii="宋体" w:hAnsi="宋体" w:cs="宋体"/>
                <w:szCs w:val="21"/>
                <w:highlight w:val="none"/>
              </w:rPr>
              <w:t>价格</w:t>
            </w:r>
          </w:p>
          <w:p w14:paraId="4CC28402">
            <w:pPr>
              <w:snapToGrid w:val="0"/>
              <w:spacing w:line="360" w:lineRule="auto"/>
              <w:jc w:val="center"/>
              <w:rPr>
                <w:rFonts w:ascii="宋体" w:hAnsi="宋体" w:cs="宋体"/>
                <w:szCs w:val="21"/>
                <w:highlight w:val="none"/>
              </w:rPr>
            </w:pPr>
            <w:r>
              <w:rPr>
                <w:rFonts w:hint="eastAsia" w:ascii="宋体" w:hAnsi="宋体" w:cs="宋体"/>
                <w:szCs w:val="21"/>
                <w:highlight w:val="none"/>
              </w:rPr>
              <w:t>10分</w:t>
            </w:r>
          </w:p>
        </w:tc>
        <w:tc>
          <w:tcPr>
            <w:tcW w:w="4852" w:type="dxa"/>
            <w:vAlign w:val="center"/>
          </w:tcPr>
          <w:p w14:paraId="33172E2C">
            <w:pPr>
              <w:spacing w:line="360" w:lineRule="auto"/>
              <w:rPr>
                <w:rFonts w:ascii="宋体" w:hAnsi="宋体" w:cs="宋体"/>
                <w:szCs w:val="21"/>
                <w:highlight w:val="none"/>
              </w:rPr>
            </w:pPr>
            <w:r>
              <w:rPr>
                <w:rFonts w:hint="eastAsia" w:ascii="宋体" w:hAnsi="宋体" w:cs="宋体"/>
                <w:szCs w:val="21"/>
                <w:highlight w:val="none"/>
              </w:rPr>
              <w:t>根据大车装卸费、大车运输费、重大活动大拖车值守单价、20吨吊车、50吨吊车五项单价合计进行评审。</w:t>
            </w:r>
          </w:p>
          <w:p w14:paraId="1676A463">
            <w:pPr>
              <w:spacing w:line="360" w:lineRule="auto"/>
              <w:ind w:left="315" w:hanging="315" w:hangingChars="150"/>
              <w:rPr>
                <w:rFonts w:ascii="宋体" w:hAnsi="宋体" w:cs="宋体"/>
                <w:szCs w:val="21"/>
                <w:highlight w:val="none"/>
              </w:rPr>
            </w:pPr>
            <w:r>
              <w:rPr>
                <w:rFonts w:hint="eastAsia" w:ascii="宋体" w:hAnsi="宋体" w:cs="宋体"/>
                <w:szCs w:val="21"/>
                <w:highlight w:val="none"/>
              </w:rPr>
              <w:t>1）最低评审价为评审基准价，得10分。</w:t>
            </w:r>
          </w:p>
          <w:p w14:paraId="297FC431">
            <w:pPr>
              <w:spacing w:line="360" w:lineRule="auto"/>
              <w:ind w:left="315" w:hanging="315" w:hangingChars="150"/>
              <w:rPr>
                <w:rFonts w:ascii="宋体" w:hAnsi="宋体" w:cs="宋体"/>
                <w:szCs w:val="21"/>
                <w:highlight w:val="none"/>
              </w:rPr>
            </w:pPr>
            <w:r>
              <w:rPr>
                <w:rFonts w:hint="eastAsia" w:ascii="宋体" w:hAnsi="宋体" w:cs="宋体"/>
                <w:szCs w:val="21"/>
                <w:highlight w:val="none"/>
              </w:rPr>
              <w:t>2）按（评审基准价/评审价×10）的公式计算价格得分。</w:t>
            </w:r>
          </w:p>
        </w:tc>
      </w:tr>
      <w:tr w14:paraId="295E62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91" w:type="dxa"/>
            <w:vAlign w:val="center"/>
          </w:tcPr>
          <w:p w14:paraId="67C7E55A">
            <w:pPr>
              <w:snapToGrid w:val="0"/>
              <w:spacing w:line="360" w:lineRule="auto"/>
              <w:ind w:left="10" w:hanging="10" w:hangingChars="5"/>
              <w:jc w:val="center"/>
              <w:rPr>
                <w:rFonts w:ascii="宋体" w:hAnsi="宋体" w:cs="宋体"/>
                <w:szCs w:val="21"/>
                <w:highlight w:val="none"/>
              </w:rPr>
            </w:pPr>
            <w:r>
              <w:rPr>
                <w:rFonts w:hint="eastAsia" w:ascii="宋体" w:hAnsi="宋体" w:cs="宋体"/>
                <w:szCs w:val="21"/>
                <w:highlight w:val="none"/>
              </w:rPr>
              <w:t>业绩</w:t>
            </w:r>
          </w:p>
          <w:p w14:paraId="2761A91E">
            <w:pPr>
              <w:snapToGrid w:val="0"/>
              <w:spacing w:line="360" w:lineRule="auto"/>
              <w:jc w:val="center"/>
              <w:rPr>
                <w:rFonts w:ascii="宋体" w:hAnsi="宋体" w:cs="宋体"/>
                <w:szCs w:val="21"/>
                <w:highlight w:val="none"/>
              </w:rPr>
            </w:pPr>
            <w:r>
              <w:rPr>
                <w:rFonts w:hint="eastAsia" w:ascii="宋体" w:hAnsi="宋体" w:cs="宋体"/>
                <w:szCs w:val="21"/>
                <w:highlight w:val="none"/>
              </w:rPr>
              <w:t>10分</w:t>
            </w:r>
          </w:p>
        </w:tc>
        <w:tc>
          <w:tcPr>
            <w:tcW w:w="721" w:type="dxa"/>
            <w:vAlign w:val="center"/>
          </w:tcPr>
          <w:p w14:paraId="6D7890F8">
            <w:pPr>
              <w:snapToGri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2017" w:type="dxa"/>
            <w:vAlign w:val="center"/>
          </w:tcPr>
          <w:p w14:paraId="5F7200E3">
            <w:pPr>
              <w:snapToGrid w:val="0"/>
              <w:spacing w:line="360" w:lineRule="auto"/>
              <w:ind w:left="10" w:hanging="10" w:hangingChars="5"/>
              <w:jc w:val="center"/>
              <w:rPr>
                <w:rFonts w:ascii="宋体" w:hAnsi="宋体" w:cs="宋体"/>
                <w:szCs w:val="21"/>
                <w:highlight w:val="none"/>
              </w:rPr>
            </w:pPr>
            <w:r>
              <w:rPr>
                <w:rFonts w:hint="eastAsia" w:ascii="宋体" w:hAnsi="宋体" w:cs="宋体"/>
                <w:szCs w:val="21"/>
                <w:highlight w:val="none"/>
              </w:rPr>
              <w:t>业绩</w:t>
            </w:r>
          </w:p>
          <w:p w14:paraId="087C0A25">
            <w:pPr>
              <w:snapToGrid w:val="0"/>
              <w:spacing w:line="360" w:lineRule="auto"/>
              <w:ind w:left="10" w:hanging="10" w:hangingChars="5"/>
              <w:jc w:val="center"/>
              <w:rPr>
                <w:rFonts w:ascii="宋体" w:hAnsi="宋体" w:cs="宋体"/>
                <w:szCs w:val="21"/>
                <w:highlight w:val="none"/>
              </w:rPr>
            </w:pPr>
            <w:r>
              <w:rPr>
                <w:rFonts w:hint="eastAsia" w:ascii="宋体" w:hAnsi="宋体" w:cs="宋体"/>
                <w:szCs w:val="21"/>
                <w:highlight w:val="none"/>
              </w:rPr>
              <w:t>10分</w:t>
            </w:r>
          </w:p>
        </w:tc>
        <w:tc>
          <w:tcPr>
            <w:tcW w:w="4852" w:type="dxa"/>
            <w:vAlign w:val="center"/>
          </w:tcPr>
          <w:p w14:paraId="3BE3E9A6">
            <w:pPr>
              <w:spacing w:line="360" w:lineRule="auto"/>
              <w:rPr>
                <w:rFonts w:ascii="宋体" w:hAnsi="宋体" w:cs="宋体"/>
                <w:szCs w:val="21"/>
                <w:highlight w:val="none"/>
              </w:rPr>
            </w:pPr>
            <w:r>
              <w:rPr>
                <w:rFonts w:hint="eastAsia" w:ascii="宋体" w:hAnsi="宋体" w:cs="宋体"/>
                <w:szCs w:val="21"/>
                <w:highlight w:val="none"/>
              </w:rPr>
              <w:t>2019年1月1日起至今承担的同类项目业绩（以合同签订时间为准，提供复印件的须加盖公章），每提供一份合同得2分，满分10分。</w:t>
            </w:r>
          </w:p>
        </w:tc>
      </w:tr>
      <w:tr w14:paraId="783083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281" w:type="dxa"/>
            <w:gridSpan w:val="4"/>
            <w:tcBorders>
              <w:bottom w:val="single" w:color="auto" w:sz="12" w:space="0"/>
            </w:tcBorders>
            <w:vAlign w:val="center"/>
          </w:tcPr>
          <w:p w14:paraId="2752610B">
            <w:pPr>
              <w:spacing w:line="360" w:lineRule="auto"/>
              <w:ind w:left="315" w:hanging="315" w:hangingChars="150"/>
              <w:rPr>
                <w:rFonts w:ascii="宋体" w:hAnsi="宋体" w:cs="宋体"/>
                <w:highlight w:val="none"/>
              </w:rPr>
            </w:pPr>
            <w:r>
              <w:rPr>
                <w:rFonts w:hint="eastAsia" w:ascii="宋体" w:hAnsi="宋体" w:cs="宋体"/>
                <w:highlight w:val="none"/>
              </w:rPr>
              <w:t>1）各评委独立打分。</w:t>
            </w:r>
          </w:p>
          <w:p w14:paraId="05334439">
            <w:pPr>
              <w:spacing w:line="360" w:lineRule="auto"/>
              <w:ind w:left="315" w:hanging="315" w:hangingChars="150"/>
              <w:rPr>
                <w:rFonts w:ascii="宋体" w:hAnsi="宋体" w:cs="宋体"/>
                <w:highlight w:val="none"/>
              </w:rPr>
            </w:pPr>
            <w:r>
              <w:rPr>
                <w:rFonts w:hint="eastAsia" w:ascii="宋体" w:hAnsi="宋体" w:cs="宋体"/>
                <w:highlight w:val="none"/>
              </w:rPr>
              <w:t>2）评委打分超过得分界限或未按本表规定赋分时，该评委的打分无效，不计入汇总分。</w:t>
            </w:r>
          </w:p>
          <w:p w14:paraId="427A141B">
            <w:pPr>
              <w:spacing w:line="360" w:lineRule="auto"/>
              <w:ind w:left="315" w:hanging="315" w:hangingChars="150"/>
              <w:rPr>
                <w:rFonts w:ascii="宋体" w:hAnsi="宋体" w:cs="宋体"/>
                <w:szCs w:val="21"/>
                <w:highlight w:val="none"/>
              </w:rPr>
            </w:pPr>
            <w:r>
              <w:rPr>
                <w:rFonts w:hint="eastAsia" w:ascii="宋体" w:hAnsi="宋体" w:cs="宋体"/>
                <w:highlight w:val="none"/>
              </w:rPr>
              <w:t>3）各种计算采用插入法，最终结果数字保留二位小数，第三位“四舍五入”。</w:t>
            </w:r>
          </w:p>
        </w:tc>
      </w:tr>
    </w:tbl>
    <w:p w14:paraId="1C232581">
      <w:pPr>
        <w:pStyle w:val="3"/>
        <w:spacing w:before="312" w:beforeLines="100" w:after="312" w:afterLines="100" w:line="360" w:lineRule="auto"/>
        <w:rPr>
          <w:rStyle w:val="28"/>
          <w:rFonts w:ascii="宋体" w:hAnsi="宋体" w:cs="宋体"/>
          <w:b/>
          <w:bCs/>
          <w:sz w:val="36"/>
          <w:szCs w:val="36"/>
          <w:highlight w:val="none"/>
        </w:rPr>
      </w:pPr>
      <w:r>
        <w:rPr>
          <w:rFonts w:hint="eastAsia" w:ascii="宋体" w:hAnsi="宋体" w:cs="宋体"/>
          <w:b/>
          <w:sz w:val="44"/>
          <w:szCs w:val="44"/>
          <w:highlight w:val="none"/>
        </w:rPr>
        <w:br w:type="page"/>
      </w:r>
      <w:bookmarkStart w:id="56" w:name="_Toc16874"/>
      <w:r>
        <w:rPr>
          <w:rStyle w:val="28"/>
          <w:rFonts w:hint="eastAsia" w:ascii="宋体" w:hAnsi="宋体" w:cs="宋体"/>
          <w:b/>
          <w:bCs/>
          <w:sz w:val="36"/>
          <w:szCs w:val="36"/>
          <w:highlight w:val="none"/>
        </w:rPr>
        <w:t>第六章 投标文件格式</w:t>
      </w:r>
      <w:bookmarkEnd w:id="56"/>
    </w:p>
    <w:p w14:paraId="1412F329">
      <w:pPr>
        <w:jc w:val="center"/>
        <w:outlineLvl w:val="0"/>
        <w:rPr>
          <w:rFonts w:ascii="宋体" w:hAnsi="宋体" w:cs="宋体"/>
          <w:b/>
          <w:sz w:val="44"/>
          <w:szCs w:val="44"/>
          <w:highlight w:val="none"/>
        </w:rPr>
      </w:pPr>
      <w:r>
        <w:rPr>
          <w:rFonts w:hint="eastAsia" w:ascii="宋体" w:hAnsi="宋体" w:cs="宋体"/>
          <w:b/>
          <w:sz w:val="44"/>
          <w:szCs w:val="44"/>
          <w:highlight w:val="none"/>
        </w:rPr>
        <w:br w:type="page"/>
      </w:r>
      <w:bookmarkStart w:id="57" w:name="_Toc9227"/>
    </w:p>
    <w:p w14:paraId="4F9BEF43">
      <w:pPr>
        <w:jc w:val="center"/>
        <w:outlineLvl w:val="0"/>
        <w:rPr>
          <w:rFonts w:ascii="宋体" w:hAnsi="宋体" w:cs="宋体"/>
          <w:b/>
          <w:sz w:val="44"/>
          <w:szCs w:val="44"/>
          <w:highlight w:val="none"/>
        </w:rPr>
      </w:pPr>
    </w:p>
    <w:bookmarkEnd w:id="57"/>
    <w:p w14:paraId="3FF674EE">
      <w:pPr>
        <w:jc w:val="center"/>
        <w:outlineLvl w:val="0"/>
        <w:rPr>
          <w:rFonts w:ascii="宋体" w:hAnsi="宋体" w:cs="宋体"/>
          <w:b/>
          <w:sz w:val="44"/>
          <w:szCs w:val="44"/>
          <w:highlight w:val="none"/>
        </w:rPr>
      </w:pPr>
      <w:bookmarkStart w:id="58" w:name="_Toc20970"/>
      <w:bookmarkStart w:id="59" w:name="_Toc16053"/>
      <w:bookmarkStart w:id="60" w:name="_Toc640"/>
      <w:r>
        <w:rPr>
          <w:rFonts w:hint="eastAsia" w:ascii="宋体" w:hAnsi="宋体" w:cs="宋体"/>
          <w:b/>
          <w:sz w:val="44"/>
          <w:szCs w:val="44"/>
          <w:highlight w:val="none"/>
        </w:rPr>
        <w:t>政府采购服务项目</w:t>
      </w:r>
      <w:bookmarkEnd w:id="58"/>
      <w:bookmarkEnd w:id="59"/>
      <w:bookmarkEnd w:id="60"/>
    </w:p>
    <w:p w14:paraId="7E6C5E57">
      <w:pPr>
        <w:jc w:val="center"/>
        <w:rPr>
          <w:rFonts w:ascii="宋体" w:hAnsi="宋体" w:cs="宋体"/>
          <w:b/>
          <w:sz w:val="24"/>
          <w:szCs w:val="24"/>
          <w:highlight w:val="none"/>
        </w:rPr>
      </w:pPr>
    </w:p>
    <w:p w14:paraId="19E8CCE3">
      <w:pPr>
        <w:jc w:val="center"/>
        <w:rPr>
          <w:rFonts w:ascii="宋体" w:hAnsi="宋体" w:cs="宋体"/>
          <w:b/>
          <w:sz w:val="24"/>
          <w:szCs w:val="24"/>
          <w:highlight w:val="none"/>
        </w:rPr>
      </w:pPr>
    </w:p>
    <w:p w14:paraId="14E2918A">
      <w:pPr>
        <w:jc w:val="center"/>
        <w:rPr>
          <w:rFonts w:ascii="宋体" w:hAnsi="宋体" w:cs="宋体"/>
          <w:b/>
          <w:sz w:val="24"/>
          <w:szCs w:val="24"/>
          <w:highlight w:val="none"/>
        </w:rPr>
      </w:pPr>
    </w:p>
    <w:p w14:paraId="38F1F0BB">
      <w:pPr>
        <w:jc w:val="center"/>
        <w:rPr>
          <w:rFonts w:ascii="宋体" w:hAnsi="宋体" w:cs="宋体"/>
          <w:b/>
          <w:sz w:val="24"/>
          <w:szCs w:val="24"/>
          <w:highlight w:val="none"/>
        </w:rPr>
      </w:pPr>
    </w:p>
    <w:p w14:paraId="4E9EAECF">
      <w:pPr>
        <w:jc w:val="center"/>
        <w:rPr>
          <w:rFonts w:ascii="宋体" w:hAnsi="宋体" w:cs="宋体"/>
          <w:b/>
          <w:sz w:val="24"/>
          <w:szCs w:val="24"/>
          <w:highlight w:val="none"/>
        </w:rPr>
      </w:pPr>
    </w:p>
    <w:p w14:paraId="6ACB841F">
      <w:pPr>
        <w:jc w:val="center"/>
        <w:rPr>
          <w:rFonts w:ascii="宋体" w:hAnsi="宋体" w:cs="宋体"/>
          <w:b/>
          <w:sz w:val="84"/>
          <w:szCs w:val="84"/>
          <w:highlight w:val="none"/>
        </w:rPr>
      </w:pPr>
      <w:r>
        <w:rPr>
          <w:rFonts w:hint="eastAsia" w:ascii="宋体" w:hAnsi="宋体" w:cs="宋体"/>
          <w:b/>
          <w:sz w:val="84"/>
          <w:szCs w:val="84"/>
          <w:highlight w:val="none"/>
        </w:rPr>
        <w:t>投 标 文 件</w:t>
      </w:r>
    </w:p>
    <w:p w14:paraId="2CD561EE">
      <w:pPr>
        <w:jc w:val="center"/>
        <w:rPr>
          <w:rFonts w:ascii="宋体" w:hAnsi="宋体" w:cs="宋体"/>
          <w:b/>
          <w:sz w:val="36"/>
          <w:szCs w:val="36"/>
          <w:highlight w:val="none"/>
        </w:rPr>
      </w:pPr>
    </w:p>
    <w:p w14:paraId="1FBFD909">
      <w:pPr>
        <w:pStyle w:val="4"/>
        <w:jc w:val="center"/>
        <w:rPr>
          <w:rFonts w:ascii="宋体" w:hAnsi="宋体" w:eastAsia="宋体" w:cs="宋体"/>
          <w:highlight w:val="none"/>
        </w:rPr>
      </w:pPr>
      <w:bookmarkStart w:id="61" w:name="_Toc37938441"/>
      <w:bookmarkStart w:id="62" w:name="_Toc17277"/>
      <w:bookmarkStart w:id="63" w:name="_Toc16943"/>
      <w:r>
        <w:rPr>
          <w:rFonts w:hint="eastAsia" w:ascii="宋体" w:hAnsi="宋体" w:eastAsia="宋体" w:cs="宋体"/>
          <w:highlight w:val="none"/>
        </w:rPr>
        <w:t>（资格部分）</w:t>
      </w:r>
      <w:bookmarkEnd w:id="61"/>
      <w:bookmarkEnd w:id="62"/>
      <w:bookmarkEnd w:id="63"/>
    </w:p>
    <w:p w14:paraId="73FD22EA">
      <w:pPr>
        <w:jc w:val="center"/>
        <w:rPr>
          <w:rFonts w:ascii="宋体" w:hAnsi="宋体" w:cs="宋体"/>
          <w:b/>
          <w:sz w:val="24"/>
          <w:szCs w:val="24"/>
          <w:highlight w:val="none"/>
        </w:rPr>
      </w:pPr>
    </w:p>
    <w:p w14:paraId="4B3537E4">
      <w:pPr>
        <w:jc w:val="center"/>
        <w:rPr>
          <w:rFonts w:ascii="宋体" w:hAnsi="宋体" w:cs="宋体"/>
          <w:sz w:val="24"/>
          <w:szCs w:val="24"/>
          <w:highlight w:val="none"/>
        </w:rPr>
      </w:pPr>
    </w:p>
    <w:p w14:paraId="09C5CB16">
      <w:pPr>
        <w:jc w:val="center"/>
        <w:rPr>
          <w:rFonts w:ascii="宋体" w:hAnsi="宋体" w:cs="宋体"/>
          <w:sz w:val="24"/>
          <w:szCs w:val="24"/>
          <w:highlight w:val="none"/>
        </w:rPr>
      </w:pPr>
    </w:p>
    <w:p w14:paraId="60D00663">
      <w:pPr>
        <w:tabs>
          <w:tab w:val="left" w:pos="2628"/>
        </w:tabs>
        <w:spacing w:line="360" w:lineRule="auto"/>
        <w:ind w:left="2497" w:leftChars="544" w:hanging="1355" w:hangingChars="450"/>
        <w:jc w:val="left"/>
        <w:rPr>
          <w:rFonts w:ascii="宋体" w:hAnsi="宋体" w:cs="宋体"/>
          <w:b/>
          <w:sz w:val="30"/>
          <w:szCs w:val="30"/>
          <w:highlight w:val="none"/>
          <w:u w:val="single"/>
        </w:rPr>
      </w:pPr>
      <w:r>
        <w:rPr>
          <w:rFonts w:hint="eastAsia" w:ascii="宋体" w:hAnsi="宋体" w:cs="宋体"/>
          <w:b/>
          <w:sz w:val="30"/>
          <w:szCs w:val="30"/>
          <w:highlight w:val="none"/>
        </w:rPr>
        <w:t>项目名称：</w:t>
      </w:r>
      <w:r>
        <w:rPr>
          <w:rFonts w:hint="eastAsia" w:ascii="宋体" w:hAnsi="宋体" w:cs="宋体"/>
          <w:b/>
          <w:sz w:val="30"/>
          <w:szCs w:val="30"/>
          <w:highlight w:val="none"/>
          <w:u w:val="single"/>
        </w:rPr>
        <w:t xml:space="preserve">                          </w:t>
      </w:r>
    </w:p>
    <w:p w14:paraId="5B3C5015">
      <w:pPr>
        <w:tabs>
          <w:tab w:val="left" w:pos="2628"/>
        </w:tabs>
        <w:spacing w:line="360" w:lineRule="auto"/>
        <w:ind w:left="2497" w:leftChars="544" w:hanging="1355" w:hangingChars="450"/>
        <w:jc w:val="left"/>
        <w:rPr>
          <w:rFonts w:ascii="宋体" w:hAnsi="宋体" w:cs="宋体"/>
          <w:b/>
          <w:sz w:val="30"/>
          <w:szCs w:val="30"/>
          <w:highlight w:val="none"/>
          <w:u w:val="single"/>
        </w:rPr>
      </w:pPr>
      <w:r>
        <w:rPr>
          <w:rFonts w:hint="eastAsia" w:ascii="宋体" w:hAnsi="宋体" w:cs="宋体"/>
          <w:b/>
          <w:sz w:val="30"/>
          <w:szCs w:val="30"/>
          <w:highlight w:val="none"/>
        </w:rPr>
        <w:t>项目编号：</w:t>
      </w:r>
      <w:r>
        <w:rPr>
          <w:rFonts w:hint="eastAsia" w:ascii="宋体" w:hAnsi="宋体" w:cs="宋体"/>
          <w:b/>
          <w:sz w:val="30"/>
          <w:szCs w:val="30"/>
          <w:highlight w:val="none"/>
          <w:u w:val="single"/>
        </w:rPr>
        <w:t xml:space="preserve">                          </w:t>
      </w:r>
    </w:p>
    <w:p w14:paraId="24FD51A2">
      <w:pPr>
        <w:tabs>
          <w:tab w:val="left" w:pos="2628"/>
        </w:tabs>
        <w:spacing w:line="360" w:lineRule="auto"/>
        <w:ind w:left="2497" w:leftChars="544" w:hanging="1355" w:hangingChars="450"/>
        <w:jc w:val="left"/>
        <w:rPr>
          <w:rFonts w:ascii="宋体" w:hAnsi="宋体" w:cs="宋体"/>
          <w:b/>
          <w:sz w:val="30"/>
          <w:szCs w:val="30"/>
          <w:highlight w:val="none"/>
        </w:rPr>
      </w:pPr>
      <w:r>
        <w:rPr>
          <w:rFonts w:hint="eastAsia" w:ascii="宋体" w:hAnsi="宋体" w:cs="宋体"/>
          <w:b/>
          <w:sz w:val="30"/>
          <w:szCs w:val="30"/>
          <w:highlight w:val="none"/>
        </w:rPr>
        <w:t>包    号：</w:t>
      </w:r>
      <w:r>
        <w:rPr>
          <w:rFonts w:hint="eastAsia" w:ascii="宋体" w:hAnsi="宋体" w:cs="宋体"/>
          <w:b/>
          <w:sz w:val="30"/>
          <w:szCs w:val="30"/>
          <w:highlight w:val="none"/>
          <w:u w:val="single"/>
        </w:rPr>
        <w:t xml:space="preserve">                          </w:t>
      </w:r>
    </w:p>
    <w:p w14:paraId="7D9FC032">
      <w:pPr>
        <w:tabs>
          <w:tab w:val="left" w:pos="2628"/>
        </w:tabs>
        <w:spacing w:line="360" w:lineRule="auto"/>
        <w:jc w:val="left"/>
        <w:rPr>
          <w:rFonts w:ascii="宋体" w:hAnsi="宋体" w:cs="宋体"/>
          <w:b/>
          <w:bCs/>
          <w:sz w:val="30"/>
          <w:szCs w:val="30"/>
          <w:highlight w:val="none"/>
        </w:rPr>
      </w:pPr>
    </w:p>
    <w:p w14:paraId="70C0B2A0">
      <w:pPr>
        <w:spacing w:line="360" w:lineRule="auto"/>
        <w:rPr>
          <w:rFonts w:ascii="宋体" w:hAnsi="宋体" w:cs="宋体"/>
          <w:sz w:val="44"/>
          <w:szCs w:val="44"/>
          <w:highlight w:val="none"/>
        </w:rPr>
      </w:pPr>
    </w:p>
    <w:p w14:paraId="2C314C42">
      <w:pPr>
        <w:jc w:val="center"/>
        <w:rPr>
          <w:rFonts w:ascii="宋体" w:hAnsi="宋体" w:cs="宋体"/>
          <w:sz w:val="44"/>
          <w:szCs w:val="44"/>
          <w:highlight w:val="none"/>
        </w:rPr>
      </w:pPr>
    </w:p>
    <w:p w14:paraId="21683C2F">
      <w:pPr>
        <w:spacing w:after="156" w:afterLines="50" w:line="360" w:lineRule="auto"/>
        <w:ind w:firstLine="1506" w:firstLineChars="500"/>
        <w:rPr>
          <w:rFonts w:ascii="宋体" w:hAnsi="宋体" w:cs="宋体"/>
          <w:b/>
          <w:sz w:val="30"/>
          <w:szCs w:val="30"/>
          <w:highlight w:val="none"/>
        </w:rPr>
      </w:pPr>
      <w:r>
        <w:rPr>
          <w:rFonts w:hint="eastAsia" w:ascii="宋体" w:hAnsi="宋体" w:cs="宋体"/>
          <w:b/>
          <w:sz w:val="30"/>
          <w:szCs w:val="30"/>
          <w:highlight w:val="none"/>
        </w:rPr>
        <w:t>供应商名称：</w:t>
      </w:r>
      <w:r>
        <w:rPr>
          <w:rFonts w:hint="eastAsia" w:ascii="宋体" w:hAnsi="宋体" w:cs="宋体"/>
          <w:b/>
          <w:sz w:val="30"/>
          <w:szCs w:val="30"/>
          <w:highlight w:val="none"/>
          <w:u w:val="single"/>
        </w:rPr>
        <w:t xml:space="preserve">                </w:t>
      </w:r>
      <w:r>
        <w:rPr>
          <w:rFonts w:hint="eastAsia" w:ascii="宋体" w:hAnsi="宋体" w:cs="宋体"/>
          <w:b/>
          <w:sz w:val="30"/>
          <w:szCs w:val="30"/>
          <w:highlight w:val="none"/>
        </w:rPr>
        <w:t>（公章）</w:t>
      </w:r>
    </w:p>
    <w:p w14:paraId="310232D3">
      <w:pPr>
        <w:spacing w:before="156" w:beforeLines="50" w:line="360" w:lineRule="auto"/>
        <w:ind w:firstLine="1506" w:firstLineChars="500"/>
        <w:rPr>
          <w:rFonts w:ascii="宋体" w:hAnsi="宋体" w:cs="宋体"/>
          <w:b/>
          <w:sz w:val="30"/>
          <w:szCs w:val="30"/>
          <w:highlight w:val="none"/>
        </w:rPr>
      </w:pPr>
      <w:r>
        <w:rPr>
          <w:rFonts w:hint="eastAsia" w:ascii="宋体" w:hAnsi="宋体" w:cs="宋体"/>
          <w:b/>
          <w:sz w:val="30"/>
          <w:szCs w:val="30"/>
          <w:highlight w:val="none"/>
        </w:rPr>
        <w:t>日      期：</w:t>
      </w:r>
      <w:r>
        <w:rPr>
          <w:rFonts w:hint="eastAsia" w:ascii="宋体" w:hAnsi="宋体" w:cs="宋体"/>
          <w:b/>
          <w:sz w:val="30"/>
          <w:szCs w:val="30"/>
          <w:highlight w:val="none"/>
          <w:u w:val="single"/>
        </w:rPr>
        <w:t xml:space="preserve">      </w:t>
      </w:r>
      <w:r>
        <w:rPr>
          <w:rFonts w:hint="eastAsia" w:ascii="宋体" w:hAnsi="宋体" w:cs="宋体"/>
          <w:b/>
          <w:sz w:val="30"/>
          <w:szCs w:val="30"/>
          <w:highlight w:val="none"/>
        </w:rPr>
        <w:t>年</w:t>
      </w:r>
      <w:r>
        <w:rPr>
          <w:rFonts w:hint="eastAsia" w:ascii="宋体" w:hAnsi="宋体" w:cs="宋体"/>
          <w:b/>
          <w:sz w:val="30"/>
          <w:szCs w:val="30"/>
          <w:highlight w:val="none"/>
          <w:u w:val="single"/>
        </w:rPr>
        <w:t xml:space="preserve">     </w:t>
      </w:r>
      <w:r>
        <w:rPr>
          <w:rFonts w:hint="eastAsia" w:ascii="宋体" w:hAnsi="宋体" w:cs="宋体"/>
          <w:b/>
          <w:sz w:val="30"/>
          <w:szCs w:val="30"/>
          <w:highlight w:val="none"/>
        </w:rPr>
        <w:t>月</w:t>
      </w:r>
      <w:r>
        <w:rPr>
          <w:rFonts w:hint="eastAsia" w:ascii="宋体" w:hAnsi="宋体" w:cs="宋体"/>
          <w:b/>
          <w:sz w:val="30"/>
          <w:szCs w:val="30"/>
          <w:highlight w:val="none"/>
          <w:u w:val="single"/>
        </w:rPr>
        <w:t xml:space="preserve">     </w:t>
      </w:r>
      <w:r>
        <w:rPr>
          <w:rFonts w:hint="eastAsia" w:ascii="宋体" w:hAnsi="宋体" w:cs="宋体"/>
          <w:b/>
          <w:sz w:val="30"/>
          <w:szCs w:val="30"/>
          <w:highlight w:val="none"/>
        </w:rPr>
        <w:t>日</w:t>
      </w:r>
    </w:p>
    <w:p w14:paraId="2D272768">
      <w:pPr>
        <w:spacing w:line="360" w:lineRule="auto"/>
        <w:ind w:left="1524"/>
        <w:rPr>
          <w:rFonts w:ascii="宋体" w:hAnsi="宋体" w:cs="宋体"/>
          <w:sz w:val="24"/>
          <w:szCs w:val="24"/>
          <w:highlight w:val="none"/>
        </w:rPr>
      </w:pPr>
    </w:p>
    <w:p w14:paraId="079567A1">
      <w:pPr>
        <w:spacing w:before="312" w:beforeLines="100" w:after="312" w:afterLines="100" w:line="360" w:lineRule="auto"/>
        <w:jc w:val="center"/>
        <w:rPr>
          <w:rFonts w:ascii="宋体" w:hAnsi="宋体" w:cs="宋体"/>
          <w:b/>
          <w:bCs/>
          <w:spacing w:val="4"/>
          <w:sz w:val="36"/>
          <w:szCs w:val="36"/>
          <w:highlight w:val="none"/>
        </w:rPr>
      </w:pPr>
      <w:r>
        <w:rPr>
          <w:rFonts w:hint="eastAsia" w:ascii="宋体" w:hAnsi="宋体" w:cs="宋体"/>
          <w:b/>
          <w:bCs/>
          <w:spacing w:val="4"/>
          <w:sz w:val="36"/>
          <w:szCs w:val="36"/>
          <w:highlight w:val="none"/>
        </w:rPr>
        <w:br w:type="page"/>
      </w:r>
      <w:r>
        <w:rPr>
          <w:rFonts w:hint="eastAsia" w:ascii="宋体" w:hAnsi="宋体" w:cs="宋体"/>
          <w:b/>
          <w:bCs/>
          <w:spacing w:val="4"/>
          <w:sz w:val="36"/>
          <w:szCs w:val="36"/>
          <w:highlight w:val="none"/>
        </w:rPr>
        <w:t>目 录</w:t>
      </w:r>
    </w:p>
    <w:p w14:paraId="51A28ABC">
      <w:pPr>
        <w:numPr>
          <w:ilvl w:val="0"/>
          <w:numId w:val="3"/>
        </w:numPr>
        <w:spacing w:line="480" w:lineRule="auto"/>
        <w:rPr>
          <w:rFonts w:ascii="宋体" w:hAnsi="宋体" w:cs="宋体"/>
          <w:spacing w:val="4"/>
          <w:sz w:val="24"/>
          <w:szCs w:val="24"/>
          <w:highlight w:val="none"/>
        </w:rPr>
      </w:pPr>
      <w:r>
        <w:rPr>
          <w:rFonts w:hint="eastAsia" w:ascii="宋体" w:hAnsi="宋体" w:cs="宋体"/>
          <w:spacing w:val="4"/>
          <w:sz w:val="24"/>
          <w:szCs w:val="24"/>
          <w:highlight w:val="none"/>
        </w:rPr>
        <w:t>法人代表授权书</w:t>
      </w:r>
    </w:p>
    <w:p w14:paraId="4FA89B66">
      <w:pPr>
        <w:numPr>
          <w:ilvl w:val="0"/>
          <w:numId w:val="3"/>
        </w:numPr>
        <w:spacing w:line="480" w:lineRule="auto"/>
        <w:rPr>
          <w:rFonts w:ascii="宋体" w:hAnsi="宋体" w:cs="宋体"/>
          <w:spacing w:val="4"/>
          <w:sz w:val="24"/>
          <w:szCs w:val="24"/>
          <w:highlight w:val="none"/>
        </w:rPr>
      </w:pPr>
      <w:r>
        <w:rPr>
          <w:rFonts w:hint="eastAsia" w:ascii="宋体" w:hAnsi="宋体" w:cs="宋体"/>
          <w:spacing w:val="4"/>
          <w:sz w:val="24"/>
          <w:szCs w:val="24"/>
          <w:highlight w:val="none"/>
        </w:rPr>
        <w:t>陕西省政府采购供应商拒绝政府采购领域商业贿赂承诺书</w:t>
      </w:r>
    </w:p>
    <w:p w14:paraId="0D9D2BAC">
      <w:pPr>
        <w:numPr>
          <w:ilvl w:val="0"/>
          <w:numId w:val="3"/>
        </w:numPr>
        <w:spacing w:line="480" w:lineRule="auto"/>
        <w:rPr>
          <w:rFonts w:ascii="宋体" w:hAnsi="宋体" w:cs="宋体"/>
          <w:sz w:val="32"/>
          <w:highlight w:val="none"/>
        </w:rPr>
      </w:pPr>
      <w:r>
        <w:rPr>
          <w:rFonts w:hint="eastAsia" w:ascii="宋体" w:hAnsi="宋体" w:cs="宋体"/>
          <w:spacing w:val="4"/>
          <w:sz w:val="24"/>
          <w:szCs w:val="24"/>
          <w:highlight w:val="none"/>
        </w:rPr>
        <w:t>资格证明文件</w:t>
      </w:r>
    </w:p>
    <w:p w14:paraId="1EB090BE">
      <w:pPr>
        <w:spacing w:before="312" w:beforeLines="100" w:after="312" w:afterLines="100" w:line="360" w:lineRule="auto"/>
        <w:jc w:val="center"/>
        <w:rPr>
          <w:rFonts w:ascii="宋体" w:hAnsi="宋体" w:cs="宋体"/>
          <w:b/>
          <w:spacing w:val="4"/>
          <w:sz w:val="36"/>
          <w:szCs w:val="36"/>
          <w:highlight w:val="none"/>
        </w:rPr>
      </w:pPr>
      <w:r>
        <w:rPr>
          <w:rFonts w:hint="eastAsia" w:ascii="宋体" w:hAnsi="宋体" w:cs="宋体"/>
          <w:sz w:val="28"/>
          <w:highlight w:val="none"/>
        </w:rPr>
        <w:br w:type="page"/>
      </w:r>
      <w:bookmarkStart w:id="64" w:name="_Toc28285"/>
      <w:bookmarkStart w:id="65" w:name="_Toc9120"/>
      <w:bookmarkStart w:id="66" w:name="_Toc4025"/>
      <w:r>
        <w:rPr>
          <w:rFonts w:hint="eastAsia" w:ascii="宋体" w:hAnsi="宋体" w:cs="宋体"/>
          <w:b/>
          <w:spacing w:val="4"/>
          <w:sz w:val="36"/>
          <w:szCs w:val="36"/>
          <w:highlight w:val="none"/>
        </w:rPr>
        <w:t>一、法人代表授权书</w:t>
      </w:r>
      <w:bookmarkEnd w:id="64"/>
      <w:bookmarkEnd w:id="65"/>
      <w:bookmarkEnd w:id="66"/>
    </w:p>
    <w:p w14:paraId="1E296CAA">
      <w:pPr>
        <w:spacing w:line="360" w:lineRule="auto"/>
        <w:rPr>
          <w:rFonts w:ascii="宋体" w:hAnsi="宋体" w:cs="宋体"/>
          <w:spacing w:val="4"/>
          <w:szCs w:val="21"/>
          <w:highlight w:val="none"/>
        </w:rPr>
      </w:pPr>
      <w:r>
        <w:rPr>
          <w:rFonts w:hint="eastAsia" w:ascii="宋体" w:hAnsi="宋体" w:cs="宋体"/>
          <w:spacing w:val="4"/>
          <w:szCs w:val="21"/>
          <w:highlight w:val="none"/>
        </w:rPr>
        <w:t>致：西北（陕西）国际招标有限公司</w:t>
      </w:r>
    </w:p>
    <w:p w14:paraId="2B5F67D4">
      <w:pPr>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u w:val="single"/>
        </w:rPr>
        <w:t>（供应商名称）</w:t>
      </w:r>
      <w:r>
        <w:rPr>
          <w:rFonts w:hint="eastAsia" w:ascii="宋体" w:hAnsi="宋体" w:cs="宋体"/>
          <w:spacing w:val="4"/>
          <w:szCs w:val="21"/>
          <w:highlight w:val="none"/>
        </w:rPr>
        <w:t>按中华人民共和国法律于</w:t>
      </w:r>
      <w:r>
        <w:rPr>
          <w:rFonts w:hint="eastAsia" w:ascii="宋体" w:hAnsi="宋体" w:cs="宋体"/>
          <w:spacing w:val="4"/>
          <w:szCs w:val="21"/>
          <w:highlight w:val="none"/>
          <w:u w:val="single"/>
        </w:rPr>
        <w:t>（     年   月   日）</w:t>
      </w:r>
      <w:r>
        <w:rPr>
          <w:rFonts w:hint="eastAsia" w:ascii="宋体" w:hAnsi="宋体" w:cs="宋体"/>
          <w:spacing w:val="4"/>
          <w:szCs w:val="21"/>
          <w:highlight w:val="none"/>
        </w:rPr>
        <w:t>成立，现注册地址为</w:t>
      </w:r>
      <w:r>
        <w:rPr>
          <w:rFonts w:hint="eastAsia" w:ascii="宋体" w:hAnsi="宋体" w:cs="宋体"/>
          <w:spacing w:val="4"/>
          <w:szCs w:val="21"/>
          <w:highlight w:val="none"/>
          <w:u w:val="single"/>
        </w:rPr>
        <w:t>（ 填写完整的地址信息 ）</w:t>
      </w:r>
      <w:r>
        <w:rPr>
          <w:rFonts w:hint="eastAsia" w:ascii="宋体" w:hAnsi="宋体" w:cs="宋体"/>
          <w:spacing w:val="4"/>
          <w:szCs w:val="21"/>
          <w:highlight w:val="none"/>
        </w:rPr>
        <w:t>，营业（办公）地址为</w:t>
      </w:r>
      <w:r>
        <w:rPr>
          <w:rFonts w:hint="eastAsia" w:ascii="宋体" w:hAnsi="宋体" w:cs="宋体"/>
          <w:spacing w:val="4"/>
          <w:szCs w:val="21"/>
          <w:highlight w:val="none"/>
          <w:u w:val="single"/>
        </w:rPr>
        <w:t>（  填写完整的地址信息  ）</w:t>
      </w:r>
      <w:r>
        <w:rPr>
          <w:rFonts w:hint="eastAsia" w:ascii="宋体" w:hAnsi="宋体" w:cs="宋体"/>
          <w:spacing w:val="4"/>
          <w:szCs w:val="21"/>
          <w:highlight w:val="none"/>
        </w:rPr>
        <w:t>正式联系电话为</w:t>
      </w:r>
      <w:r>
        <w:rPr>
          <w:rFonts w:hint="eastAsia" w:ascii="宋体" w:hAnsi="宋体" w:cs="宋体"/>
          <w:spacing w:val="4"/>
          <w:szCs w:val="21"/>
          <w:highlight w:val="none"/>
          <w:u w:val="single"/>
        </w:rPr>
        <w:t>（             ）</w:t>
      </w:r>
      <w:r>
        <w:rPr>
          <w:rFonts w:hint="eastAsia" w:ascii="宋体" w:hAnsi="宋体" w:cs="宋体"/>
          <w:spacing w:val="4"/>
          <w:szCs w:val="21"/>
          <w:highlight w:val="none"/>
        </w:rPr>
        <w:t>。</w:t>
      </w:r>
      <w:r>
        <w:rPr>
          <w:rFonts w:hint="eastAsia" w:ascii="宋体" w:hAnsi="宋体" w:cs="宋体"/>
          <w:spacing w:val="4"/>
          <w:szCs w:val="21"/>
          <w:highlight w:val="none"/>
          <w:u w:val="single"/>
        </w:rPr>
        <w:t xml:space="preserve"> （法定代表人姓名） </w:t>
      </w:r>
      <w:r>
        <w:rPr>
          <w:rFonts w:hint="eastAsia" w:ascii="宋体" w:hAnsi="宋体" w:cs="宋体"/>
          <w:spacing w:val="4"/>
          <w:szCs w:val="21"/>
          <w:highlight w:val="none"/>
        </w:rPr>
        <w:t xml:space="preserve">特授权 </w:t>
      </w:r>
      <w:r>
        <w:rPr>
          <w:rFonts w:hint="eastAsia" w:ascii="宋体" w:hAnsi="宋体" w:cs="宋体"/>
          <w:spacing w:val="4"/>
          <w:szCs w:val="21"/>
          <w:highlight w:val="none"/>
          <w:u w:val="single"/>
        </w:rPr>
        <w:t xml:space="preserve">（被授权人姓名） </w:t>
      </w:r>
      <w:r>
        <w:rPr>
          <w:rFonts w:hint="eastAsia" w:ascii="宋体" w:hAnsi="宋体" w:cs="宋体"/>
          <w:spacing w:val="4"/>
          <w:szCs w:val="21"/>
          <w:highlight w:val="none"/>
        </w:rPr>
        <w:t xml:space="preserve">代表我公司全权办理针对本次政府采购 </w:t>
      </w:r>
      <w:r>
        <w:rPr>
          <w:rFonts w:hint="eastAsia" w:ascii="宋体" w:hAnsi="宋体" w:cs="宋体"/>
          <w:spacing w:val="4"/>
          <w:szCs w:val="21"/>
          <w:highlight w:val="none"/>
          <w:u w:val="single"/>
        </w:rPr>
        <w:t xml:space="preserve">（招标项目名称和项目编号） </w:t>
      </w:r>
      <w:r>
        <w:rPr>
          <w:rFonts w:hint="eastAsia" w:ascii="宋体" w:hAnsi="宋体" w:cs="宋体"/>
          <w:spacing w:val="4"/>
          <w:szCs w:val="21"/>
          <w:highlight w:val="none"/>
        </w:rPr>
        <w:t>项目的投标、谈判、签约等具体工作，并签署全部有关的文件、协议及合同。</w:t>
      </w:r>
    </w:p>
    <w:p w14:paraId="3D591855">
      <w:pPr>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我公司对被授权人的签名负全部责任。</w:t>
      </w:r>
    </w:p>
    <w:p w14:paraId="222A3333">
      <w:pPr>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本授权书于</w:t>
      </w:r>
      <w:r>
        <w:rPr>
          <w:rFonts w:hint="eastAsia" w:ascii="宋体" w:hAnsi="宋体" w:cs="宋体"/>
          <w:spacing w:val="4"/>
          <w:szCs w:val="21"/>
          <w:highlight w:val="none"/>
          <w:u w:val="single"/>
        </w:rPr>
        <w:t xml:space="preserve">      年     月     </w:t>
      </w:r>
      <w:r>
        <w:rPr>
          <w:rFonts w:hint="eastAsia" w:ascii="宋体" w:hAnsi="宋体" w:cs="宋体"/>
          <w:spacing w:val="4"/>
          <w:szCs w:val="21"/>
          <w:highlight w:val="none"/>
        </w:rPr>
        <w:t>日起签字生效，特此证明。</w:t>
      </w:r>
    </w:p>
    <w:p w14:paraId="5398A5E7">
      <w:pPr>
        <w:spacing w:line="440" w:lineRule="exact"/>
        <w:ind w:firstLine="436" w:firstLineChars="200"/>
        <w:jc w:val="left"/>
        <w:rPr>
          <w:rFonts w:ascii="宋体" w:hAnsi="宋体" w:cs="宋体"/>
          <w:spacing w:val="4"/>
          <w:szCs w:val="21"/>
          <w:highlight w:val="none"/>
        </w:rPr>
      </w:pPr>
    </w:p>
    <w:p w14:paraId="7FDDE852">
      <w:pPr>
        <w:spacing w:line="440" w:lineRule="exact"/>
        <w:ind w:firstLine="436" w:firstLineChars="200"/>
        <w:jc w:val="left"/>
        <w:rPr>
          <w:rFonts w:ascii="宋体" w:hAnsi="宋体" w:cs="宋体"/>
          <w:spacing w:val="4"/>
          <w:szCs w:val="21"/>
          <w:highlight w:val="none"/>
        </w:rPr>
      </w:pPr>
    </w:p>
    <w:p w14:paraId="523D28B8">
      <w:pPr>
        <w:spacing w:line="440" w:lineRule="exact"/>
        <w:ind w:firstLine="436" w:firstLineChars="200"/>
        <w:jc w:val="left"/>
        <w:rPr>
          <w:rFonts w:ascii="宋体" w:hAnsi="宋体" w:cs="宋体"/>
          <w:spacing w:val="4"/>
          <w:szCs w:val="21"/>
          <w:highlight w:val="none"/>
        </w:rPr>
      </w:pPr>
    </w:p>
    <w:tbl>
      <w:tblPr>
        <w:tblStyle w:val="12"/>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4139"/>
        <w:gridCol w:w="4139"/>
      </w:tblGrid>
      <w:tr w14:paraId="3C4DFF3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50" w:hRule="atLeast"/>
          <w:jc w:val="center"/>
        </w:trPr>
        <w:tc>
          <w:tcPr>
            <w:tcW w:w="4139" w:type="dxa"/>
          </w:tcPr>
          <w:p w14:paraId="0697B8E4">
            <w:pPr>
              <w:spacing w:line="440" w:lineRule="exact"/>
              <w:jc w:val="left"/>
              <w:rPr>
                <w:rFonts w:ascii="宋体" w:hAnsi="宋体" w:cs="宋体"/>
                <w:spacing w:val="4"/>
                <w:szCs w:val="21"/>
                <w:highlight w:val="none"/>
              </w:rPr>
            </w:pPr>
            <w:r>
              <w:rPr>
                <w:rFonts w:hint="eastAsia" w:ascii="宋体" w:hAnsi="宋体" w:cs="宋体"/>
                <w:spacing w:val="4"/>
                <w:szCs w:val="21"/>
                <w:highlight w:val="none"/>
              </w:rPr>
              <w:t>被授权人（签字或盖章）：</w:t>
            </w:r>
          </w:p>
        </w:tc>
        <w:tc>
          <w:tcPr>
            <w:tcW w:w="4139" w:type="dxa"/>
          </w:tcPr>
          <w:p w14:paraId="26479292">
            <w:pPr>
              <w:spacing w:line="440" w:lineRule="exact"/>
              <w:jc w:val="left"/>
              <w:rPr>
                <w:rFonts w:ascii="宋体" w:hAnsi="宋体" w:cs="宋体"/>
                <w:spacing w:val="4"/>
                <w:szCs w:val="21"/>
                <w:highlight w:val="none"/>
              </w:rPr>
            </w:pPr>
            <w:r>
              <w:rPr>
                <w:rFonts w:hint="eastAsia" w:ascii="宋体" w:hAnsi="宋体" w:cs="宋体"/>
                <w:spacing w:val="4"/>
                <w:szCs w:val="21"/>
                <w:highlight w:val="none"/>
              </w:rPr>
              <w:t>法定代表人（签字或盖章）：</w:t>
            </w:r>
          </w:p>
        </w:tc>
      </w:tr>
      <w:tr w14:paraId="3072D75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50" w:hRule="atLeast"/>
          <w:jc w:val="center"/>
        </w:trPr>
        <w:tc>
          <w:tcPr>
            <w:tcW w:w="4139" w:type="dxa"/>
          </w:tcPr>
          <w:p w14:paraId="79CB0215">
            <w:pPr>
              <w:spacing w:line="440" w:lineRule="exact"/>
              <w:jc w:val="left"/>
              <w:rPr>
                <w:rFonts w:ascii="宋体" w:hAnsi="宋体" w:cs="宋体"/>
                <w:spacing w:val="4"/>
                <w:szCs w:val="21"/>
                <w:highlight w:val="none"/>
              </w:rPr>
            </w:pPr>
          </w:p>
        </w:tc>
        <w:tc>
          <w:tcPr>
            <w:tcW w:w="4139" w:type="dxa"/>
          </w:tcPr>
          <w:p w14:paraId="62B3FCF3">
            <w:pPr>
              <w:spacing w:line="440" w:lineRule="exact"/>
              <w:jc w:val="left"/>
              <w:rPr>
                <w:rFonts w:ascii="宋体" w:hAnsi="宋体" w:cs="宋体"/>
                <w:spacing w:val="4"/>
                <w:szCs w:val="21"/>
                <w:highlight w:val="none"/>
              </w:rPr>
            </w:pPr>
          </w:p>
        </w:tc>
      </w:tr>
      <w:tr w14:paraId="19FB5F9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50" w:hRule="atLeast"/>
          <w:jc w:val="center"/>
        </w:trPr>
        <w:tc>
          <w:tcPr>
            <w:tcW w:w="4139" w:type="dxa"/>
          </w:tcPr>
          <w:p w14:paraId="56FCA732">
            <w:pPr>
              <w:spacing w:line="440" w:lineRule="exact"/>
              <w:jc w:val="left"/>
              <w:rPr>
                <w:rFonts w:ascii="宋体" w:hAnsi="宋体" w:cs="宋体"/>
                <w:spacing w:val="4"/>
                <w:szCs w:val="21"/>
                <w:highlight w:val="none"/>
              </w:rPr>
            </w:pPr>
            <w:r>
              <w:rPr>
                <w:rFonts w:hint="eastAsia" w:ascii="宋体" w:hAnsi="宋体" w:cs="宋体"/>
                <w:spacing w:val="4"/>
                <w:szCs w:val="21"/>
                <w:highlight w:val="none"/>
              </w:rPr>
              <w:t>职务：</w:t>
            </w:r>
          </w:p>
        </w:tc>
        <w:tc>
          <w:tcPr>
            <w:tcW w:w="4139" w:type="dxa"/>
          </w:tcPr>
          <w:p w14:paraId="598A0EE0">
            <w:pPr>
              <w:spacing w:line="440" w:lineRule="exact"/>
              <w:jc w:val="left"/>
              <w:rPr>
                <w:rFonts w:ascii="宋体" w:hAnsi="宋体" w:cs="宋体"/>
                <w:spacing w:val="4"/>
                <w:szCs w:val="21"/>
                <w:highlight w:val="none"/>
              </w:rPr>
            </w:pPr>
            <w:r>
              <w:rPr>
                <w:rFonts w:hint="eastAsia" w:ascii="宋体" w:hAnsi="宋体" w:cs="宋体"/>
                <w:spacing w:val="4"/>
                <w:szCs w:val="21"/>
                <w:highlight w:val="none"/>
              </w:rPr>
              <w:t>职务：</w:t>
            </w:r>
          </w:p>
        </w:tc>
      </w:tr>
      <w:tr w14:paraId="0A8245D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50" w:hRule="atLeast"/>
          <w:jc w:val="center"/>
        </w:trPr>
        <w:tc>
          <w:tcPr>
            <w:tcW w:w="4139" w:type="dxa"/>
          </w:tcPr>
          <w:p w14:paraId="2AA5EFC6">
            <w:pPr>
              <w:spacing w:line="440" w:lineRule="exact"/>
              <w:jc w:val="left"/>
              <w:rPr>
                <w:rFonts w:ascii="宋体" w:hAnsi="宋体" w:cs="宋体"/>
                <w:spacing w:val="4"/>
                <w:szCs w:val="21"/>
                <w:highlight w:val="none"/>
              </w:rPr>
            </w:pPr>
          </w:p>
        </w:tc>
        <w:tc>
          <w:tcPr>
            <w:tcW w:w="4139" w:type="dxa"/>
          </w:tcPr>
          <w:p w14:paraId="0675136D">
            <w:pPr>
              <w:spacing w:line="440" w:lineRule="exact"/>
              <w:jc w:val="left"/>
              <w:rPr>
                <w:rFonts w:ascii="宋体" w:hAnsi="宋体" w:cs="宋体"/>
                <w:spacing w:val="4"/>
                <w:szCs w:val="21"/>
                <w:highlight w:val="none"/>
              </w:rPr>
            </w:pPr>
          </w:p>
        </w:tc>
      </w:tr>
      <w:tr w14:paraId="60DFC29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50" w:hRule="atLeast"/>
          <w:jc w:val="center"/>
        </w:trPr>
        <w:tc>
          <w:tcPr>
            <w:tcW w:w="4139" w:type="dxa"/>
          </w:tcPr>
          <w:p w14:paraId="64C8BA1A">
            <w:pPr>
              <w:spacing w:line="440" w:lineRule="exact"/>
              <w:jc w:val="left"/>
              <w:rPr>
                <w:rFonts w:ascii="宋体" w:hAnsi="宋体" w:cs="宋体"/>
                <w:spacing w:val="4"/>
                <w:szCs w:val="21"/>
                <w:highlight w:val="none"/>
              </w:rPr>
            </w:pPr>
            <w:r>
              <w:rPr>
                <w:rFonts w:hint="eastAsia" w:ascii="宋体" w:hAnsi="宋体" w:cs="宋体"/>
                <w:spacing w:val="4"/>
                <w:szCs w:val="21"/>
                <w:highlight w:val="none"/>
              </w:rPr>
              <w:t>所在部门：</w:t>
            </w:r>
          </w:p>
        </w:tc>
        <w:tc>
          <w:tcPr>
            <w:tcW w:w="4139" w:type="dxa"/>
          </w:tcPr>
          <w:p w14:paraId="012F2090">
            <w:pPr>
              <w:spacing w:line="440" w:lineRule="exact"/>
              <w:jc w:val="left"/>
              <w:rPr>
                <w:rFonts w:ascii="宋体" w:hAnsi="宋体" w:cs="宋体"/>
                <w:spacing w:val="4"/>
                <w:szCs w:val="21"/>
                <w:highlight w:val="none"/>
              </w:rPr>
            </w:pPr>
          </w:p>
        </w:tc>
      </w:tr>
    </w:tbl>
    <w:p w14:paraId="23C2BDED">
      <w:pPr>
        <w:widowControl/>
        <w:spacing w:before="780" w:beforeLines="250" w:line="360" w:lineRule="auto"/>
        <w:ind w:firstLine="210" w:firstLineChars="100"/>
        <w:jc w:val="left"/>
        <w:rPr>
          <w:rFonts w:ascii="宋体" w:hAnsi="宋体" w:cs="宋体"/>
          <w:kern w:val="0"/>
          <w:szCs w:val="21"/>
          <w:highlight w:val="none"/>
        </w:rPr>
      </w:pPr>
      <w:r>
        <w:rPr>
          <w:rFonts w:hint="eastAsia" w:ascii="宋体" w:hAnsi="宋体" w:cs="宋体"/>
          <w:kern w:val="0"/>
          <w:szCs w:val="21"/>
          <w:highlight w:val="none"/>
        </w:rPr>
        <w:t>供应商名称：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（加盖公章）</w:t>
      </w:r>
    </w:p>
    <w:p w14:paraId="7D0ACDA1">
      <w:pPr>
        <w:spacing w:before="312" w:beforeLines="100" w:line="360" w:lineRule="auto"/>
        <w:ind w:firstLine="219" w:firstLineChars="100"/>
        <w:rPr>
          <w:rFonts w:ascii="宋体" w:hAnsi="宋体" w:cs="宋体"/>
          <w:b/>
          <w:bCs/>
          <w:spacing w:val="4"/>
          <w:szCs w:val="21"/>
          <w:highlight w:val="none"/>
        </w:rPr>
      </w:pPr>
      <w:r>
        <w:rPr>
          <w:rFonts w:hint="eastAsia" w:ascii="宋体" w:hAnsi="宋体" w:cs="宋体"/>
          <w:b/>
          <w:bCs/>
          <w:spacing w:val="4"/>
          <w:szCs w:val="21"/>
          <w:highlight w:val="none"/>
        </w:rPr>
        <w:t>附件：法定代表人、被授权人身份证复印件（必须印正反两面的完整信息）</w:t>
      </w:r>
    </w:p>
    <w:p w14:paraId="37EE65E8">
      <w:pPr>
        <w:spacing w:before="156" w:beforeLines="50" w:after="156" w:afterLines="50" w:line="360" w:lineRule="auto"/>
        <w:rPr>
          <w:rFonts w:ascii="宋体" w:hAnsi="宋体" w:cs="宋体"/>
          <w:b/>
          <w:bCs/>
          <w:highlight w:val="none"/>
        </w:rPr>
      </w:pPr>
      <w:r>
        <w:rPr>
          <w:rFonts w:hint="eastAsia" w:ascii="宋体" w:hAnsi="宋体" w:cs="宋体"/>
          <w:spacing w:val="4"/>
          <w:szCs w:val="21"/>
          <w:highlight w:val="none"/>
        </w:rPr>
        <w:br w:type="page"/>
      </w:r>
      <w:r>
        <w:rPr>
          <w:rFonts w:hint="eastAsia" w:ascii="宋体" w:hAnsi="宋体" w:cs="宋体"/>
          <w:b/>
          <w:bCs/>
          <w:highlight w:val="none"/>
        </w:rPr>
        <w:t>附：法定代表人（单位负责人）身份证复印件及委托代理人身份证复印件</w:t>
      </w:r>
    </w:p>
    <w:p w14:paraId="6C4E8357">
      <w:pPr>
        <w:spacing w:before="156" w:beforeLines="50" w:after="156" w:afterLines="50" w:line="360" w:lineRule="auto"/>
        <w:rPr>
          <w:rFonts w:ascii="宋体" w:hAnsi="宋体" w:cs="宋体"/>
          <w:b/>
          <w:bCs/>
          <w:highlight w:val="none"/>
        </w:rPr>
      </w:pPr>
      <w:r>
        <w:rPr>
          <w:rFonts w:hint="eastAsia" w:ascii="宋体" w:hAnsi="宋体" w:cs="宋体"/>
          <w:b/>
          <w:bCs/>
          <w:spacing w:val="4"/>
          <w:szCs w:val="21"/>
          <w:highlight w:val="none"/>
        </w:rPr>
        <w:t>（必须印正反两面的完整信息）</w:t>
      </w:r>
    </w:p>
    <w:tbl>
      <w:tblPr>
        <w:tblStyle w:val="12"/>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9"/>
        <w:gridCol w:w="4139"/>
      </w:tblGrid>
      <w:tr w14:paraId="751A5D3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jc w:val="center"/>
        </w:trPr>
        <w:tc>
          <w:tcPr>
            <w:tcW w:w="4139" w:type="dxa"/>
            <w:vAlign w:val="center"/>
          </w:tcPr>
          <w:p w14:paraId="09B128EE">
            <w:pPr>
              <w:spacing w:line="480" w:lineRule="auto"/>
              <w:jc w:val="center"/>
              <w:rPr>
                <w:rFonts w:ascii="宋体" w:hAnsi="宋体"/>
                <w:szCs w:val="21"/>
                <w:highlight w:val="none"/>
              </w:rPr>
            </w:pPr>
          </w:p>
        </w:tc>
        <w:tc>
          <w:tcPr>
            <w:tcW w:w="4139" w:type="dxa"/>
            <w:vAlign w:val="center"/>
          </w:tcPr>
          <w:p w14:paraId="3FB5BF2F">
            <w:pPr>
              <w:spacing w:line="480" w:lineRule="auto"/>
              <w:jc w:val="center"/>
              <w:rPr>
                <w:rFonts w:ascii="宋体" w:hAnsi="宋体"/>
                <w:szCs w:val="21"/>
                <w:highlight w:val="none"/>
              </w:rPr>
            </w:pPr>
          </w:p>
        </w:tc>
      </w:tr>
      <w:tr w14:paraId="41AF24C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jc w:val="center"/>
        </w:trPr>
        <w:tc>
          <w:tcPr>
            <w:tcW w:w="4139" w:type="dxa"/>
            <w:vAlign w:val="center"/>
          </w:tcPr>
          <w:p w14:paraId="6F34EBC0">
            <w:pPr>
              <w:spacing w:line="480" w:lineRule="auto"/>
              <w:jc w:val="center"/>
              <w:rPr>
                <w:rFonts w:ascii="宋体" w:hAnsi="宋体"/>
                <w:szCs w:val="21"/>
                <w:highlight w:val="none"/>
              </w:rPr>
            </w:pPr>
          </w:p>
        </w:tc>
        <w:tc>
          <w:tcPr>
            <w:tcW w:w="4139" w:type="dxa"/>
            <w:vAlign w:val="center"/>
          </w:tcPr>
          <w:p w14:paraId="59D8E169">
            <w:pPr>
              <w:spacing w:line="480" w:lineRule="auto"/>
              <w:jc w:val="center"/>
              <w:rPr>
                <w:rFonts w:ascii="宋体" w:hAnsi="宋体"/>
                <w:szCs w:val="21"/>
                <w:highlight w:val="none"/>
              </w:rPr>
            </w:pPr>
          </w:p>
        </w:tc>
      </w:tr>
    </w:tbl>
    <w:p w14:paraId="31A49806">
      <w:pPr>
        <w:spacing w:line="440" w:lineRule="exact"/>
        <w:ind w:firstLine="989" w:firstLineChars="454"/>
        <w:rPr>
          <w:rFonts w:ascii="宋体" w:hAnsi="宋体" w:cs="宋体"/>
          <w:spacing w:val="4"/>
          <w:szCs w:val="21"/>
          <w:highlight w:val="none"/>
          <w:u w:val="single"/>
        </w:rPr>
      </w:pPr>
    </w:p>
    <w:p w14:paraId="7EA448C1">
      <w:pPr>
        <w:jc w:val="center"/>
        <w:outlineLvl w:val="1"/>
        <w:rPr>
          <w:rFonts w:ascii="宋体" w:hAnsi="宋体" w:cs="宋体"/>
          <w:b/>
          <w:sz w:val="36"/>
          <w:szCs w:val="36"/>
          <w:highlight w:val="none"/>
        </w:rPr>
      </w:pPr>
      <w:r>
        <w:rPr>
          <w:rFonts w:hint="eastAsia" w:ascii="宋体" w:hAnsi="宋体" w:cs="宋体"/>
          <w:b/>
          <w:sz w:val="36"/>
          <w:szCs w:val="36"/>
          <w:highlight w:val="none"/>
        </w:rPr>
        <w:br w:type="page"/>
      </w:r>
      <w:r>
        <w:rPr>
          <w:rFonts w:hint="eastAsia" w:ascii="宋体" w:hAnsi="宋体" w:cs="宋体"/>
          <w:b/>
          <w:sz w:val="36"/>
          <w:szCs w:val="36"/>
          <w:highlight w:val="none"/>
        </w:rPr>
        <w:t>二、陕西省政府采购供应商</w:t>
      </w:r>
    </w:p>
    <w:p w14:paraId="0E98D135">
      <w:pPr>
        <w:jc w:val="center"/>
        <w:rPr>
          <w:rFonts w:ascii="宋体" w:hAnsi="宋体" w:cs="宋体"/>
          <w:highlight w:val="none"/>
        </w:rPr>
      </w:pPr>
      <w:r>
        <w:rPr>
          <w:rFonts w:hint="eastAsia" w:ascii="宋体" w:hAnsi="宋体" w:cs="宋体"/>
          <w:b/>
          <w:sz w:val="36"/>
          <w:szCs w:val="36"/>
          <w:highlight w:val="none"/>
        </w:rPr>
        <w:t>拒绝政府采购领域商业贿赂承诺书</w:t>
      </w:r>
    </w:p>
    <w:p w14:paraId="5D33D20A">
      <w:pPr>
        <w:widowControl/>
        <w:spacing w:line="408" w:lineRule="auto"/>
        <w:ind w:left="239" w:leftChars="114" w:firstLine="470" w:firstLineChars="196"/>
        <w:jc w:val="center"/>
        <w:rPr>
          <w:rFonts w:ascii="宋体" w:hAnsi="宋体" w:cs="宋体"/>
          <w:kern w:val="0"/>
          <w:sz w:val="24"/>
          <w:highlight w:val="none"/>
        </w:rPr>
      </w:pPr>
    </w:p>
    <w:p w14:paraId="2D77966C">
      <w:pPr>
        <w:widowControl/>
        <w:spacing w:line="360" w:lineRule="auto"/>
        <w:ind w:left="239" w:leftChars="114" w:firstLine="411" w:firstLineChars="196"/>
        <w:jc w:val="left"/>
        <w:rPr>
          <w:rFonts w:ascii="宋体" w:hAnsi="宋体" w:cs="宋体"/>
          <w:kern w:val="0"/>
          <w:szCs w:val="21"/>
          <w:highlight w:val="none"/>
        </w:rPr>
      </w:pPr>
      <w:r>
        <w:rPr>
          <w:rFonts w:hint="eastAsia" w:ascii="宋体" w:hAnsi="宋体" w:cs="宋体"/>
          <w:kern w:val="0"/>
          <w:szCs w:val="21"/>
          <w:highlight w:val="none"/>
        </w:rPr>
        <w:t>为响应党中央、国务院关于治理政府采购领域商业贿赂行为的号召，我公司在此庄严承诺：</w:t>
      </w:r>
    </w:p>
    <w:p w14:paraId="680D24C5">
      <w:pPr>
        <w:widowControl/>
        <w:spacing w:line="360" w:lineRule="auto"/>
        <w:ind w:left="239" w:leftChars="114" w:firstLine="411" w:firstLineChars="196"/>
        <w:jc w:val="left"/>
        <w:rPr>
          <w:rFonts w:ascii="宋体" w:hAnsi="宋体" w:cs="宋体"/>
          <w:kern w:val="0"/>
          <w:szCs w:val="21"/>
          <w:highlight w:val="none"/>
        </w:rPr>
      </w:pPr>
      <w:r>
        <w:rPr>
          <w:rFonts w:hint="eastAsia" w:ascii="宋体" w:hAnsi="宋体" w:cs="宋体"/>
          <w:kern w:val="0"/>
          <w:szCs w:val="21"/>
          <w:highlight w:val="none"/>
        </w:rPr>
        <w:t>1.在参与政府采购活动中遵纪守法、诚信经营、公平竞标。</w:t>
      </w:r>
    </w:p>
    <w:p w14:paraId="14C0768E">
      <w:pPr>
        <w:widowControl/>
        <w:spacing w:line="360" w:lineRule="auto"/>
        <w:ind w:left="239" w:leftChars="114" w:firstLine="411" w:firstLineChars="196"/>
        <w:jc w:val="left"/>
        <w:rPr>
          <w:rFonts w:ascii="宋体" w:hAnsi="宋体" w:cs="宋体"/>
          <w:kern w:val="0"/>
          <w:szCs w:val="21"/>
          <w:highlight w:val="none"/>
        </w:rPr>
      </w:pPr>
      <w:r>
        <w:rPr>
          <w:rFonts w:hint="eastAsia" w:ascii="宋体" w:hAnsi="宋体" w:cs="宋体"/>
          <w:kern w:val="0"/>
          <w:szCs w:val="21"/>
          <w:highlight w:val="none"/>
        </w:rPr>
        <w:t>2.不向政府采购人、采购代理机构和政府采购评审专家进行任何形式的商业贿赂以谋取交易机会。</w:t>
      </w:r>
    </w:p>
    <w:p w14:paraId="1B99BEDF">
      <w:pPr>
        <w:widowControl/>
        <w:spacing w:line="360" w:lineRule="auto"/>
        <w:ind w:left="239" w:leftChars="114" w:firstLine="411" w:firstLineChars="196"/>
        <w:jc w:val="left"/>
        <w:rPr>
          <w:rFonts w:ascii="宋体" w:hAnsi="宋体" w:cs="宋体"/>
          <w:kern w:val="0"/>
          <w:szCs w:val="21"/>
          <w:highlight w:val="none"/>
        </w:rPr>
      </w:pPr>
      <w:r>
        <w:rPr>
          <w:rFonts w:hint="eastAsia" w:ascii="宋体" w:hAnsi="宋体" w:cs="宋体"/>
          <w:kern w:val="0"/>
          <w:szCs w:val="21"/>
          <w:highlight w:val="none"/>
        </w:rPr>
        <w:t>3.不向政府采购代理机构和采购人提供虚假资质文件或采用虚假应标方式参与政府采购市场竞争并谋取中标、成交。</w:t>
      </w:r>
    </w:p>
    <w:p w14:paraId="2BB2B635">
      <w:pPr>
        <w:widowControl/>
        <w:spacing w:line="360" w:lineRule="auto"/>
        <w:ind w:left="239" w:leftChars="114" w:firstLine="411" w:firstLineChars="196"/>
        <w:jc w:val="left"/>
        <w:rPr>
          <w:rFonts w:ascii="宋体" w:hAnsi="宋体" w:cs="宋体"/>
          <w:kern w:val="0"/>
          <w:szCs w:val="21"/>
          <w:highlight w:val="none"/>
        </w:rPr>
      </w:pPr>
      <w:r>
        <w:rPr>
          <w:rFonts w:hint="eastAsia" w:ascii="宋体" w:hAnsi="宋体" w:cs="宋体"/>
          <w:kern w:val="0"/>
          <w:szCs w:val="21"/>
          <w:highlight w:val="none"/>
        </w:rPr>
        <w:t>4.不采取“围标、陪标”等商业欺诈手段获得政府采购定单。</w:t>
      </w:r>
    </w:p>
    <w:p w14:paraId="2F3C7022">
      <w:pPr>
        <w:widowControl/>
        <w:spacing w:line="360" w:lineRule="auto"/>
        <w:ind w:left="239" w:leftChars="114" w:firstLine="411" w:firstLineChars="196"/>
        <w:jc w:val="left"/>
        <w:rPr>
          <w:rFonts w:ascii="宋体" w:hAnsi="宋体" w:cs="宋体"/>
          <w:kern w:val="0"/>
          <w:szCs w:val="21"/>
          <w:highlight w:val="none"/>
        </w:rPr>
      </w:pPr>
      <w:r>
        <w:rPr>
          <w:rFonts w:hint="eastAsia" w:ascii="宋体" w:hAnsi="宋体" w:cs="宋体"/>
          <w:kern w:val="0"/>
          <w:szCs w:val="21"/>
          <w:highlight w:val="none"/>
        </w:rPr>
        <w:t>5.不采取不正当手段诋毁、排挤其他供应商。</w:t>
      </w:r>
    </w:p>
    <w:p w14:paraId="14FF7EF3">
      <w:pPr>
        <w:widowControl/>
        <w:spacing w:line="360" w:lineRule="auto"/>
        <w:ind w:left="239" w:leftChars="114" w:firstLine="411" w:firstLineChars="196"/>
        <w:jc w:val="left"/>
        <w:rPr>
          <w:rFonts w:ascii="宋体" w:hAnsi="宋体" w:cs="宋体"/>
          <w:kern w:val="0"/>
          <w:szCs w:val="21"/>
          <w:highlight w:val="none"/>
        </w:rPr>
      </w:pPr>
      <w:r>
        <w:rPr>
          <w:rFonts w:hint="eastAsia" w:ascii="宋体" w:hAnsi="宋体" w:cs="宋体"/>
          <w:kern w:val="0"/>
          <w:szCs w:val="21"/>
          <w:highlight w:val="none"/>
        </w:rPr>
        <w:t>6.不在提供商品和服务时“偷梁换柱、以次充好”损害采购人的合法权益。</w:t>
      </w:r>
    </w:p>
    <w:p w14:paraId="121A4299">
      <w:pPr>
        <w:widowControl/>
        <w:spacing w:line="360" w:lineRule="auto"/>
        <w:ind w:left="239" w:leftChars="114" w:firstLine="411" w:firstLineChars="196"/>
        <w:jc w:val="left"/>
        <w:rPr>
          <w:rFonts w:ascii="宋体" w:hAnsi="宋体" w:cs="宋体"/>
          <w:kern w:val="0"/>
          <w:szCs w:val="21"/>
          <w:highlight w:val="none"/>
        </w:rPr>
      </w:pPr>
      <w:r>
        <w:rPr>
          <w:rFonts w:hint="eastAsia" w:ascii="宋体" w:hAnsi="宋体" w:cs="宋体"/>
          <w:kern w:val="0"/>
          <w:szCs w:val="21"/>
          <w:highlight w:val="none"/>
        </w:rPr>
        <w:t>7.不与采购人、采购代理机构政府采购评审专家或其它供应商恶意串通，进行质疑和投诉，维护政府采购市场秩序。</w:t>
      </w:r>
    </w:p>
    <w:p w14:paraId="66B9B346">
      <w:pPr>
        <w:widowControl/>
        <w:spacing w:line="360" w:lineRule="auto"/>
        <w:ind w:left="239" w:leftChars="114" w:firstLine="411" w:firstLineChars="196"/>
        <w:jc w:val="left"/>
        <w:rPr>
          <w:rFonts w:ascii="宋体" w:hAnsi="宋体" w:cs="宋体"/>
          <w:kern w:val="0"/>
          <w:szCs w:val="21"/>
          <w:highlight w:val="none"/>
        </w:rPr>
      </w:pPr>
      <w:r>
        <w:rPr>
          <w:rFonts w:hint="eastAsia" w:ascii="宋体" w:hAnsi="宋体" w:cs="宋体"/>
          <w:kern w:val="0"/>
          <w:szCs w:val="21"/>
          <w:highlight w:val="none"/>
        </w:rPr>
        <w:t>8.尊重和接受政府采购监督管理部门的监督和政府采购代理机构招标采购要求，承担因违约行为给采购人造成的损失。</w:t>
      </w:r>
    </w:p>
    <w:p w14:paraId="597D5DCB">
      <w:pPr>
        <w:widowControl/>
        <w:spacing w:line="360" w:lineRule="auto"/>
        <w:ind w:left="239" w:leftChars="114" w:firstLine="411" w:firstLineChars="196"/>
        <w:jc w:val="left"/>
        <w:rPr>
          <w:rFonts w:ascii="宋体" w:hAnsi="宋体" w:cs="宋体"/>
          <w:kern w:val="0"/>
          <w:szCs w:val="21"/>
          <w:highlight w:val="none"/>
        </w:rPr>
      </w:pPr>
      <w:r>
        <w:rPr>
          <w:rFonts w:hint="eastAsia" w:ascii="宋体" w:hAnsi="宋体" w:cs="宋体"/>
          <w:kern w:val="0"/>
          <w:szCs w:val="21"/>
          <w:highlight w:val="none"/>
        </w:rPr>
        <w:t>9.不发生其他有悖于政府采购公开、公平、公正和诚信原则的行为。</w:t>
      </w:r>
    </w:p>
    <w:p w14:paraId="45A4387C">
      <w:pPr>
        <w:widowControl/>
        <w:spacing w:before="936" w:beforeLines="300" w:line="360" w:lineRule="auto"/>
        <w:ind w:firstLine="420" w:firstLineChars="200"/>
        <w:jc w:val="left"/>
        <w:rPr>
          <w:rFonts w:ascii="宋体" w:hAnsi="宋体" w:cs="宋体"/>
          <w:kern w:val="0"/>
          <w:szCs w:val="21"/>
          <w:highlight w:val="none"/>
        </w:rPr>
      </w:pPr>
      <w:bookmarkStart w:id="67" w:name="_Toc25637"/>
      <w:bookmarkStart w:id="68" w:name="_Toc12184"/>
      <w:bookmarkStart w:id="69" w:name="_Toc30016"/>
      <w:r>
        <w:rPr>
          <w:rFonts w:hint="eastAsia" w:ascii="宋体" w:hAnsi="宋体" w:cs="宋体"/>
          <w:kern w:val="0"/>
          <w:szCs w:val="21"/>
          <w:highlight w:val="none"/>
        </w:rPr>
        <w:t>供应商名称：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（加盖公章）</w:t>
      </w:r>
    </w:p>
    <w:p w14:paraId="1B842F7C">
      <w:pPr>
        <w:spacing w:before="468" w:beforeLines="150" w:line="360" w:lineRule="auto"/>
        <w:ind w:firstLine="436" w:firstLineChars="200"/>
        <w:jc w:val="left"/>
        <w:outlineLvl w:val="1"/>
        <w:rPr>
          <w:rFonts w:ascii="宋体" w:hAnsi="宋体" w:cs="宋体"/>
          <w:kern w:val="0"/>
          <w:szCs w:val="21"/>
          <w:highlight w:val="none"/>
          <w:u w:val="single"/>
        </w:rPr>
      </w:pPr>
      <w:r>
        <w:rPr>
          <w:rFonts w:hint="eastAsia" w:ascii="宋体" w:hAnsi="宋体" w:cs="宋体"/>
          <w:spacing w:val="4"/>
          <w:szCs w:val="21"/>
          <w:highlight w:val="none"/>
        </w:rPr>
        <w:t>法定代表人或</w:t>
      </w:r>
      <w:r>
        <w:rPr>
          <w:rFonts w:hint="eastAsia" w:ascii="宋体" w:hAnsi="宋体" w:cs="宋体"/>
          <w:kern w:val="0"/>
          <w:szCs w:val="21"/>
          <w:highlight w:val="none"/>
        </w:rPr>
        <w:t>授权代表</w:t>
      </w:r>
      <w:r>
        <w:rPr>
          <w:rFonts w:hint="eastAsia" w:ascii="宋体" w:hAnsi="宋体" w:cs="宋体"/>
          <w:spacing w:val="4"/>
          <w:szCs w:val="21"/>
          <w:highlight w:val="none"/>
        </w:rPr>
        <w:t>（签字或盖章）</w:t>
      </w:r>
      <w:r>
        <w:rPr>
          <w:rFonts w:hint="eastAsia" w:ascii="宋体" w:hAnsi="宋体" w:cs="宋体"/>
          <w:kern w:val="0"/>
          <w:szCs w:val="21"/>
          <w:highlight w:val="none"/>
        </w:rPr>
        <w:t>：</w:t>
      </w:r>
      <w:r>
        <w:rPr>
          <w:rFonts w:hint="eastAsia" w:ascii="宋体" w:hAnsi="宋体" w:cs="宋体"/>
          <w:kern w:val="0"/>
          <w:szCs w:val="21"/>
          <w:highlight w:val="none"/>
          <w:u w:val="single"/>
        </w:rPr>
        <w:t xml:space="preserve">                     </w:t>
      </w:r>
    </w:p>
    <w:p w14:paraId="7B7B2FB2">
      <w:pPr>
        <w:spacing w:after="156" w:afterLines="50" w:line="360" w:lineRule="auto"/>
        <w:jc w:val="center"/>
        <w:outlineLvl w:val="1"/>
        <w:rPr>
          <w:rFonts w:ascii="宋体" w:hAnsi="宋体" w:cs="宋体"/>
          <w:b/>
          <w:sz w:val="36"/>
          <w:szCs w:val="36"/>
          <w:highlight w:val="none"/>
        </w:rPr>
      </w:pPr>
      <w:r>
        <w:rPr>
          <w:rFonts w:hint="eastAsia" w:ascii="宋体" w:hAnsi="宋体" w:cs="宋体"/>
          <w:b/>
          <w:sz w:val="36"/>
          <w:szCs w:val="36"/>
          <w:highlight w:val="none"/>
        </w:rPr>
        <w:br w:type="page"/>
      </w:r>
      <w:r>
        <w:rPr>
          <w:rFonts w:hint="eastAsia" w:ascii="宋体" w:hAnsi="宋体" w:cs="宋体"/>
          <w:b/>
          <w:sz w:val="36"/>
          <w:szCs w:val="36"/>
          <w:highlight w:val="none"/>
        </w:rPr>
        <w:t>三、资格证明文件</w:t>
      </w:r>
      <w:bookmarkEnd w:id="67"/>
      <w:bookmarkEnd w:id="68"/>
      <w:bookmarkEnd w:id="69"/>
    </w:p>
    <w:p w14:paraId="3BF70D52">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1）具有独立承担民事责任的能力</w:t>
      </w:r>
    </w:p>
    <w:p w14:paraId="607DC6D1">
      <w:pPr>
        <w:spacing w:line="360" w:lineRule="auto"/>
        <w:ind w:firstLine="420" w:firstLineChars="200"/>
        <w:rPr>
          <w:rFonts w:ascii="宋体" w:hAnsi="宋体" w:cs="宋体"/>
          <w:szCs w:val="21"/>
          <w:highlight w:val="none"/>
        </w:rPr>
      </w:pPr>
      <w:r>
        <w:rPr>
          <w:rFonts w:hint="eastAsia" w:ascii="宋体" w:hAnsi="宋体" w:cs="宋体"/>
          <w:szCs w:val="21"/>
          <w:highlight w:val="none"/>
        </w:rPr>
        <w:t>提供注册登记凭证（营业执照、其他组织经营的合法凭证、自然人的提供身份证明文件）；</w:t>
      </w:r>
    </w:p>
    <w:p w14:paraId="326A6E41">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2）具有良好的商业信誉和健全的财务会计制度</w:t>
      </w:r>
    </w:p>
    <w:p w14:paraId="210CA4A8">
      <w:pPr>
        <w:spacing w:line="360" w:lineRule="auto"/>
        <w:ind w:firstLine="420" w:firstLineChars="200"/>
        <w:rPr>
          <w:rFonts w:ascii="宋体" w:hAnsi="宋体" w:cs="宋体"/>
          <w:szCs w:val="21"/>
          <w:highlight w:val="none"/>
        </w:rPr>
      </w:pPr>
      <w:r>
        <w:rPr>
          <w:rFonts w:hint="eastAsia" w:ascii="宋体" w:hAnsi="宋体" w:cs="宋体"/>
          <w:szCs w:val="21"/>
          <w:highlight w:val="none"/>
        </w:rPr>
        <w:t>①2022年度或2023年度经审计的财务报告，包括四表一注，即资产负债表、利润表、现金流量表、所有者权益变动表及其附注；如为事业法人，提供部门决算报告；②或在开标日期前六个月内其基本开户银行出具的资信证明（附《基本存款账户信息》或《银行开户许可证》复印件）；③或财政部门认可的政府采购专业担保机构出具的担保函；（以上三种形式的资料提供任何一种即可）；</w:t>
      </w:r>
    </w:p>
    <w:p w14:paraId="37122696">
      <w:pPr>
        <w:widowControl/>
        <w:spacing w:line="360" w:lineRule="auto"/>
        <w:ind w:firstLine="422" w:firstLineChars="200"/>
        <w:rPr>
          <w:rStyle w:val="30"/>
          <w:rFonts w:ascii="宋体" w:hAnsi="宋体" w:cs="宋体"/>
          <w:b/>
          <w:bCs/>
          <w:sz w:val="21"/>
          <w:szCs w:val="21"/>
          <w:highlight w:val="none"/>
        </w:rPr>
      </w:pPr>
      <w:r>
        <w:rPr>
          <w:rStyle w:val="30"/>
          <w:rFonts w:hint="eastAsia" w:ascii="宋体" w:hAnsi="宋体" w:cs="宋体"/>
          <w:b/>
          <w:bCs/>
          <w:sz w:val="21"/>
          <w:szCs w:val="21"/>
          <w:highlight w:val="none"/>
        </w:rPr>
        <w:t>3）具有履行合同所必需的设备和专业技术能力</w:t>
      </w:r>
    </w:p>
    <w:p w14:paraId="449EA2E8">
      <w:pPr>
        <w:widowControl/>
        <w:spacing w:line="360" w:lineRule="auto"/>
        <w:ind w:firstLine="420" w:firstLineChars="200"/>
        <w:rPr>
          <w:rStyle w:val="30"/>
          <w:rFonts w:ascii="宋体" w:hAnsi="宋体" w:cs="宋体"/>
          <w:sz w:val="21"/>
          <w:szCs w:val="21"/>
          <w:highlight w:val="none"/>
        </w:rPr>
      </w:pPr>
      <w:r>
        <w:rPr>
          <w:rStyle w:val="30"/>
          <w:rFonts w:hint="eastAsia" w:ascii="宋体" w:hAnsi="宋体" w:cs="宋体"/>
          <w:sz w:val="21"/>
          <w:szCs w:val="21"/>
          <w:highlight w:val="none"/>
        </w:rPr>
        <w:t>提供声明文件。</w:t>
      </w:r>
    </w:p>
    <w:p w14:paraId="69B9833A">
      <w:pPr>
        <w:widowControl/>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4）具有依法缴纳税收的良好记录</w:t>
      </w:r>
    </w:p>
    <w:p w14:paraId="03CFC179">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提供缴费所属日期为投标截止时间前12个月内任一月份（投标截止时间当月不计入）的增值税（或所得税）缴费凭据或税务机关出具的完税证明；/在法规范围内不需提供的应出具书面说明和证明文件；</w:t>
      </w:r>
    </w:p>
    <w:p w14:paraId="278BC3CF">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5）具有依法缴纳社会保障资金的良好记录</w:t>
      </w:r>
    </w:p>
    <w:p w14:paraId="6E10D900">
      <w:pPr>
        <w:spacing w:line="360" w:lineRule="auto"/>
        <w:ind w:firstLine="420" w:firstLineChars="200"/>
        <w:rPr>
          <w:rFonts w:ascii="宋体" w:hAnsi="宋体" w:cs="宋体"/>
          <w:szCs w:val="21"/>
          <w:highlight w:val="none"/>
        </w:rPr>
      </w:pPr>
      <w:r>
        <w:rPr>
          <w:rFonts w:hint="eastAsia" w:ascii="宋体" w:hAnsi="宋体" w:cs="宋体"/>
          <w:szCs w:val="21"/>
          <w:highlight w:val="none"/>
        </w:rPr>
        <w:t>提供缴费所属日期为投标截止时间前12个月内任一月份（投标商截止时间当月不计入）的缴费凭据或社保机关出具的缴费证明/在法规范围内不需提供的应出具书面说明和证明文件；</w:t>
      </w:r>
    </w:p>
    <w:p w14:paraId="6AA117FC">
      <w:pPr>
        <w:spacing w:line="360" w:lineRule="auto"/>
        <w:ind w:firstLine="422" w:firstLineChars="200"/>
        <w:rPr>
          <w:rFonts w:ascii="宋体" w:hAnsi="宋体" w:cs="宋体"/>
          <w:szCs w:val="21"/>
          <w:highlight w:val="none"/>
        </w:rPr>
      </w:pPr>
      <w:r>
        <w:rPr>
          <w:rFonts w:hint="eastAsia" w:ascii="宋体" w:hAnsi="宋体" w:cs="宋体"/>
          <w:b/>
          <w:bCs/>
          <w:szCs w:val="21"/>
          <w:highlight w:val="none"/>
        </w:rPr>
        <w:t>6）参加政府采购活动前3年内在经营活动中没有重大违法记录的书面声明；</w:t>
      </w:r>
    </w:p>
    <w:p w14:paraId="06B1A977">
      <w:pPr>
        <w:spacing w:line="360" w:lineRule="auto"/>
        <w:ind w:firstLine="422" w:firstLineChars="200"/>
        <w:rPr>
          <w:rFonts w:ascii="宋体" w:hAnsi="宋体" w:cs="宋体"/>
          <w:szCs w:val="21"/>
          <w:highlight w:val="none"/>
        </w:rPr>
      </w:pPr>
      <w:r>
        <w:rPr>
          <w:rFonts w:hint="eastAsia" w:ascii="宋体" w:hAnsi="宋体" w:cs="宋体"/>
          <w:b/>
          <w:bCs/>
          <w:szCs w:val="21"/>
          <w:highlight w:val="none"/>
        </w:rPr>
        <w:t>7）法人代表授权书；</w:t>
      </w:r>
    </w:p>
    <w:p w14:paraId="2E3651B7">
      <w:pPr>
        <w:spacing w:line="360" w:lineRule="auto"/>
        <w:ind w:firstLine="422" w:firstLineChars="200"/>
        <w:rPr>
          <w:rFonts w:ascii="宋体" w:hAnsi="宋体" w:cs="宋体"/>
          <w:szCs w:val="21"/>
          <w:highlight w:val="none"/>
        </w:rPr>
      </w:pPr>
      <w:r>
        <w:rPr>
          <w:rFonts w:hint="eastAsia" w:ascii="宋体" w:hAnsi="宋体" w:cs="宋体"/>
          <w:b/>
          <w:bCs/>
          <w:szCs w:val="21"/>
          <w:highlight w:val="none"/>
        </w:rPr>
        <w:t>注：以上资格证明文件供应商必须完全提供，一项不合格即按照无效投标处理。</w:t>
      </w:r>
    </w:p>
    <w:p w14:paraId="47457911">
      <w:pPr>
        <w:spacing w:line="360" w:lineRule="auto"/>
        <w:ind w:firstLine="422" w:firstLineChars="200"/>
        <w:rPr>
          <w:rFonts w:ascii="宋体" w:hAnsi="宋体" w:cs="宋体"/>
          <w:spacing w:val="4"/>
          <w:szCs w:val="21"/>
          <w:highlight w:val="none"/>
        </w:rPr>
      </w:pPr>
      <w:r>
        <w:rPr>
          <w:rFonts w:hint="eastAsia" w:ascii="宋体" w:hAnsi="宋体" w:cs="宋体"/>
          <w:b/>
          <w:bCs/>
          <w:szCs w:val="21"/>
          <w:highlight w:val="none"/>
        </w:rPr>
        <w:t>说明：后附部分内容参考格式，其他内容供应商自行编制。</w:t>
      </w:r>
    </w:p>
    <w:p w14:paraId="434F8B22">
      <w:pPr>
        <w:spacing w:before="156" w:beforeLines="50" w:line="360" w:lineRule="auto"/>
        <w:rPr>
          <w:rFonts w:ascii="宋体" w:hAnsi="宋体" w:cs="宋体"/>
          <w:b/>
          <w:sz w:val="36"/>
          <w:szCs w:val="36"/>
          <w:highlight w:val="none"/>
        </w:rPr>
      </w:pPr>
      <w:r>
        <w:rPr>
          <w:rFonts w:hint="eastAsia" w:ascii="宋体" w:hAnsi="宋体" w:cs="宋体"/>
          <w:b/>
          <w:sz w:val="30"/>
          <w:szCs w:val="30"/>
          <w:highlight w:val="none"/>
        </w:rPr>
        <w:br w:type="page"/>
      </w:r>
      <w:bookmarkStart w:id="70" w:name="_Toc353"/>
      <w:bookmarkStart w:id="71" w:name="_Toc1864"/>
      <w:bookmarkStart w:id="72" w:name="_Toc22764"/>
      <w:r>
        <w:rPr>
          <w:rFonts w:hint="eastAsia" w:ascii="宋体" w:hAnsi="宋体" w:cs="宋体"/>
          <w:b/>
          <w:sz w:val="24"/>
          <w:szCs w:val="24"/>
          <w:highlight w:val="none"/>
        </w:rPr>
        <w:t>附件：</w:t>
      </w:r>
      <w:bookmarkEnd w:id="70"/>
      <w:bookmarkEnd w:id="71"/>
      <w:bookmarkEnd w:id="72"/>
      <w:r>
        <w:rPr>
          <w:rFonts w:hint="eastAsia" w:ascii="宋体" w:hAnsi="宋体" w:cs="宋体"/>
          <w:b/>
          <w:sz w:val="24"/>
          <w:szCs w:val="24"/>
          <w:highlight w:val="none"/>
        </w:rPr>
        <w:t>格式</w:t>
      </w:r>
    </w:p>
    <w:p w14:paraId="2678A2CE">
      <w:pPr>
        <w:spacing w:before="624" w:beforeLines="200" w:after="312" w:afterLines="100" w:line="360" w:lineRule="auto"/>
        <w:jc w:val="center"/>
        <w:rPr>
          <w:rFonts w:ascii="宋体" w:hAnsi="宋体" w:cs="宋体"/>
          <w:b/>
          <w:sz w:val="36"/>
          <w:szCs w:val="36"/>
          <w:highlight w:val="none"/>
        </w:rPr>
      </w:pPr>
      <w:r>
        <w:rPr>
          <w:rFonts w:hint="eastAsia" w:ascii="宋体" w:hAnsi="宋体" w:cs="宋体"/>
          <w:b/>
          <w:sz w:val="36"/>
          <w:szCs w:val="36"/>
          <w:highlight w:val="none"/>
        </w:rPr>
        <w:t>供应商无重大违法记录的书面声明格式</w:t>
      </w:r>
    </w:p>
    <w:p w14:paraId="5B61FE84">
      <w:pPr>
        <w:spacing w:line="480" w:lineRule="auto"/>
        <w:jc w:val="left"/>
        <w:rPr>
          <w:rFonts w:ascii="宋体" w:hAnsi="宋体" w:cs="宋体"/>
          <w:spacing w:val="4"/>
          <w:szCs w:val="21"/>
          <w:highlight w:val="none"/>
          <w:u w:val="single"/>
        </w:rPr>
      </w:pPr>
      <w:r>
        <w:rPr>
          <w:rFonts w:hint="eastAsia" w:ascii="宋体" w:hAnsi="宋体" w:cs="宋体"/>
          <w:spacing w:val="4"/>
          <w:szCs w:val="21"/>
          <w:highlight w:val="none"/>
          <w:u w:val="single"/>
        </w:rPr>
        <w:t>致：（采购机构名称）、（采购代理机构名称）</w:t>
      </w:r>
    </w:p>
    <w:p w14:paraId="13AF6A04">
      <w:pPr>
        <w:spacing w:line="480" w:lineRule="auto"/>
        <w:ind w:firstLine="436" w:firstLineChars="200"/>
        <w:jc w:val="left"/>
        <w:rPr>
          <w:rFonts w:ascii="宋体" w:hAnsi="宋体" w:cs="宋体"/>
          <w:spacing w:val="4"/>
          <w:szCs w:val="21"/>
          <w:highlight w:val="none"/>
          <w:u w:val="single"/>
        </w:rPr>
      </w:pPr>
      <w:r>
        <w:rPr>
          <w:rFonts w:hint="eastAsia" w:ascii="宋体" w:hAnsi="宋体" w:cs="宋体"/>
          <w:spacing w:val="4"/>
          <w:szCs w:val="21"/>
          <w:highlight w:val="none"/>
          <w:u w:val="single"/>
        </w:rPr>
        <w:t>（供应商名称）</w:t>
      </w:r>
      <w:r>
        <w:rPr>
          <w:rFonts w:hint="eastAsia" w:ascii="宋体" w:hAnsi="宋体" w:cs="宋体"/>
          <w:spacing w:val="4"/>
          <w:szCs w:val="21"/>
          <w:highlight w:val="none"/>
        </w:rPr>
        <w:t>为在中华人民共和国境内合法注册并经营的机构。在此郑重声明，我公司在参与本次政府采购活动前3年内在经营活动中没有重大违法记录。</w:t>
      </w:r>
    </w:p>
    <w:p w14:paraId="2352A06F">
      <w:pPr>
        <w:spacing w:before="312" w:beforeLines="100" w:after="156" w:afterLines="50" w:line="480" w:lineRule="auto"/>
        <w:ind w:firstLine="170"/>
        <w:jc w:val="left"/>
        <w:rPr>
          <w:rFonts w:ascii="宋体" w:hAnsi="宋体" w:cs="宋体"/>
          <w:spacing w:val="4"/>
          <w:sz w:val="24"/>
          <w:szCs w:val="24"/>
          <w:highlight w:val="none"/>
        </w:rPr>
      </w:pPr>
    </w:p>
    <w:p w14:paraId="1C5C2510">
      <w:pPr>
        <w:spacing w:before="312" w:beforeLines="100" w:after="156" w:afterLines="50" w:line="360" w:lineRule="auto"/>
        <w:ind w:firstLine="170"/>
        <w:rPr>
          <w:rFonts w:ascii="宋体" w:hAnsi="宋体" w:cs="宋体"/>
          <w:spacing w:val="4"/>
          <w:sz w:val="24"/>
          <w:szCs w:val="24"/>
          <w:highlight w:val="none"/>
        </w:rPr>
      </w:pPr>
    </w:p>
    <w:p w14:paraId="29656C4D">
      <w:pPr>
        <w:spacing w:before="312" w:beforeLines="100" w:after="156" w:afterLines="50" w:line="360" w:lineRule="auto"/>
        <w:ind w:firstLine="170"/>
        <w:rPr>
          <w:rFonts w:ascii="宋体" w:hAnsi="宋体" w:cs="宋体"/>
          <w:spacing w:val="4"/>
          <w:sz w:val="24"/>
          <w:szCs w:val="24"/>
          <w:highlight w:val="none"/>
        </w:rPr>
      </w:pPr>
    </w:p>
    <w:p w14:paraId="288FE6B7">
      <w:pPr>
        <w:spacing w:before="156" w:beforeLines="50" w:after="156" w:afterLines="50" w:line="360" w:lineRule="auto"/>
        <w:ind w:firstLine="2243" w:firstLineChars="1029"/>
        <w:jc w:val="left"/>
        <w:rPr>
          <w:rFonts w:ascii="宋体" w:hAnsi="宋体" w:cs="宋体"/>
          <w:spacing w:val="14"/>
          <w:kern w:val="0"/>
          <w:szCs w:val="21"/>
          <w:highlight w:val="none"/>
        </w:rPr>
      </w:pPr>
      <w:r>
        <w:rPr>
          <w:rFonts w:hint="eastAsia" w:ascii="宋体" w:hAnsi="宋体" w:cs="宋体"/>
          <w:spacing w:val="4"/>
          <w:szCs w:val="21"/>
          <w:highlight w:val="none"/>
        </w:rPr>
        <w:t>供应商名称：</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（加盖公章）</w:t>
      </w:r>
    </w:p>
    <w:p w14:paraId="1CC7792B">
      <w:pPr>
        <w:spacing w:before="156" w:beforeLines="50" w:after="156" w:afterLines="50" w:line="360" w:lineRule="auto"/>
        <w:ind w:firstLine="2243" w:firstLineChars="1029"/>
        <w:jc w:val="left"/>
        <w:rPr>
          <w:rFonts w:ascii="宋体" w:hAnsi="宋体" w:cs="宋体"/>
          <w:spacing w:val="4"/>
          <w:szCs w:val="21"/>
          <w:highlight w:val="none"/>
        </w:rPr>
      </w:pPr>
      <w:r>
        <w:rPr>
          <w:rFonts w:hint="eastAsia" w:ascii="宋体" w:hAnsi="宋体" w:cs="宋体"/>
          <w:spacing w:val="4"/>
          <w:szCs w:val="21"/>
          <w:highlight w:val="none"/>
        </w:rPr>
        <w:t>法定代表人或授权代表（签字或盖章）：</w:t>
      </w:r>
      <w:r>
        <w:rPr>
          <w:rFonts w:hint="eastAsia" w:ascii="宋体" w:hAnsi="宋体" w:cs="宋体"/>
          <w:spacing w:val="4"/>
          <w:szCs w:val="21"/>
          <w:highlight w:val="none"/>
          <w:u w:val="single"/>
        </w:rPr>
        <w:t xml:space="preserve">                   </w:t>
      </w:r>
    </w:p>
    <w:p w14:paraId="425BEC60">
      <w:pPr>
        <w:spacing w:before="156" w:beforeLines="50" w:after="156" w:afterLines="50" w:line="360" w:lineRule="auto"/>
        <w:jc w:val="center"/>
        <w:rPr>
          <w:rFonts w:ascii="宋体" w:hAnsi="宋体" w:cs="宋体"/>
          <w:spacing w:val="4"/>
          <w:sz w:val="24"/>
          <w:szCs w:val="24"/>
          <w:highlight w:val="none"/>
        </w:rPr>
      </w:pPr>
      <w:r>
        <w:rPr>
          <w:rFonts w:hint="eastAsia" w:ascii="宋体" w:hAnsi="宋体" w:cs="宋体"/>
          <w:spacing w:val="4"/>
          <w:szCs w:val="21"/>
          <w:highlight w:val="none"/>
        </w:rPr>
        <w:t xml:space="preserve">                                                 日期：</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年</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月</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日</w:t>
      </w:r>
    </w:p>
    <w:p w14:paraId="37DFD193">
      <w:pPr>
        <w:spacing w:line="360" w:lineRule="auto"/>
        <w:jc w:val="left"/>
        <w:outlineLvl w:val="0"/>
        <w:rPr>
          <w:rFonts w:ascii="宋体" w:hAnsi="宋体" w:cs="宋体"/>
          <w:b/>
          <w:sz w:val="24"/>
          <w:szCs w:val="24"/>
          <w:highlight w:val="none"/>
        </w:rPr>
      </w:pPr>
      <w:r>
        <w:rPr>
          <w:rFonts w:hint="eastAsia" w:ascii="宋体" w:hAnsi="宋体" w:cs="宋体"/>
          <w:spacing w:val="4"/>
          <w:sz w:val="24"/>
          <w:szCs w:val="24"/>
          <w:highlight w:val="none"/>
        </w:rPr>
        <w:br w:type="page"/>
      </w:r>
      <w:bookmarkStart w:id="73" w:name="_Toc1230"/>
      <w:bookmarkStart w:id="74" w:name="_Toc28280"/>
      <w:bookmarkStart w:id="75" w:name="_Toc12255"/>
      <w:r>
        <w:rPr>
          <w:rFonts w:hint="eastAsia" w:ascii="宋体" w:hAnsi="宋体" w:cs="宋体"/>
          <w:b/>
          <w:sz w:val="24"/>
          <w:szCs w:val="24"/>
          <w:highlight w:val="none"/>
        </w:rPr>
        <w:t>附件：</w:t>
      </w:r>
      <w:bookmarkEnd w:id="73"/>
      <w:bookmarkEnd w:id="74"/>
      <w:bookmarkEnd w:id="75"/>
      <w:r>
        <w:rPr>
          <w:rFonts w:hint="eastAsia" w:ascii="宋体" w:hAnsi="宋体" w:cs="宋体"/>
          <w:b/>
          <w:sz w:val="24"/>
          <w:szCs w:val="24"/>
          <w:highlight w:val="none"/>
        </w:rPr>
        <w:t>格式</w:t>
      </w:r>
    </w:p>
    <w:p w14:paraId="01A9F878">
      <w:pPr>
        <w:spacing w:before="624" w:beforeLines="200" w:line="360" w:lineRule="auto"/>
        <w:jc w:val="center"/>
        <w:rPr>
          <w:rFonts w:ascii="宋体" w:hAnsi="宋体" w:cs="宋体"/>
          <w:b/>
          <w:sz w:val="36"/>
          <w:szCs w:val="36"/>
          <w:highlight w:val="none"/>
        </w:rPr>
      </w:pPr>
      <w:r>
        <w:rPr>
          <w:rFonts w:hint="eastAsia" w:ascii="宋体" w:hAnsi="宋体" w:cs="宋体"/>
          <w:b/>
          <w:sz w:val="36"/>
          <w:szCs w:val="36"/>
          <w:highlight w:val="none"/>
        </w:rPr>
        <w:t>供应商具有履行本合同所必需的设备和专业技术</w:t>
      </w:r>
    </w:p>
    <w:p w14:paraId="6AC5821C">
      <w:pPr>
        <w:spacing w:line="360" w:lineRule="auto"/>
        <w:jc w:val="center"/>
        <w:rPr>
          <w:rFonts w:ascii="宋体" w:hAnsi="宋体" w:cs="宋体"/>
          <w:b/>
          <w:sz w:val="36"/>
          <w:szCs w:val="36"/>
          <w:highlight w:val="none"/>
        </w:rPr>
      </w:pPr>
      <w:r>
        <w:rPr>
          <w:rFonts w:hint="eastAsia" w:ascii="宋体" w:hAnsi="宋体" w:cs="宋体"/>
          <w:b/>
          <w:sz w:val="36"/>
          <w:szCs w:val="36"/>
          <w:highlight w:val="none"/>
        </w:rPr>
        <w:t>能力的说明及承诺</w:t>
      </w:r>
    </w:p>
    <w:p w14:paraId="4E067ABE">
      <w:pPr>
        <w:spacing w:before="468" w:beforeLines="150" w:line="360" w:lineRule="auto"/>
        <w:jc w:val="left"/>
        <w:rPr>
          <w:rFonts w:ascii="宋体" w:hAnsi="宋体" w:cs="宋体"/>
          <w:spacing w:val="4"/>
          <w:szCs w:val="21"/>
          <w:highlight w:val="none"/>
          <w:u w:val="single"/>
        </w:rPr>
      </w:pPr>
      <w:r>
        <w:rPr>
          <w:rFonts w:hint="eastAsia" w:ascii="宋体" w:hAnsi="宋体" w:cs="宋体"/>
          <w:spacing w:val="4"/>
          <w:szCs w:val="21"/>
          <w:highlight w:val="none"/>
        </w:rPr>
        <w:t>致：</w:t>
      </w:r>
      <w:r>
        <w:rPr>
          <w:rFonts w:hint="eastAsia" w:ascii="宋体" w:hAnsi="宋体" w:cs="宋体"/>
          <w:spacing w:val="4"/>
          <w:szCs w:val="21"/>
          <w:highlight w:val="none"/>
          <w:u w:val="single"/>
        </w:rPr>
        <w:t>（采购人名称）、（采购代理机构名称）</w:t>
      </w:r>
    </w:p>
    <w:p w14:paraId="1C1FE4B6">
      <w:pPr>
        <w:spacing w:before="312" w:beforeLines="100" w:line="360" w:lineRule="auto"/>
        <w:ind w:firstLine="436" w:firstLineChars="200"/>
        <w:jc w:val="left"/>
        <w:rPr>
          <w:rFonts w:ascii="宋体" w:hAnsi="宋体" w:cs="宋体"/>
          <w:spacing w:val="4"/>
          <w:szCs w:val="21"/>
          <w:highlight w:val="none"/>
        </w:rPr>
      </w:pPr>
      <w:r>
        <w:rPr>
          <w:rFonts w:hint="eastAsia" w:ascii="宋体" w:hAnsi="宋体" w:cs="宋体"/>
          <w:spacing w:val="4"/>
          <w:szCs w:val="21"/>
          <w:highlight w:val="none"/>
        </w:rPr>
        <w:t>（</w:t>
      </w:r>
      <w:r>
        <w:rPr>
          <w:rFonts w:hint="eastAsia" w:ascii="宋体" w:hAnsi="宋体" w:cs="宋体"/>
          <w:spacing w:val="4"/>
          <w:szCs w:val="21"/>
          <w:highlight w:val="none"/>
          <w:u w:val="single"/>
        </w:rPr>
        <w:t xml:space="preserve"> 公司名称 </w:t>
      </w:r>
      <w:r>
        <w:rPr>
          <w:rFonts w:hint="eastAsia" w:ascii="宋体" w:hAnsi="宋体" w:cs="宋体"/>
          <w:spacing w:val="4"/>
          <w:szCs w:val="21"/>
          <w:highlight w:val="none"/>
        </w:rPr>
        <w:t>）于</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年</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月</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日在中华人民共和国境内（</w:t>
      </w:r>
      <w:r>
        <w:rPr>
          <w:rFonts w:hint="eastAsia" w:ascii="宋体" w:hAnsi="宋体" w:cs="宋体"/>
          <w:spacing w:val="4"/>
          <w:szCs w:val="21"/>
          <w:highlight w:val="none"/>
          <w:u w:val="single"/>
        </w:rPr>
        <w:t xml:space="preserve"> 详细注册地址 </w:t>
      </w:r>
      <w:r>
        <w:rPr>
          <w:rFonts w:hint="eastAsia" w:ascii="宋体" w:hAnsi="宋体" w:cs="宋体"/>
          <w:spacing w:val="4"/>
          <w:szCs w:val="21"/>
          <w:highlight w:val="none"/>
        </w:rPr>
        <w:t>）合法注册并经营，公司主营业务为（</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），营业（生产经营）面积为（</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），现有员工数量为（</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），其中与履行本合同相关的专业技术人员有（</w:t>
      </w:r>
      <w:r>
        <w:rPr>
          <w:rFonts w:hint="eastAsia" w:ascii="宋体" w:hAnsi="宋体" w:cs="宋体"/>
          <w:spacing w:val="4"/>
          <w:szCs w:val="21"/>
          <w:highlight w:val="none"/>
          <w:u w:val="single"/>
        </w:rPr>
        <w:t>专业能力、数量</w:t>
      </w:r>
      <w:r>
        <w:rPr>
          <w:rFonts w:hint="eastAsia" w:ascii="宋体" w:hAnsi="宋体" w:cs="宋体"/>
          <w:spacing w:val="4"/>
          <w:szCs w:val="21"/>
          <w:highlight w:val="none"/>
        </w:rPr>
        <w:t>），本公司郑重承诺，具有履行本合同所必需的设备和专业技术能力。</w:t>
      </w:r>
    </w:p>
    <w:p w14:paraId="07B7D3EE">
      <w:pPr>
        <w:spacing w:line="360" w:lineRule="auto"/>
        <w:jc w:val="left"/>
        <w:rPr>
          <w:rFonts w:ascii="宋体" w:hAnsi="宋体" w:cs="宋体"/>
          <w:spacing w:val="4"/>
          <w:szCs w:val="21"/>
          <w:highlight w:val="none"/>
        </w:rPr>
      </w:pPr>
    </w:p>
    <w:p w14:paraId="77CF30BB">
      <w:pPr>
        <w:spacing w:line="480" w:lineRule="auto"/>
        <w:jc w:val="left"/>
        <w:rPr>
          <w:rFonts w:ascii="宋体" w:hAnsi="宋体" w:cs="宋体"/>
          <w:spacing w:val="4"/>
          <w:sz w:val="24"/>
          <w:szCs w:val="24"/>
          <w:highlight w:val="none"/>
          <w:u w:val="single"/>
        </w:rPr>
      </w:pPr>
    </w:p>
    <w:p w14:paraId="37DE4EF9">
      <w:pPr>
        <w:spacing w:line="480" w:lineRule="auto"/>
        <w:jc w:val="left"/>
        <w:rPr>
          <w:rFonts w:ascii="宋体" w:hAnsi="宋体" w:cs="宋体"/>
          <w:spacing w:val="4"/>
          <w:sz w:val="24"/>
          <w:szCs w:val="24"/>
          <w:highlight w:val="none"/>
          <w:u w:val="single"/>
        </w:rPr>
      </w:pPr>
    </w:p>
    <w:p w14:paraId="78173E9E">
      <w:pPr>
        <w:spacing w:line="480" w:lineRule="auto"/>
        <w:jc w:val="left"/>
        <w:rPr>
          <w:rFonts w:ascii="宋体" w:hAnsi="宋体" w:cs="宋体"/>
          <w:spacing w:val="4"/>
          <w:sz w:val="24"/>
          <w:szCs w:val="24"/>
          <w:highlight w:val="none"/>
          <w:u w:val="single"/>
        </w:rPr>
      </w:pPr>
    </w:p>
    <w:p w14:paraId="6FD9FE7A">
      <w:pPr>
        <w:spacing w:before="156" w:beforeLines="50" w:after="156" w:afterLines="50" w:line="360" w:lineRule="auto"/>
        <w:ind w:firstLine="2243" w:firstLineChars="1029"/>
        <w:jc w:val="left"/>
        <w:rPr>
          <w:rFonts w:ascii="宋体" w:hAnsi="宋体" w:cs="宋体"/>
          <w:spacing w:val="14"/>
          <w:kern w:val="0"/>
          <w:szCs w:val="21"/>
          <w:highlight w:val="none"/>
        </w:rPr>
      </w:pPr>
      <w:r>
        <w:rPr>
          <w:rFonts w:hint="eastAsia" w:ascii="宋体" w:hAnsi="宋体" w:cs="宋体"/>
          <w:spacing w:val="4"/>
          <w:szCs w:val="21"/>
          <w:highlight w:val="none"/>
        </w:rPr>
        <w:t>供应商名称：</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（加盖公章）</w:t>
      </w:r>
    </w:p>
    <w:p w14:paraId="6895C871">
      <w:pPr>
        <w:spacing w:before="156" w:beforeLines="50" w:after="156" w:afterLines="50" w:line="360" w:lineRule="auto"/>
        <w:ind w:firstLine="2243" w:firstLineChars="1029"/>
        <w:jc w:val="left"/>
        <w:rPr>
          <w:rFonts w:ascii="宋体" w:hAnsi="宋体" w:cs="宋体"/>
          <w:spacing w:val="4"/>
          <w:szCs w:val="21"/>
          <w:highlight w:val="none"/>
        </w:rPr>
      </w:pPr>
      <w:r>
        <w:rPr>
          <w:rFonts w:hint="eastAsia" w:ascii="宋体" w:hAnsi="宋体" w:cs="宋体"/>
          <w:spacing w:val="4"/>
          <w:szCs w:val="21"/>
          <w:highlight w:val="none"/>
        </w:rPr>
        <w:t>法定代表人或授权代表（签字或盖章）：</w:t>
      </w:r>
      <w:r>
        <w:rPr>
          <w:rFonts w:hint="eastAsia" w:ascii="宋体" w:hAnsi="宋体" w:cs="宋体"/>
          <w:spacing w:val="4"/>
          <w:szCs w:val="21"/>
          <w:highlight w:val="none"/>
          <w:u w:val="single"/>
        </w:rPr>
        <w:t xml:space="preserve">                   </w:t>
      </w:r>
    </w:p>
    <w:p w14:paraId="12A70AF3">
      <w:pPr>
        <w:spacing w:before="156" w:beforeLines="50" w:after="156" w:afterLines="50" w:line="360" w:lineRule="auto"/>
        <w:jc w:val="center"/>
        <w:rPr>
          <w:rFonts w:ascii="宋体" w:hAnsi="宋体" w:cs="宋体"/>
          <w:spacing w:val="4"/>
          <w:sz w:val="24"/>
          <w:szCs w:val="24"/>
          <w:highlight w:val="none"/>
        </w:rPr>
      </w:pPr>
      <w:r>
        <w:rPr>
          <w:rFonts w:hint="eastAsia" w:ascii="宋体" w:hAnsi="宋体" w:cs="宋体"/>
          <w:spacing w:val="4"/>
          <w:szCs w:val="21"/>
          <w:highlight w:val="none"/>
        </w:rPr>
        <w:t xml:space="preserve">                                                 日期：</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年</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月</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日</w:t>
      </w:r>
    </w:p>
    <w:p w14:paraId="4049BE69">
      <w:pPr>
        <w:spacing w:line="360" w:lineRule="auto"/>
        <w:jc w:val="left"/>
        <w:rPr>
          <w:rFonts w:ascii="宋体" w:hAnsi="宋体"/>
          <w:b/>
          <w:sz w:val="24"/>
          <w:szCs w:val="24"/>
          <w:highlight w:val="none"/>
        </w:rPr>
      </w:pPr>
      <w:r>
        <w:rPr>
          <w:rFonts w:hint="eastAsia" w:ascii="宋体" w:hAnsi="宋体" w:cs="宋体"/>
          <w:b/>
          <w:sz w:val="30"/>
          <w:szCs w:val="30"/>
          <w:highlight w:val="none"/>
        </w:rPr>
        <w:br w:type="page"/>
      </w:r>
      <w:bookmarkStart w:id="76" w:name="OLE_LINK14"/>
      <w:bookmarkStart w:id="77" w:name="OLE_LINK13"/>
      <w:r>
        <w:rPr>
          <w:rFonts w:hint="eastAsia" w:ascii="宋体" w:hAnsi="宋体" w:cs="宋体"/>
          <w:b/>
          <w:sz w:val="24"/>
          <w:szCs w:val="24"/>
          <w:highlight w:val="none"/>
        </w:rPr>
        <w:t>附件：格式</w:t>
      </w:r>
    </w:p>
    <w:bookmarkEnd w:id="76"/>
    <w:bookmarkEnd w:id="77"/>
    <w:p w14:paraId="2046C46D">
      <w:pPr>
        <w:pStyle w:val="5"/>
        <w:keepNext w:val="0"/>
        <w:keepLines w:val="0"/>
        <w:widowControl/>
        <w:spacing w:before="312" w:beforeLines="100" w:after="312" w:afterLines="100" w:line="360" w:lineRule="auto"/>
        <w:jc w:val="center"/>
        <w:textAlignment w:val="baseline"/>
        <w:rPr>
          <w:rFonts w:ascii="宋体" w:hAnsi="宋体" w:cs="宋体"/>
          <w:sz w:val="36"/>
          <w:szCs w:val="36"/>
          <w:highlight w:val="none"/>
        </w:rPr>
      </w:pPr>
      <w:r>
        <w:rPr>
          <w:rFonts w:hint="eastAsia" w:ascii="宋体" w:hAnsi="宋体" w:cs="宋体"/>
          <w:sz w:val="36"/>
          <w:szCs w:val="36"/>
          <w:highlight w:val="none"/>
        </w:rPr>
        <w:t>残疾人福利性单位声明函</w:t>
      </w:r>
    </w:p>
    <w:p w14:paraId="2871BE45">
      <w:pPr>
        <w:spacing w:line="360" w:lineRule="auto"/>
        <w:ind w:firstLine="436" w:firstLineChars="200"/>
        <w:jc w:val="left"/>
        <w:rPr>
          <w:rFonts w:ascii="宋体" w:hAnsi="宋体"/>
          <w:spacing w:val="4"/>
          <w:szCs w:val="21"/>
          <w:highlight w:val="none"/>
        </w:rPr>
      </w:pPr>
      <w:r>
        <w:rPr>
          <w:rFonts w:hint="eastAsia" w:ascii="宋体" w:hAnsi="宋体"/>
          <w:spacing w:val="4"/>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pacing w:val="4"/>
          <w:szCs w:val="21"/>
          <w:highlight w:val="none"/>
          <w:u w:val="single"/>
        </w:rPr>
        <w:t xml:space="preserve">                        </w:t>
      </w:r>
      <w:r>
        <w:rPr>
          <w:rFonts w:hint="eastAsia" w:ascii="宋体" w:hAnsi="宋体"/>
          <w:spacing w:val="4"/>
          <w:szCs w:val="21"/>
          <w:highlight w:val="none"/>
        </w:rPr>
        <w:t>单位的</w:t>
      </w:r>
      <w:r>
        <w:rPr>
          <w:rFonts w:hint="eastAsia" w:ascii="宋体" w:hAnsi="宋体"/>
          <w:spacing w:val="4"/>
          <w:szCs w:val="21"/>
          <w:highlight w:val="none"/>
          <w:u w:val="single"/>
        </w:rPr>
        <w:t xml:space="preserve">                   </w:t>
      </w:r>
      <w:r>
        <w:rPr>
          <w:rFonts w:hint="eastAsia" w:ascii="宋体" w:hAnsi="宋体"/>
          <w:spacing w:val="4"/>
          <w:szCs w:val="21"/>
          <w:highlight w:val="none"/>
        </w:rPr>
        <w:t>项目采购活动提供服务。</w:t>
      </w:r>
    </w:p>
    <w:p w14:paraId="737286AB">
      <w:pPr>
        <w:spacing w:line="360" w:lineRule="auto"/>
        <w:ind w:firstLine="436" w:firstLineChars="200"/>
        <w:jc w:val="left"/>
        <w:rPr>
          <w:rFonts w:ascii="宋体" w:hAnsi="宋体"/>
          <w:spacing w:val="4"/>
          <w:szCs w:val="21"/>
          <w:highlight w:val="none"/>
        </w:rPr>
      </w:pPr>
      <w:r>
        <w:rPr>
          <w:rFonts w:hint="eastAsia" w:ascii="宋体" w:hAnsi="宋体"/>
          <w:spacing w:val="4"/>
          <w:szCs w:val="21"/>
          <w:highlight w:val="none"/>
        </w:rPr>
        <w:t>本单位对上述声明的真实性负责。如有虚假，将依法承担相应责任。</w:t>
      </w:r>
    </w:p>
    <w:p w14:paraId="02861C4B">
      <w:pPr>
        <w:spacing w:line="360" w:lineRule="auto"/>
        <w:jc w:val="left"/>
        <w:rPr>
          <w:rFonts w:ascii="宋体" w:hAnsi="宋体"/>
          <w:spacing w:val="4"/>
          <w:sz w:val="24"/>
          <w:szCs w:val="24"/>
          <w:highlight w:val="none"/>
        </w:rPr>
      </w:pPr>
    </w:p>
    <w:p w14:paraId="7CAA379F">
      <w:pPr>
        <w:spacing w:line="360" w:lineRule="auto"/>
        <w:rPr>
          <w:rFonts w:ascii="宋体" w:hAnsi="宋体"/>
          <w:spacing w:val="4"/>
          <w:szCs w:val="21"/>
          <w:highlight w:val="none"/>
        </w:rPr>
      </w:pPr>
    </w:p>
    <w:p w14:paraId="0D884DDF">
      <w:pPr>
        <w:spacing w:line="360" w:lineRule="auto"/>
        <w:ind w:left="1"/>
        <w:rPr>
          <w:rFonts w:ascii="宋体" w:hAnsi="宋体" w:cs="宋体"/>
          <w:szCs w:val="21"/>
          <w:highlight w:val="none"/>
        </w:rPr>
      </w:pPr>
    </w:p>
    <w:p w14:paraId="6355A1F1">
      <w:pPr>
        <w:spacing w:before="156" w:beforeLines="50" w:after="156" w:afterLines="50" w:line="360" w:lineRule="auto"/>
        <w:ind w:firstLine="2243" w:firstLineChars="1029"/>
        <w:jc w:val="left"/>
        <w:rPr>
          <w:rFonts w:ascii="宋体" w:hAnsi="宋体" w:cs="宋体"/>
          <w:spacing w:val="14"/>
          <w:kern w:val="0"/>
          <w:szCs w:val="21"/>
          <w:highlight w:val="none"/>
        </w:rPr>
      </w:pPr>
      <w:r>
        <w:rPr>
          <w:rFonts w:hint="eastAsia" w:ascii="宋体" w:hAnsi="宋体" w:cs="宋体"/>
          <w:spacing w:val="4"/>
          <w:szCs w:val="21"/>
          <w:highlight w:val="none"/>
        </w:rPr>
        <w:t>供应商名称：</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（加盖公章）</w:t>
      </w:r>
    </w:p>
    <w:p w14:paraId="0661B879">
      <w:pPr>
        <w:spacing w:before="156" w:beforeLines="50" w:after="156" w:afterLines="50" w:line="360" w:lineRule="auto"/>
        <w:jc w:val="left"/>
        <w:rPr>
          <w:rFonts w:ascii="宋体" w:hAnsi="宋体" w:cs="宋体"/>
          <w:spacing w:val="4"/>
          <w:szCs w:val="21"/>
          <w:highlight w:val="none"/>
        </w:rPr>
      </w:pPr>
      <w:r>
        <w:rPr>
          <w:rFonts w:hint="eastAsia" w:ascii="宋体" w:hAnsi="宋体" w:cs="宋体"/>
          <w:spacing w:val="4"/>
          <w:szCs w:val="21"/>
          <w:highlight w:val="none"/>
        </w:rPr>
        <w:t xml:space="preserve">                                                 日期：</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年</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月</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日</w:t>
      </w:r>
    </w:p>
    <w:p w14:paraId="48EE4F15">
      <w:pPr>
        <w:spacing w:before="156" w:beforeLines="50" w:after="156" w:afterLines="50" w:line="360" w:lineRule="auto"/>
        <w:jc w:val="left"/>
        <w:rPr>
          <w:rFonts w:ascii="宋体" w:hAnsi="宋体" w:cs="宋体"/>
          <w:b/>
          <w:bCs/>
          <w:spacing w:val="4"/>
          <w:sz w:val="24"/>
          <w:szCs w:val="24"/>
          <w:highlight w:val="none"/>
        </w:rPr>
      </w:pPr>
    </w:p>
    <w:p w14:paraId="32709439">
      <w:pPr>
        <w:spacing w:before="156" w:beforeLines="50" w:after="156" w:afterLines="50" w:line="360" w:lineRule="auto"/>
        <w:jc w:val="left"/>
        <w:rPr>
          <w:rFonts w:ascii="宋体" w:hAnsi="宋体" w:cs="宋体"/>
          <w:b/>
          <w:bCs/>
          <w:spacing w:val="4"/>
          <w:sz w:val="24"/>
          <w:szCs w:val="24"/>
          <w:highlight w:val="none"/>
        </w:rPr>
      </w:pPr>
    </w:p>
    <w:p w14:paraId="68839853">
      <w:pPr>
        <w:spacing w:before="156" w:beforeLines="50" w:after="156" w:afterLines="50" w:line="360" w:lineRule="auto"/>
        <w:jc w:val="left"/>
        <w:rPr>
          <w:rFonts w:ascii="宋体" w:hAnsi="宋体" w:cs="宋体"/>
          <w:b/>
          <w:bCs/>
          <w:spacing w:val="4"/>
          <w:sz w:val="24"/>
          <w:szCs w:val="24"/>
          <w:highlight w:val="none"/>
        </w:rPr>
      </w:pPr>
    </w:p>
    <w:p w14:paraId="21C100D5">
      <w:pPr>
        <w:spacing w:before="156" w:beforeLines="50" w:after="156" w:afterLines="50" w:line="360" w:lineRule="auto"/>
        <w:jc w:val="left"/>
        <w:rPr>
          <w:rFonts w:ascii="宋体" w:hAnsi="宋体" w:cs="宋体"/>
          <w:b/>
          <w:bCs/>
          <w:spacing w:val="4"/>
          <w:sz w:val="24"/>
          <w:szCs w:val="24"/>
          <w:highlight w:val="none"/>
        </w:rPr>
      </w:pPr>
    </w:p>
    <w:p w14:paraId="051B8762">
      <w:pPr>
        <w:spacing w:before="156" w:beforeLines="50" w:after="156" w:afterLines="50" w:line="360" w:lineRule="auto"/>
        <w:jc w:val="left"/>
        <w:rPr>
          <w:rFonts w:ascii="宋体" w:hAnsi="宋体" w:cs="宋体"/>
          <w:b/>
          <w:bCs/>
          <w:spacing w:val="4"/>
          <w:sz w:val="24"/>
          <w:szCs w:val="24"/>
          <w:highlight w:val="none"/>
        </w:rPr>
      </w:pPr>
    </w:p>
    <w:p w14:paraId="73C70B98">
      <w:pPr>
        <w:spacing w:before="156" w:beforeLines="50" w:after="156" w:afterLines="50" w:line="360" w:lineRule="auto"/>
        <w:jc w:val="left"/>
        <w:rPr>
          <w:rFonts w:ascii="宋体" w:hAnsi="宋体" w:cs="宋体"/>
          <w:b/>
          <w:bCs/>
          <w:spacing w:val="4"/>
          <w:sz w:val="24"/>
          <w:szCs w:val="24"/>
          <w:highlight w:val="none"/>
        </w:rPr>
      </w:pPr>
    </w:p>
    <w:p w14:paraId="2ECD7D19">
      <w:pPr>
        <w:spacing w:before="156" w:beforeLines="50" w:after="156" w:afterLines="50" w:line="360" w:lineRule="auto"/>
        <w:jc w:val="left"/>
        <w:rPr>
          <w:rFonts w:ascii="宋体" w:hAnsi="宋体" w:cs="宋体"/>
          <w:b/>
          <w:bCs/>
          <w:spacing w:val="4"/>
          <w:sz w:val="24"/>
          <w:szCs w:val="24"/>
          <w:highlight w:val="none"/>
        </w:rPr>
      </w:pPr>
    </w:p>
    <w:p w14:paraId="3C679076">
      <w:pPr>
        <w:spacing w:before="156" w:beforeLines="50" w:after="156" w:afterLines="50" w:line="360" w:lineRule="auto"/>
        <w:jc w:val="left"/>
        <w:rPr>
          <w:rFonts w:ascii="宋体" w:hAnsi="宋体" w:cs="宋体"/>
          <w:b/>
          <w:bCs/>
          <w:spacing w:val="4"/>
          <w:sz w:val="24"/>
          <w:szCs w:val="24"/>
          <w:highlight w:val="none"/>
        </w:rPr>
      </w:pPr>
    </w:p>
    <w:p w14:paraId="079E8985">
      <w:pPr>
        <w:spacing w:before="156" w:beforeLines="50" w:after="156" w:afterLines="50" w:line="360" w:lineRule="auto"/>
        <w:jc w:val="left"/>
        <w:rPr>
          <w:rFonts w:ascii="宋体" w:hAnsi="宋体" w:cs="宋体"/>
          <w:b/>
          <w:bCs/>
          <w:spacing w:val="4"/>
          <w:sz w:val="24"/>
          <w:szCs w:val="24"/>
          <w:highlight w:val="none"/>
        </w:rPr>
      </w:pPr>
    </w:p>
    <w:p w14:paraId="33D156CE">
      <w:pPr>
        <w:spacing w:before="156" w:beforeLines="50" w:after="156" w:afterLines="50" w:line="360" w:lineRule="auto"/>
        <w:jc w:val="left"/>
        <w:rPr>
          <w:rFonts w:ascii="宋体" w:hAnsi="宋体" w:cs="宋体"/>
          <w:b/>
          <w:bCs/>
          <w:spacing w:val="4"/>
          <w:sz w:val="24"/>
          <w:szCs w:val="24"/>
          <w:highlight w:val="none"/>
        </w:rPr>
      </w:pPr>
      <w:r>
        <w:rPr>
          <w:rFonts w:hint="eastAsia" w:ascii="宋体" w:hAnsi="宋体" w:cs="宋体"/>
          <w:b/>
          <w:bCs/>
          <w:spacing w:val="4"/>
          <w:sz w:val="24"/>
          <w:szCs w:val="24"/>
          <w:highlight w:val="none"/>
        </w:rPr>
        <w:t>注：非残疾人福利性单位，无须附此表，否则由此产生的一切不利后果由供应商自行承担。</w:t>
      </w:r>
    </w:p>
    <w:p w14:paraId="7F497762">
      <w:pPr>
        <w:spacing w:before="156" w:beforeLines="50" w:after="156" w:afterLines="50" w:line="360" w:lineRule="auto"/>
        <w:jc w:val="center"/>
        <w:rPr>
          <w:rFonts w:ascii="宋体" w:hAnsi="宋体" w:cs="宋体"/>
          <w:spacing w:val="4"/>
          <w:szCs w:val="21"/>
          <w:highlight w:val="none"/>
        </w:rPr>
      </w:pPr>
    </w:p>
    <w:p w14:paraId="00E8B2DE">
      <w:pPr>
        <w:spacing w:line="360" w:lineRule="auto"/>
        <w:ind w:left="1"/>
        <w:jc w:val="center"/>
        <w:rPr>
          <w:rFonts w:ascii="宋体" w:hAnsi="宋体" w:cs="宋体"/>
          <w:b/>
          <w:sz w:val="44"/>
          <w:szCs w:val="44"/>
          <w:highlight w:val="none"/>
        </w:rPr>
      </w:pPr>
    </w:p>
    <w:p w14:paraId="0E8FC3A8">
      <w:pPr>
        <w:spacing w:line="360" w:lineRule="auto"/>
        <w:ind w:left="1"/>
        <w:jc w:val="center"/>
        <w:rPr>
          <w:rFonts w:ascii="宋体" w:hAnsi="宋体" w:cs="宋体"/>
          <w:b/>
          <w:sz w:val="44"/>
          <w:szCs w:val="44"/>
          <w:highlight w:val="none"/>
        </w:rPr>
      </w:pPr>
    </w:p>
    <w:p w14:paraId="58C8CAF5">
      <w:pPr>
        <w:spacing w:line="360" w:lineRule="auto"/>
        <w:ind w:left="1"/>
        <w:jc w:val="center"/>
        <w:rPr>
          <w:rFonts w:ascii="宋体" w:hAnsi="宋体" w:cs="宋体"/>
          <w:b/>
          <w:sz w:val="44"/>
          <w:szCs w:val="44"/>
          <w:highlight w:val="none"/>
        </w:rPr>
      </w:pPr>
      <w:r>
        <w:rPr>
          <w:rFonts w:hint="eastAsia" w:ascii="宋体" w:hAnsi="宋体" w:cs="宋体"/>
          <w:b/>
          <w:sz w:val="44"/>
          <w:szCs w:val="44"/>
          <w:highlight w:val="none"/>
        </w:rPr>
        <w:t>政府采购服务项目</w:t>
      </w:r>
    </w:p>
    <w:p w14:paraId="5DA496B3">
      <w:pPr>
        <w:jc w:val="center"/>
        <w:rPr>
          <w:rFonts w:ascii="宋体" w:hAnsi="宋体" w:cs="宋体"/>
          <w:b/>
          <w:sz w:val="36"/>
          <w:szCs w:val="36"/>
          <w:highlight w:val="none"/>
        </w:rPr>
      </w:pPr>
    </w:p>
    <w:p w14:paraId="7873AD34">
      <w:pPr>
        <w:jc w:val="center"/>
        <w:rPr>
          <w:rFonts w:ascii="宋体" w:hAnsi="宋体" w:cs="宋体"/>
          <w:b/>
          <w:sz w:val="44"/>
          <w:szCs w:val="44"/>
          <w:highlight w:val="none"/>
        </w:rPr>
      </w:pPr>
    </w:p>
    <w:p w14:paraId="6C11EA30">
      <w:pPr>
        <w:jc w:val="center"/>
        <w:rPr>
          <w:rFonts w:ascii="宋体" w:hAnsi="宋体" w:cs="宋体"/>
          <w:b/>
          <w:sz w:val="36"/>
          <w:szCs w:val="36"/>
          <w:highlight w:val="none"/>
        </w:rPr>
      </w:pPr>
    </w:p>
    <w:p w14:paraId="536E630B">
      <w:pPr>
        <w:jc w:val="center"/>
        <w:rPr>
          <w:rFonts w:ascii="宋体" w:hAnsi="宋体" w:cs="宋体"/>
          <w:b/>
          <w:sz w:val="84"/>
          <w:szCs w:val="84"/>
          <w:highlight w:val="none"/>
        </w:rPr>
      </w:pPr>
      <w:r>
        <w:rPr>
          <w:rFonts w:hint="eastAsia" w:ascii="宋体" w:hAnsi="宋体" w:cs="宋体"/>
          <w:b/>
          <w:sz w:val="84"/>
          <w:szCs w:val="84"/>
          <w:highlight w:val="none"/>
        </w:rPr>
        <w:t>投 标 文 件</w:t>
      </w:r>
    </w:p>
    <w:p w14:paraId="695197D7">
      <w:pPr>
        <w:jc w:val="center"/>
        <w:rPr>
          <w:rFonts w:ascii="宋体" w:hAnsi="宋体" w:cs="宋体"/>
          <w:b/>
          <w:sz w:val="36"/>
          <w:szCs w:val="36"/>
          <w:highlight w:val="none"/>
        </w:rPr>
      </w:pPr>
    </w:p>
    <w:p w14:paraId="1005BB20">
      <w:pPr>
        <w:pStyle w:val="4"/>
        <w:spacing w:before="0" w:after="0" w:line="360" w:lineRule="auto"/>
        <w:jc w:val="center"/>
        <w:rPr>
          <w:rFonts w:ascii="宋体" w:hAnsi="宋体" w:eastAsia="宋体" w:cs="宋体"/>
          <w:sz w:val="36"/>
          <w:szCs w:val="36"/>
          <w:highlight w:val="none"/>
        </w:rPr>
      </w:pPr>
      <w:bookmarkStart w:id="78" w:name="_Toc30913"/>
      <w:r>
        <w:rPr>
          <w:rFonts w:hint="eastAsia" w:ascii="宋体" w:hAnsi="宋体" w:eastAsia="宋体" w:cs="宋体"/>
          <w:sz w:val="36"/>
          <w:szCs w:val="36"/>
          <w:highlight w:val="none"/>
        </w:rPr>
        <w:t>（技术和商务部分）</w:t>
      </w:r>
      <w:bookmarkEnd w:id="78"/>
    </w:p>
    <w:p w14:paraId="2DFAA3BF">
      <w:pPr>
        <w:jc w:val="center"/>
        <w:rPr>
          <w:rFonts w:ascii="宋体" w:hAnsi="宋体" w:cs="宋体"/>
          <w:b/>
          <w:sz w:val="36"/>
          <w:szCs w:val="36"/>
          <w:highlight w:val="none"/>
        </w:rPr>
      </w:pPr>
    </w:p>
    <w:p w14:paraId="59692738">
      <w:pPr>
        <w:jc w:val="center"/>
        <w:rPr>
          <w:rFonts w:ascii="宋体" w:hAnsi="宋体" w:cs="宋体"/>
          <w:b/>
          <w:sz w:val="36"/>
          <w:szCs w:val="36"/>
          <w:highlight w:val="none"/>
        </w:rPr>
      </w:pPr>
    </w:p>
    <w:p w14:paraId="16B44E5C">
      <w:pPr>
        <w:tabs>
          <w:tab w:val="left" w:pos="2628"/>
        </w:tabs>
        <w:spacing w:line="360" w:lineRule="auto"/>
        <w:jc w:val="center"/>
        <w:rPr>
          <w:rFonts w:ascii="宋体" w:hAnsi="宋体" w:cs="宋体"/>
          <w:b/>
          <w:sz w:val="30"/>
          <w:szCs w:val="30"/>
          <w:highlight w:val="none"/>
        </w:rPr>
      </w:pPr>
    </w:p>
    <w:p w14:paraId="40D8E65D">
      <w:pPr>
        <w:tabs>
          <w:tab w:val="left" w:pos="2628"/>
        </w:tabs>
        <w:spacing w:line="360" w:lineRule="auto"/>
        <w:ind w:left="2497" w:leftChars="544" w:hanging="1355" w:hangingChars="450"/>
        <w:jc w:val="left"/>
        <w:rPr>
          <w:rFonts w:ascii="宋体" w:hAnsi="宋体" w:cs="宋体"/>
          <w:b/>
          <w:sz w:val="30"/>
          <w:szCs w:val="30"/>
          <w:highlight w:val="none"/>
          <w:u w:val="single"/>
        </w:rPr>
      </w:pPr>
      <w:r>
        <w:rPr>
          <w:rFonts w:hint="eastAsia" w:ascii="宋体" w:hAnsi="宋体" w:cs="宋体"/>
          <w:b/>
          <w:sz w:val="30"/>
          <w:szCs w:val="30"/>
          <w:highlight w:val="none"/>
        </w:rPr>
        <w:t>项目名称：</w:t>
      </w:r>
      <w:r>
        <w:rPr>
          <w:rFonts w:hint="eastAsia" w:ascii="宋体" w:hAnsi="宋体" w:cs="宋体"/>
          <w:b/>
          <w:sz w:val="30"/>
          <w:szCs w:val="30"/>
          <w:highlight w:val="none"/>
          <w:u w:val="single"/>
        </w:rPr>
        <w:t xml:space="preserve">                          </w:t>
      </w:r>
    </w:p>
    <w:p w14:paraId="70B6288C">
      <w:pPr>
        <w:tabs>
          <w:tab w:val="left" w:pos="2628"/>
        </w:tabs>
        <w:spacing w:line="360" w:lineRule="auto"/>
        <w:ind w:left="2497" w:leftChars="544" w:hanging="1355" w:hangingChars="450"/>
        <w:jc w:val="left"/>
        <w:rPr>
          <w:rFonts w:ascii="宋体" w:hAnsi="宋体" w:cs="宋体"/>
          <w:b/>
          <w:sz w:val="30"/>
          <w:szCs w:val="30"/>
          <w:highlight w:val="none"/>
          <w:u w:val="single"/>
        </w:rPr>
      </w:pPr>
      <w:r>
        <w:rPr>
          <w:rFonts w:hint="eastAsia" w:ascii="宋体" w:hAnsi="宋体" w:cs="宋体"/>
          <w:b/>
          <w:sz w:val="30"/>
          <w:szCs w:val="30"/>
          <w:highlight w:val="none"/>
        </w:rPr>
        <w:t>项目编号：</w:t>
      </w:r>
      <w:r>
        <w:rPr>
          <w:rFonts w:hint="eastAsia" w:ascii="宋体" w:hAnsi="宋体" w:cs="宋体"/>
          <w:b/>
          <w:sz w:val="30"/>
          <w:szCs w:val="30"/>
          <w:highlight w:val="none"/>
          <w:u w:val="single"/>
        </w:rPr>
        <w:t xml:space="preserve">                          </w:t>
      </w:r>
    </w:p>
    <w:p w14:paraId="53163DEA">
      <w:pPr>
        <w:tabs>
          <w:tab w:val="left" w:pos="2628"/>
        </w:tabs>
        <w:spacing w:line="360" w:lineRule="auto"/>
        <w:ind w:left="2497" w:leftChars="544" w:hanging="1355" w:hangingChars="450"/>
        <w:jc w:val="left"/>
        <w:rPr>
          <w:rFonts w:ascii="宋体" w:hAnsi="宋体" w:cs="宋体"/>
          <w:b/>
          <w:sz w:val="30"/>
          <w:szCs w:val="30"/>
          <w:highlight w:val="none"/>
        </w:rPr>
      </w:pPr>
      <w:r>
        <w:rPr>
          <w:rFonts w:hint="eastAsia" w:ascii="宋体" w:hAnsi="宋体" w:cs="宋体"/>
          <w:b/>
          <w:sz w:val="30"/>
          <w:szCs w:val="30"/>
          <w:highlight w:val="none"/>
        </w:rPr>
        <w:t>包    号：</w:t>
      </w:r>
      <w:r>
        <w:rPr>
          <w:rFonts w:hint="eastAsia" w:ascii="宋体" w:hAnsi="宋体" w:cs="宋体"/>
          <w:b/>
          <w:sz w:val="30"/>
          <w:szCs w:val="30"/>
          <w:highlight w:val="none"/>
          <w:u w:val="single"/>
        </w:rPr>
        <w:t xml:space="preserve">                          </w:t>
      </w:r>
    </w:p>
    <w:p w14:paraId="4C452520">
      <w:pPr>
        <w:tabs>
          <w:tab w:val="left" w:pos="2628"/>
        </w:tabs>
        <w:spacing w:line="360" w:lineRule="auto"/>
        <w:jc w:val="left"/>
        <w:rPr>
          <w:rFonts w:ascii="宋体" w:hAnsi="宋体" w:cs="宋体"/>
          <w:b/>
          <w:bCs/>
          <w:sz w:val="30"/>
          <w:szCs w:val="30"/>
          <w:highlight w:val="none"/>
        </w:rPr>
      </w:pPr>
    </w:p>
    <w:p w14:paraId="746B9C3F">
      <w:pPr>
        <w:spacing w:line="360" w:lineRule="auto"/>
        <w:rPr>
          <w:rFonts w:ascii="宋体" w:hAnsi="宋体" w:cs="宋体"/>
          <w:sz w:val="44"/>
          <w:szCs w:val="44"/>
          <w:highlight w:val="none"/>
        </w:rPr>
      </w:pPr>
    </w:p>
    <w:p w14:paraId="24F9A917">
      <w:pPr>
        <w:spacing w:after="156" w:afterLines="50" w:line="360" w:lineRule="auto"/>
        <w:ind w:firstLine="1506" w:firstLineChars="500"/>
        <w:rPr>
          <w:rFonts w:ascii="宋体" w:hAnsi="宋体" w:cs="宋体"/>
          <w:b/>
          <w:sz w:val="30"/>
          <w:szCs w:val="30"/>
          <w:highlight w:val="none"/>
        </w:rPr>
      </w:pPr>
      <w:r>
        <w:rPr>
          <w:rFonts w:hint="eastAsia" w:ascii="宋体" w:hAnsi="宋体" w:cs="宋体"/>
          <w:b/>
          <w:sz w:val="30"/>
          <w:szCs w:val="30"/>
          <w:highlight w:val="none"/>
        </w:rPr>
        <w:t>供应商名称：</w:t>
      </w:r>
      <w:r>
        <w:rPr>
          <w:rFonts w:hint="eastAsia" w:ascii="宋体" w:hAnsi="宋体" w:cs="宋体"/>
          <w:b/>
          <w:sz w:val="30"/>
          <w:szCs w:val="30"/>
          <w:highlight w:val="none"/>
          <w:u w:val="single"/>
        </w:rPr>
        <w:t xml:space="preserve">                </w:t>
      </w:r>
      <w:r>
        <w:rPr>
          <w:rFonts w:hint="eastAsia" w:ascii="宋体" w:hAnsi="宋体" w:cs="宋体"/>
          <w:b/>
          <w:sz w:val="30"/>
          <w:szCs w:val="30"/>
          <w:highlight w:val="none"/>
        </w:rPr>
        <w:t>（公章）</w:t>
      </w:r>
    </w:p>
    <w:p w14:paraId="5D33CDB6">
      <w:pPr>
        <w:spacing w:before="156" w:beforeLines="50" w:line="360" w:lineRule="auto"/>
        <w:ind w:firstLine="1506" w:firstLineChars="500"/>
        <w:rPr>
          <w:rFonts w:ascii="宋体" w:hAnsi="宋体" w:cs="宋体"/>
          <w:b/>
          <w:sz w:val="30"/>
          <w:szCs w:val="30"/>
          <w:highlight w:val="none"/>
        </w:rPr>
      </w:pPr>
      <w:r>
        <w:rPr>
          <w:rFonts w:hint="eastAsia" w:ascii="宋体" w:hAnsi="宋体" w:cs="宋体"/>
          <w:b/>
          <w:sz w:val="30"/>
          <w:szCs w:val="30"/>
          <w:highlight w:val="none"/>
        </w:rPr>
        <w:t>日      期：</w:t>
      </w:r>
      <w:r>
        <w:rPr>
          <w:rFonts w:hint="eastAsia" w:ascii="宋体" w:hAnsi="宋体" w:cs="宋体"/>
          <w:b/>
          <w:sz w:val="30"/>
          <w:szCs w:val="30"/>
          <w:highlight w:val="none"/>
          <w:u w:val="single"/>
        </w:rPr>
        <w:t xml:space="preserve">      </w:t>
      </w:r>
      <w:r>
        <w:rPr>
          <w:rFonts w:hint="eastAsia" w:ascii="宋体" w:hAnsi="宋体" w:cs="宋体"/>
          <w:b/>
          <w:sz w:val="30"/>
          <w:szCs w:val="30"/>
          <w:highlight w:val="none"/>
        </w:rPr>
        <w:t>年</w:t>
      </w:r>
      <w:r>
        <w:rPr>
          <w:rFonts w:hint="eastAsia" w:ascii="宋体" w:hAnsi="宋体" w:cs="宋体"/>
          <w:b/>
          <w:sz w:val="30"/>
          <w:szCs w:val="30"/>
          <w:highlight w:val="none"/>
          <w:u w:val="single"/>
        </w:rPr>
        <w:t xml:space="preserve">     </w:t>
      </w:r>
      <w:r>
        <w:rPr>
          <w:rFonts w:hint="eastAsia" w:ascii="宋体" w:hAnsi="宋体" w:cs="宋体"/>
          <w:b/>
          <w:sz w:val="30"/>
          <w:szCs w:val="30"/>
          <w:highlight w:val="none"/>
        </w:rPr>
        <w:t>月</w:t>
      </w:r>
      <w:r>
        <w:rPr>
          <w:rFonts w:hint="eastAsia" w:ascii="宋体" w:hAnsi="宋体" w:cs="宋体"/>
          <w:b/>
          <w:sz w:val="30"/>
          <w:szCs w:val="30"/>
          <w:highlight w:val="none"/>
          <w:u w:val="single"/>
        </w:rPr>
        <w:t xml:space="preserve">     </w:t>
      </w:r>
      <w:r>
        <w:rPr>
          <w:rFonts w:hint="eastAsia" w:ascii="宋体" w:hAnsi="宋体" w:cs="宋体"/>
          <w:b/>
          <w:sz w:val="30"/>
          <w:szCs w:val="30"/>
          <w:highlight w:val="none"/>
        </w:rPr>
        <w:t>日</w:t>
      </w:r>
    </w:p>
    <w:p w14:paraId="16E7AA1D">
      <w:pPr>
        <w:spacing w:before="312" w:beforeLines="100" w:after="312" w:afterLines="100" w:line="360" w:lineRule="auto"/>
        <w:jc w:val="center"/>
        <w:rPr>
          <w:rFonts w:ascii="宋体" w:hAnsi="宋体" w:cs="宋体"/>
          <w:b/>
          <w:bCs/>
          <w:spacing w:val="4"/>
          <w:sz w:val="48"/>
          <w:szCs w:val="48"/>
          <w:highlight w:val="none"/>
        </w:rPr>
      </w:pPr>
      <w:r>
        <w:rPr>
          <w:rFonts w:hint="eastAsia" w:ascii="宋体" w:hAnsi="宋体" w:cs="宋体"/>
          <w:b/>
          <w:sz w:val="36"/>
          <w:szCs w:val="36"/>
          <w:highlight w:val="none"/>
        </w:rPr>
        <w:br w:type="page"/>
      </w:r>
      <w:r>
        <w:rPr>
          <w:rFonts w:hint="eastAsia" w:ascii="宋体" w:hAnsi="宋体" w:cs="宋体"/>
          <w:b/>
          <w:bCs/>
          <w:spacing w:val="4"/>
          <w:sz w:val="48"/>
          <w:szCs w:val="48"/>
          <w:highlight w:val="none"/>
        </w:rPr>
        <w:t>目 录</w:t>
      </w:r>
    </w:p>
    <w:p w14:paraId="70441B87">
      <w:pPr>
        <w:numPr>
          <w:ilvl w:val="0"/>
          <w:numId w:val="4"/>
        </w:numPr>
        <w:spacing w:before="240" w:line="360" w:lineRule="auto"/>
        <w:rPr>
          <w:rFonts w:ascii="宋体" w:hAnsi="宋体" w:cs="宋体"/>
          <w:spacing w:val="4"/>
          <w:sz w:val="30"/>
          <w:szCs w:val="30"/>
          <w:highlight w:val="none"/>
        </w:rPr>
      </w:pPr>
      <w:r>
        <w:rPr>
          <w:rFonts w:hint="eastAsia" w:ascii="宋体" w:hAnsi="宋体" w:cs="宋体"/>
          <w:spacing w:val="4"/>
          <w:sz w:val="30"/>
          <w:szCs w:val="30"/>
          <w:highlight w:val="none"/>
        </w:rPr>
        <w:t>投标函</w:t>
      </w:r>
    </w:p>
    <w:p w14:paraId="48E32A24">
      <w:pPr>
        <w:numPr>
          <w:ilvl w:val="0"/>
          <w:numId w:val="4"/>
        </w:numPr>
        <w:spacing w:before="240" w:line="360" w:lineRule="auto"/>
        <w:rPr>
          <w:rFonts w:ascii="宋体" w:hAnsi="宋体" w:cs="宋体"/>
          <w:spacing w:val="4"/>
          <w:sz w:val="30"/>
          <w:szCs w:val="30"/>
          <w:highlight w:val="none"/>
        </w:rPr>
      </w:pPr>
      <w:r>
        <w:rPr>
          <w:rFonts w:hint="eastAsia" w:ascii="宋体" w:hAnsi="宋体" w:cs="宋体"/>
          <w:spacing w:val="4"/>
          <w:sz w:val="30"/>
          <w:szCs w:val="30"/>
          <w:highlight w:val="none"/>
        </w:rPr>
        <w:t>投标报价表</w:t>
      </w:r>
    </w:p>
    <w:p w14:paraId="0B7F7A3E">
      <w:pPr>
        <w:numPr>
          <w:ilvl w:val="0"/>
          <w:numId w:val="4"/>
        </w:numPr>
        <w:spacing w:before="240" w:line="360" w:lineRule="auto"/>
        <w:rPr>
          <w:rFonts w:ascii="宋体" w:hAnsi="宋体" w:cs="宋体"/>
          <w:spacing w:val="4"/>
          <w:sz w:val="30"/>
          <w:szCs w:val="30"/>
          <w:highlight w:val="none"/>
        </w:rPr>
      </w:pPr>
      <w:r>
        <w:rPr>
          <w:rFonts w:hint="eastAsia" w:ascii="宋体" w:hAnsi="宋体" w:cs="宋体"/>
          <w:spacing w:val="4"/>
          <w:sz w:val="30"/>
          <w:szCs w:val="30"/>
          <w:highlight w:val="none"/>
        </w:rPr>
        <w:t>投标方案说明书</w:t>
      </w:r>
    </w:p>
    <w:p w14:paraId="00D3D128">
      <w:pPr>
        <w:spacing w:before="312" w:beforeLines="100" w:after="312" w:afterLines="100" w:line="360" w:lineRule="auto"/>
        <w:jc w:val="center"/>
        <w:rPr>
          <w:rFonts w:ascii="宋体" w:hAnsi="宋体" w:cs="宋体"/>
          <w:spacing w:val="4"/>
          <w:sz w:val="36"/>
          <w:szCs w:val="36"/>
          <w:highlight w:val="none"/>
        </w:rPr>
      </w:pPr>
      <w:r>
        <w:rPr>
          <w:rFonts w:hint="eastAsia" w:ascii="宋体" w:hAnsi="宋体" w:cs="宋体"/>
          <w:b/>
          <w:spacing w:val="4"/>
          <w:sz w:val="36"/>
          <w:szCs w:val="36"/>
          <w:highlight w:val="none"/>
        </w:rPr>
        <w:br w:type="page"/>
      </w:r>
      <w:r>
        <w:rPr>
          <w:rFonts w:hint="eastAsia" w:ascii="宋体" w:hAnsi="宋体" w:cs="宋体"/>
          <w:b/>
          <w:spacing w:val="4"/>
          <w:sz w:val="36"/>
          <w:szCs w:val="36"/>
          <w:highlight w:val="none"/>
        </w:rPr>
        <w:t>一、投标函</w:t>
      </w:r>
    </w:p>
    <w:p w14:paraId="14B584F9">
      <w:pPr>
        <w:spacing w:line="360" w:lineRule="auto"/>
        <w:rPr>
          <w:rFonts w:ascii="宋体" w:hAnsi="宋体" w:cs="宋体"/>
          <w:spacing w:val="4"/>
          <w:szCs w:val="21"/>
          <w:highlight w:val="none"/>
        </w:rPr>
      </w:pPr>
      <w:r>
        <w:rPr>
          <w:rFonts w:hint="eastAsia" w:ascii="宋体" w:hAnsi="宋体" w:cs="宋体"/>
          <w:spacing w:val="4"/>
          <w:szCs w:val="21"/>
          <w:highlight w:val="none"/>
        </w:rPr>
        <w:t>致：西北（陕西）国际招标有限公司</w:t>
      </w:r>
    </w:p>
    <w:p w14:paraId="3F50244C">
      <w:pPr>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根据贵方为</w:t>
      </w:r>
      <w:r>
        <w:rPr>
          <w:rFonts w:hint="eastAsia" w:ascii="宋体" w:hAnsi="宋体" w:cs="宋体"/>
          <w:spacing w:val="4"/>
          <w:szCs w:val="21"/>
          <w:highlight w:val="none"/>
          <w:u w:val="single"/>
        </w:rPr>
        <w:t>（ 项目名称 ）</w:t>
      </w:r>
      <w:r>
        <w:rPr>
          <w:rFonts w:hint="eastAsia" w:ascii="宋体" w:hAnsi="宋体" w:cs="宋体"/>
          <w:spacing w:val="4"/>
          <w:szCs w:val="21"/>
          <w:highlight w:val="none"/>
        </w:rPr>
        <w:t>项目招标采购服务的投标邀请</w:t>
      </w:r>
      <w:r>
        <w:rPr>
          <w:rFonts w:hint="eastAsia" w:ascii="宋体" w:hAnsi="宋体" w:cs="宋体"/>
          <w:spacing w:val="4"/>
          <w:szCs w:val="21"/>
          <w:highlight w:val="none"/>
          <w:u w:val="single"/>
        </w:rPr>
        <w:t>( 项目编号 )</w:t>
      </w:r>
      <w:r>
        <w:rPr>
          <w:rFonts w:hint="eastAsia" w:ascii="宋体" w:hAnsi="宋体" w:cs="宋体"/>
          <w:spacing w:val="4"/>
          <w:szCs w:val="21"/>
          <w:highlight w:val="none"/>
        </w:rPr>
        <w:t>，签字代表</w:t>
      </w:r>
      <w:r>
        <w:rPr>
          <w:rFonts w:hint="eastAsia" w:ascii="宋体" w:hAnsi="宋体" w:cs="宋体"/>
          <w:spacing w:val="4"/>
          <w:szCs w:val="21"/>
          <w:highlight w:val="none"/>
          <w:u w:val="single"/>
        </w:rPr>
        <w:t>（ 姓名、职务 ）</w:t>
      </w:r>
      <w:r>
        <w:rPr>
          <w:rFonts w:hint="eastAsia" w:ascii="宋体" w:hAnsi="宋体" w:cs="宋体"/>
          <w:spacing w:val="4"/>
          <w:szCs w:val="21"/>
          <w:highlight w:val="none"/>
        </w:rPr>
        <w:t>经正式授权并代表供应商</w:t>
      </w:r>
      <w:r>
        <w:rPr>
          <w:rFonts w:hint="eastAsia" w:ascii="宋体" w:hAnsi="宋体" w:cs="宋体"/>
          <w:spacing w:val="4"/>
          <w:szCs w:val="21"/>
          <w:highlight w:val="none"/>
          <w:u w:val="single"/>
        </w:rPr>
        <w:t>( 供应商名称 )</w:t>
      </w:r>
      <w:r>
        <w:rPr>
          <w:rFonts w:hint="eastAsia" w:ascii="宋体" w:hAnsi="宋体" w:cs="宋体"/>
          <w:spacing w:val="4"/>
          <w:szCs w:val="21"/>
          <w:highlight w:val="none"/>
        </w:rPr>
        <w:t>提交下述文件。</w:t>
      </w:r>
    </w:p>
    <w:p w14:paraId="3821060B">
      <w:pPr>
        <w:spacing w:line="360" w:lineRule="auto"/>
        <w:ind w:left="546" w:leftChars="251" w:hanging="19" w:hangingChars="9"/>
        <w:rPr>
          <w:rFonts w:ascii="宋体" w:hAnsi="宋体" w:cs="宋体"/>
          <w:spacing w:val="4"/>
          <w:szCs w:val="21"/>
          <w:highlight w:val="none"/>
        </w:rPr>
      </w:pPr>
      <w:r>
        <w:rPr>
          <w:rFonts w:hint="eastAsia" w:ascii="宋体" w:hAnsi="宋体" w:cs="宋体"/>
          <w:spacing w:val="4"/>
          <w:szCs w:val="21"/>
          <w:highlight w:val="none"/>
        </w:rPr>
        <w:t>我方承诺如下：</w:t>
      </w:r>
    </w:p>
    <w:p w14:paraId="347503BE">
      <w:pPr>
        <w:numPr>
          <w:ilvl w:val="0"/>
          <w:numId w:val="5"/>
        </w:numPr>
        <w:tabs>
          <w:tab w:val="left" w:pos="2160"/>
        </w:tabs>
        <w:spacing w:line="360" w:lineRule="auto"/>
        <w:ind w:left="0" w:firstLine="0"/>
        <w:rPr>
          <w:rFonts w:ascii="宋体" w:hAnsi="宋体" w:cs="宋体"/>
          <w:spacing w:val="4"/>
          <w:szCs w:val="21"/>
          <w:highlight w:val="none"/>
        </w:rPr>
      </w:pPr>
      <w:r>
        <w:rPr>
          <w:rFonts w:hint="eastAsia" w:ascii="宋体" w:hAnsi="宋体" w:cs="宋体"/>
          <w:spacing w:val="4"/>
          <w:szCs w:val="21"/>
          <w:highlight w:val="none"/>
        </w:rPr>
        <w:t>投标报价详见开标一览表。</w:t>
      </w:r>
    </w:p>
    <w:p w14:paraId="26EF4955">
      <w:pPr>
        <w:numPr>
          <w:ilvl w:val="0"/>
          <w:numId w:val="5"/>
        </w:numPr>
        <w:tabs>
          <w:tab w:val="left" w:pos="2160"/>
        </w:tabs>
        <w:spacing w:line="360" w:lineRule="auto"/>
        <w:ind w:left="0" w:firstLine="0"/>
        <w:rPr>
          <w:rFonts w:ascii="宋体" w:hAnsi="宋体" w:cs="宋体"/>
          <w:spacing w:val="4"/>
          <w:szCs w:val="21"/>
          <w:highlight w:val="none"/>
        </w:rPr>
      </w:pPr>
      <w:r>
        <w:rPr>
          <w:rFonts w:hint="eastAsia" w:ascii="宋体" w:hAnsi="宋体" w:cs="宋体"/>
          <w:spacing w:val="4"/>
          <w:szCs w:val="21"/>
          <w:highlight w:val="none"/>
        </w:rPr>
        <w:t>如果中标，我们根据招标文件的规定，履行合同的责任和义务。</w:t>
      </w:r>
    </w:p>
    <w:p w14:paraId="4F1459C7">
      <w:pPr>
        <w:numPr>
          <w:ilvl w:val="0"/>
          <w:numId w:val="5"/>
        </w:numPr>
        <w:tabs>
          <w:tab w:val="left" w:pos="2160"/>
        </w:tabs>
        <w:spacing w:line="360" w:lineRule="auto"/>
        <w:ind w:left="0" w:firstLine="0"/>
        <w:rPr>
          <w:rFonts w:ascii="宋体" w:hAnsi="宋体" w:cs="宋体"/>
          <w:spacing w:val="4"/>
          <w:szCs w:val="21"/>
          <w:highlight w:val="none"/>
        </w:rPr>
      </w:pPr>
      <w:r>
        <w:rPr>
          <w:rFonts w:hint="eastAsia" w:ascii="宋体" w:hAnsi="宋体" w:cs="宋体"/>
          <w:spacing w:val="4"/>
          <w:szCs w:val="21"/>
          <w:highlight w:val="none"/>
        </w:rPr>
        <w:t>我们已详细阅读和审核全部招标文件（含修改部分，如有的话），及有关附件，我们知道必须放弃提出含糊不清或误解的问题的权利。</w:t>
      </w:r>
    </w:p>
    <w:p w14:paraId="3A9539E2">
      <w:pPr>
        <w:numPr>
          <w:ilvl w:val="0"/>
          <w:numId w:val="5"/>
        </w:numPr>
        <w:tabs>
          <w:tab w:val="left" w:pos="2160"/>
        </w:tabs>
        <w:spacing w:line="360" w:lineRule="auto"/>
        <w:ind w:left="0" w:firstLine="0"/>
        <w:rPr>
          <w:rFonts w:ascii="宋体" w:hAnsi="宋体" w:cs="宋体"/>
          <w:spacing w:val="4"/>
          <w:szCs w:val="21"/>
          <w:highlight w:val="none"/>
        </w:rPr>
      </w:pPr>
      <w:r>
        <w:rPr>
          <w:rFonts w:hint="eastAsia" w:ascii="宋体" w:hAnsi="宋体" w:cs="宋体"/>
          <w:spacing w:val="4"/>
          <w:szCs w:val="21"/>
          <w:highlight w:val="none"/>
        </w:rPr>
        <w:t>我们同意在贵方文件规定的投标有效期内（自开标之日起</w:t>
      </w:r>
      <w:r>
        <w:rPr>
          <w:rFonts w:hint="eastAsia" w:ascii="宋体" w:hAnsi="宋体" w:cs="宋体"/>
          <w:spacing w:val="4"/>
          <w:szCs w:val="21"/>
          <w:highlight w:val="none"/>
          <w:u w:val="single"/>
        </w:rPr>
        <w:t xml:space="preserve"> 90 </w:t>
      </w:r>
      <w:r>
        <w:rPr>
          <w:rFonts w:hint="eastAsia" w:ascii="宋体" w:hAnsi="宋体" w:cs="宋体"/>
          <w:spacing w:val="4"/>
          <w:szCs w:val="21"/>
          <w:highlight w:val="none"/>
        </w:rPr>
        <w:t>天内），本投标函对我方具有约束力。</w:t>
      </w:r>
    </w:p>
    <w:p w14:paraId="01067E8A">
      <w:pPr>
        <w:numPr>
          <w:ilvl w:val="0"/>
          <w:numId w:val="5"/>
        </w:numPr>
        <w:tabs>
          <w:tab w:val="left" w:pos="2160"/>
        </w:tabs>
        <w:spacing w:line="360" w:lineRule="auto"/>
        <w:ind w:left="0" w:firstLine="0"/>
        <w:rPr>
          <w:rFonts w:ascii="宋体" w:hAnsi="宋体" w:cs="宋体"/>
          <w:spacing w:val="4"/>
          <w:szCs w:val="21"/>
          <w:highlight w:val="none"/>
        </w:rPr>
      </w:pPr>
      <w:r>
        <w:rPr>
          <w:rFonts w:hint="eastAsia" w:ascii="宋体" w:hAnsi="宋体" w:cs="宋体"/>
          <w:spacing w:val="4"/>
          <w:szCs w:val="21"/>
          <w:highlight w:val="none"/>
        </w:rPr>
        <w:t>我方承诺，按照招标要求提交的全部资格和其他证明文件的真实性，如有虚假，愿承担一切法律责任。</w:t>
      </w:r>
    </w:p>
    <w:p w14:paraId="7F65F9F1">
      <w:pPr>
        <w:numPr>
          <w:ilvl w:val="0"/>
          <w:numId w:val="5"/>
        </w:numPr>
        <w:tabs>
          <w:tab w:val="left" w:pos="2160"/>
        </w:tabs>
        <w:spacing w:line="360" w:lineRule="auto"/>
        <w:ind w:left="0" w:firstLine="0"/>
        <w:rPr>
          <w:rFonts w:ascii="宋体" w:hAnsi="宋体" w:cs="宋体"/>
          <w:spacing w:val="4"/>
          <w:szCs w:val="21"/>
          <w:highlight w:val="none"/>
        </w:rPr>
      </w:pPr>
      <w:r>
        <w:rPr>
          <w:rFonts w:hint="eastAsia" w:ascii="宋体" w:hAnsi="宋体" w:cs="宋体"/>
          <w:spacing w:val="4"/>
          <w:szCs w:val="21"/>
          <w:highlight w:val="none"/>
        </w:rPr>
        <w:t xml:space="preserve">同意提供贵方可能另外要求的与本投标有关的任何证据和资料。 </w:t>
      </w:r>
    </w:p>
    <w:p w14:paraId="1A2EB0DB">
      <w:pPr>
        <w:numPr>
          <w:ilvl w:val="0"/>
          <w:numId w:val="5"/>
        </w:numPr>
        <w:tabs>
          <w:tab w:val="left" w:pos="2160"/>
        </w:tabs>
        <w:spacing w:line="360" w:lineRule="auto"/>
        <w:ind w:left="0" w:firstLine="0"/>
        <w:rPr>
          <w:rFonts w:ascii="宋体" w:hAnsi="宋体" w:cs="宋体"/>
          <w:spacing w:val="4"/>
          <w:szCs w:val="21"/>
          <w:highlight w:val="none"/>
        </w:rPr>
      </w:pPr>
      <w:r>
        <w:rPr>
          <w:rFonts w:hint="eastAsia" w:ascii="宋体" w:hAnsi="宋体" w:cs="宋体"/>
          <w:spacing w:val="4"/>
          <w:szCs w:val="21"/>
          <w:highlight w:val="none"/>
        </w:rPr>
        <w:t>我们同意，如果中标，向西北（陕西）国际招标有限公司交纳招标代理服务费。</w:t>
      </w:r>
    </w:p>
    <w:p w14:paraId="31BB5C94">
      <w:pPr>
        <w:numPr>
          <w:ilvl w:val="0"/>
          <w:numId w:val="5"/>
        </w:numPr>
        <w:tabs>
          <w:tab w:val="left" w:pos="2160"/>
        </w:tabs>
        <w:spacing w:line="360" w:lineRule="auto"/>
        <w:ind w:left="0" w:firstLine="0"/>
        <w:rPr>
          <w:rFonts w:ascii="宋体" w:hAnsi="宋体" w:cs="宋体"/>
          <w:spacing w:val="4"/>
          <w:szCs w:val="21"/>
          <w:highlight w:val="none"/>
        </w:rPr>
      </w:pPr>
      <w:r>
        <w:rPr>
          <w:rFonts w:hint="eastAsia" w:ascii="宋体" w:hAnsi="宋体" w:cs="宋体"/>
          <w:spacing w:val="4"/>
          <w:szCs w:val="21"/>
          <w:highlight w:val="none"/>
        </w:rPr>
        <w:t>与本投标有关的一切正式信函请寄：</w:t>
      </w:r>
    </w:p>
    <w:p w14:paraId="7501E343">
      <w:pPr>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详细地址：                          邮政编码：</w:t>
      </w:r>
    </w:p>
    <w:p w14:paraId="431F86B4">
      <w:pPr>
        <w:spacing w:line="360" w:lineRule="auto"/>
        <w:ind w:firstLine="436" w:firstLineChars="200"/>
        <w:rPr>
          <w:rFonts w:ascii="宋体" w:hAnsi="宋体" w:cs="宋体"/>
          <w:spacing w:val="4"/>
          <w:szCs w:val="21"/>
          <w:highlight w:val="none"/>
        </w:rPr>
      </w:pPr>
      <w:r>
        <w:rPr>
          <w:rFonts w:hint="eastAsia" w:ascii="宋体" w:hAnsi="宋体" w:cs="宋体"/>
          <w:spacing w:val="4"/>
          <w:szCs w:val="21"/>
          <w:highlight w:val="none"/>
        </w:rPr>
        <w:t>电话/传真：                         电子邮件：</w:t>
      </w:r>
    </w:p>
    <w:p w14:paraId="1CF0CC6B">
      <w:pPr>
        <w:spacing w:line="440" w:lineRule="exact"/>
        <w:rPr>
          <w:rFonts w:ascii="宋体" w:hAnsi="宋体" w:cs="宋体"/>
          <w:spacing w:val="4"/>
          <w:szCs w:val="21"/>
          <w:highlight w:val="none"/>
        </w:rPr>
      </w:pPr>
    </w:p>
    <w:p w14:paraId="1F6F6FEE">
      <w:pPr>
        <w:pStyle w:val="9"/>
        <w:rPr>
          <w:highlight w:val="none"/>
        </w:rPr>
      </w:pPr>
    </w:p>
    <w:p w14:paraId="24AA7F1E">
      <w:pPr>
        <w:spacing w:before="312" w:beforeLines="100" w:after="312" w:afterLines="100" w:line="360" w:lineRule="auto"/>
        <w:rPr>
          <w:rFonts w:ascii="宋体" w:hAnsi="宋体" w:cs="宋体"/>
          <w:spacing w:val="4"/>
          <w:szCs w:val="21"/>
          <w:highlight w:val="none"/>
        </w:rPr>
      </w:pPr>
      <w:r>
        <w:rPr>
          <w:rFonts w:hint="eastAsia" w:ascii="宋体" w:hAnsi="宋体" w:cs="宋体"/>
          <w:spacing w:val="4"/>
          <w:szCs w:val="21"/>
          <w:highlight w:val="none"/>
        </w:rPr>
        <w:t>供应商名称：</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（加盖公章）</w:t>
      </w:r>
    </w:p>
    <w:p w14:paraId="656B84D6">
      <w:pPr>
        <w:spacing w:before="312" w:beforeLines="100" w:after="312" w:afterLines="100" w:line="360" w:lineRule="auto"/>
        <w:rPr>
          <w:rFonts w:ascii="宋体" w:hAnsi="宋体" w:cs="宋体"/>
          <w:spacing w:val="4"/>
          <w:szCs w:val="21"/>
          <w:highlight w:val="none"/>
        </w:rPr>
      </w:pPr>
      <w:r>
        <w:rPr>
          <w:rFonts w:hint="eastAsia" w:ascii="宋体" w:hAnsi="宋体" w:cs="宋体"/>
          <w:spacing w:val="4"/>
          <w:szCs w:val="21"/>
          <w:highlight w:val="none"/>
        </w:rPr>
        <w:t>法定代表人或授权代表（签字或盖章）：</w:t>
      </w:r>
      <w:r>
        <w:rPr>
          <w:rFonts w:hint="eastAsia" w:ascii="宋体" w:hAnsi="宋体" w:cs="宋体"/>
          <w:spacing w:val="4"/>
          <w:szCs w:val="21"/>
          <w:highlight w:val="none"/>
          <w:u w:val="single"/>
        </w:rPr>
        <w:t xml:space="preserve">                      </w:t>
      </w:r>
    </w:p>
    <w:p w14:paraId="087F01E0">
      <w:pPr>
        <w:spacing w:before="312" w:beforeLines="100" w:after="312" w:afterLines="100" w:line="360" w:lineRule="auto"/>
        <w:rPr>
          <w:rFonts w:ascii="宋体" w:hAnsi="宋体" w:cs="宋体"/>
          <w:spacing w:val="4"/>
          <w:szCs w:val="21"/>
          <w:highlight w:val="none"/>
        </w:rPr>
      </w:pPr>
      <w:r>
        <w:rPr>
          <w:rFonts w:hint="eastAsia" w:ascii="宋体" w:hAnsi="宋体" w:cs="宋体"/>
          <w:spacing w:val="4"/>
          <w:szCs w:val="21"/>
          <w:highlight w:val="none"/>
        </w:rPr>
        <w:t>日期：</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年</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月</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日</w:t>
      </w:r>
    </w:p>
    <w:p w14:paraId="52AC6B61">
      <w:pPr>
        <w:spacing w:before="240" w:line="360" w:lineRule="auto"/>
        <w:jc w:val="center"/>
        <w:rPr>
          <w:rFonts w:ascii="宋体" w:hAnsi="宋体" w:cs="宋体"/>
          <w:b/>
          <w:sz w:val="36"/>
          <w:szCs w:val="36"/>
          <w:highlight w:val="none"/>
        </w:rPr>
      </w:pPr>
      <w:r>
        <w:rPr>
          <w:rFonts w:hint="eastAsia" w:ascii="宋体" w:hAnsi="宋体" w:cs="宋体"/>
          <w:highlight w:val="none"/>
        </w:rPr>
        <w:br w:type="page"/>
      </w:r>
      <w:r>
        <w:rPr>
          <w:rFonts w:hint="eastAsia" w:ascii="宋体" w:hAnsi="宋体" w:cs="宋体"/>
          <w:sz w:val="36"/>
          <w:szCs w:val="36"/>
          <w:highlight w:val="none"/>
        </w:rPr>
        <w:t>二、</w:t>
      </w:r>
      <w:r>
        <w:rPr>
          <w:rFonts w:hint="eastAsia" w:ascii="宋体" w:hAnsi="宋体" w:cs="宋体"/>
          <w:b/>
          <w:sz w:val="36"/>
          <w:szCs w:val="36"/>
          <w:highlight w:val="none"/>
        </w:rPr>
        <w:t>投标报价表</w:t>
      </w:r>
    </w:p>
    <w:p w14:paraId="21748022">
      <w:pPr>
        <w:jc w:val="center"/>
        <w:rPr>
          <w:rFonts w:ascii="宋体" w:hAnsi="宋体" w:cs="宋体"/>
          <w:b/>
          <w:sz w:val="32"/>
          <w:szCs w:val="32"/>
          <w:highlight w:val="none"/>
        </w:rPr>
      </w:pPr>
      <w:r>
        <w:rPr>
          <w:rFonts w:hint="eastAsia" w:ascii="宋体" w:hAnsi="宋体" w:cs="宋体"/>
          <w:b/>
          <w:sz w:val="32"/>
          <w:szCs w:val="32"/>
          <w:highlight w:val="none"/>
        </w:rPr>
        <w:t>2.1开标一览表</w:t>
      </w:r>
    </w:p>
    <w:p w14:paraId="674DBFC6">
      <w:pPr>
        <w:rPr>
          <w:rFonts w:ascii="宋体" w:hAnsi="宋体" w:cs="宋体"/>
          <w:sz w:val="24"/>
          <w:szCs w:val="24"/>
          <w:highlight w:val="none"/>
        </w:rPr>
      </w:pPr>
    </w:p>
    <w:p w14:paraId="126F74F1">
      <w:pPr>
        <w:spacing w:after="10" w:line="360" w:lineRule="auto"/>
        <w:rPr>
          <w:rFonts w:ascii="宋体" w:hAnsi="宋体" w:cs="宋体"/>
          <w:b/>
          <w:bCs/>
          <w:sz w:val="24"/>
          <w:szCs w:val="24"/>
          <w:highlight w:val="none"/>
        </w:rPr>
      </w:pPr>
      <w:r>
        <w:rPr>
          <w:rFonts w:hint="eastAsia" w:ascii="宋体" w:hAnsi="宋体" w:cs="宋体"/>
          <w:b/>
          <w:bCs/>
          <w:szCs w:val="21"/>
          <w:highlight w:val="none"/>
        </w:rPr>
        <w:t>供应商名称：</w:t>
      </w:r>
      <w:r>
        <w:rPr>
          <w:rFonts w:hint="eastAsia" w:ascii="宋体" w:hAnsi="宋体" w:cs="宋体"/>
          <w:b/>
          <w:bCs/>
          <w:szCs w:val="21"/>
          <w:highlight w:val="none"/>
          <w:u w:val="single"/>
        </w:rPr>
        <w:t xml:space="preserve">                 </w:t>
      </w:r>
      <w:r>
        <w:rPr>
          <w:rFonts w:hint="eastAsia" w:ascii="宋体" w:hAnsi="宋体" w:cs="宋体"/>
          <w:b/>
          <w:bCs/>
          <w:szCs w:val="21"/>
          <w:highlight w:val="none"/>
        </w:rPr>
        <w:t xml:space="preserve">  项目编号：</w:t>
      </w:r>
      <w:r>
        <w:rPr>
          <w:rFonts w:hint="eastAsia" w:ascii="宋体" w:hAnsi="宋体" w:cs="宋体"/>
          <w:b/>
          <w:bCs/>
          <w:szCs w:val="21"/>
          <w:highlight w:val="none"/>
          <w:u w:val="single"/>
        </w:rPr>
        <w:t xml:space="preserve">                 </w:t>
      </w:r>
      <w:r>
        <w:rPr>
          <w:rFonts w:hint="eastAsia" w:ascii="宋体" w:hAnsi="宋体" w:cs="宋体"/>
          <w:b/>
          <w:bCs/>
          <w:szCs w:val="21"/>
          <w:highlight w:val="none"/>
        </w:rPr>
        <w:t xml:space="preserve">  包号：</w:t>
      </w:r>
      <w:r>
        <w:rPr>
          <w:rFonts w:hint="eastAsia" w:ascii="宋体" w:hAnsi="宋体" w:cs="宋体"/>
          <w:b/>
          <w:bCs/>
          <w:szCs w:val="21"/>
          <w:highlight w:val="none"/>
          <w:u w:val="single"/>
        </w:rPr>
        <w:t xml:space="preserve">             </w:t>
      </w:r>
    </w:p>
    <w:tbl>
      <w:tblPr>
        <w:tblStyle w:val="12"/>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1200"/>
        <w:gridCol w:w="2587"/>
        <w:gridCol w:w="1057"/>
        <w:gridCol w:w="964"/>
        <w:gridCol w:w="1499"/>
        <w:gridCol w:w="1052"/>
      </w:tblGrid>
      <w:tr w14:paraId="5E06B4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50" w:hRule="atLeast"/>
        </w:trPr>
        <w:tc>
          <w:tcPr>
            <w:tcW w:w="1200" w:type="dxa"/>
            <w:vAlign w:val="center"/>
          </w:tcPr>
          <w:p w14:paraId="0DBB5CA2">
            <w:pPr>
              <w:jc w:val="center"/>
              <w:rPr>
                <w:rFonts w:ascii="宋体" w:hAnsi="宋体" w:cs="宋体"/>
                <w:b/>
                <w:bCs/>
                <w:szCs w:val="21"/>
                <w:highlight w:val="none"/>
              </w:rPr>
            </w:pPr>
            <w:r>
              <w:rPr>
                <w:rFonts w:hint="eastAsia" w:ascii="宋体" w:hAnsi="宋体" w:cs="宋体"/>
                <w:b/>
                <w:bCs/>
                <w:szCs w:val="21"/>
                <w:highlight w:val="none"/>
              </w:rPr>
              <w:t>项目名称</w:t>
            </w:r>
          </w:p>
        </w:tc>
        <w:tc>
          <w:tcPr>
            <w:tcW w:w="2587" w:type="dxa"/>
            <w:vAlign w:val="center"/>
          </w:tcPr>
          <w:p w14:paraId="7852953C">
            <w:pPr>
              <w:jc w:val="center"/>
              <w:rPr>
                <w:rFonts w:ascii="宋体" w:hAnsi="宋体" w:cs="宋体"/>
                <w:b/>
                <w:bCs/>
                <w:szCs w:val="21"/>
                <w:highlight w:val="none"/>
              </w:rPr>
            </w:pPr>
            <w:r>
              <w:rPr>
                <w:rFonts w:hint="eastAsia" w:ascii="宋体" w:hAnsi="宋体" w:cs="宋体"/>
                <w:b/>
                <w:bCs/>
                <w:szCs w:val="21"/>
                <w:highlight w:val="none"/>
              </w:rPr>
              <w:t>报价分项</w:t>
            </w:r>
          </w:p>
        </w:tc>
        <w:tc>
          <w:tcPr>
            <w:tcW w:w="1057" w:type="dxa"/>
            <w:vAlign w:val="center"/>
          </w:tcPr>
          <w:p w14:paraId="041FB1FA">
            <w:pPr>
              <w:jc w:val="center"/>
              <w:rPr>
                <w:rFonts w:ascii="宋体" w:hAnsi="宋体" w:cs="宋体"/>
                <w:b/>
                <w:bCs/>
                <w:szCs w:val="21"/>
                <w:highlight w:val="none"/>
              </w:rPr>
            </w:pPr>
            <w:r>
              <w:rPr>
                <w:rFonts w:hint="eastAsia" w:ascii="宋体" w:hAnsi="宋体" w:cs="宋体"/>
                <w:b/>
                <w:bCs/>
                <w:szCs w:val="21"/>
                <w:highlight w:val="none"/>
              </w:rPr>
              <w:t>单价报价</w:t>
            </w:r>
          </w:p>
        </w:tc>
        <w:tc>
          <w:tcPr>
            <w:tcW w:w="964" w:type="dxa"/>
            <w:vAlign w:val="center"/>
          </w:tcPr>
          <w:p w14:paraId="00A0ADEC">
            <w:pPr>
              <w:jc w:val="center"/>
              <w:rPr>
                <w:rFonts w:ascii="宋体" w:hAnsi="宋体" w:cs="宋体"/>
                <w:b/>
                <w:bCs/>
                <w:szCs w:val="21"/>
                <w:highlight w:val="none"/>
              </w:rPr>
            </w:pPr>
            <w:r>
              <w:rPr>
                <w:rFonts w:hint="eastAsia" w:ascii="宋体" w:hAnsi="宋体" w:cs="宋体"/>
                <w:b/>
                <w:bCs/>
                <w:szCs w:val="21"/>
                <w:highlight w:val="none"/>
              </w:rPr>
              <w:t>单位</w:t>
            </w:r>
          </w:p>
        </w:tc>
        <w:tc>
          <w:tcPr>
            <w:tcW w:w="1499" w:type="dxa"/>
            <w:vAlign w:val="center"/>
          </w:tcPr>
          <w:p w14:paraId="55548454">
            <w:pPr>
              <w:jc w:val="center"/>
              <w:rPr>
                <w:rFonts w:ascii="宋体" w:hAnsi="宋体" w:cs="宋体"/>
                <w:b/>
                <w:bCs/>
                <w:szCs w:val="21"/>
                <w:highlight w:val="none"/>
              </w:rPr>
            </w:pPr>
            <w:r>
              <w:rPr>
                <w:rFonts w:hint="eastAsia" w:ascii="宋体" w:hAnsi="宋体" w:cs="宋体"/>
                <w:b/>
                <w:bCs/>
                <w:szCs w:val="21"/>
                <w:highlight w:val="none"/>
              </w:rPr>
              <w:t>单价报价合计（元）</w:t>
            </w:r>
          </w:p>
        </w:tc>
        <w:tc>
          <w:tcPr>
            <w:tcW w:w="1052" w:type="dxa"/>
            <w:vAlign w:val="center"/>
          </w:tcPr>
          <w:p w14:paraId="6A021614">
            <w:pPr>
              <w:jc w:val="center"/>
              <w:rPr>
                <w:rFonts w:ascii="宋体" w:hAnsi="宋体" w:cs="宋体"/>
                <w:b/>
                <w:bCs/>
                <w:szCs w:val="21"/>
                <w:highlight w:val="none"/>
              </w:rPr>
            </w:pPr>
            <w:r>
              <w:rPr>
                <w:rFonts w:hint="eastAsia" w:ascii="宋体" w:hAnsi="宋体" w:cs="宋体"/>
                <w:b/>
                <w:bCs/>
                <w:szCs w:val="21"/>
                <w:highlight w:val="none"/>
              </w:rPr>
              <w:t>服务期限</w:t>
            </w:r>
          </w:p>
        </w:tc>
      </w:tr>
      <w:tr w14:paraId="6E65F9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4" w:hRule="atLeast"/>
        </w:trPr>
        <w:tc>
          <w:tcPr>
            <w:tcW w:w="1200" w:type="dxa"/>
            <w:vMerge w:val="restart"/>
            <w:vAlign w:val="center"/>
          </w:tcPr>
          <w:p w14:paraId="03896675">
            <w:pPr>
              <w:jc w:val="center"/>
              <w:rPr>
                <w:rFonts w:ascii="宋体" w:hAnsi="宋体" w:cs="宋体"/>
                <w:szCs w:val="21"/>
                <w:highlight w:val="none"/>
              </w:rPr>
            </w:pPr>
            <w:r>
              <w:rPr>
                <w:rFonts w:hint="eastAsia" w:ascii="宋体" w:hAnsi="宋体" w:cs="宋体"/>
                <w:highlight w:val="none"/>
              </w:rPr>
              <w:t>西安市公安局交通警察支队2024年违法停放车辆拖移转运社会化服务</w:t>
            </w:r>
          </w:p>
        </w:tc>
        <w:tc>
          <w:tcPr>
            <w:tcW w:w="2587" w:type="dxa"/>
            <w:vAlign w:val="center"/>
          </w:tcPr>
          <w:p w14:paraId="50D9469A">
            <w:pPr>
              <w:jc w:val="center"/>
              <w:rPr>
                <w:rFonts w:ascii="宋体" w:hAnsi="宋体" w:cs="宋体"/>
                <w:szCs w:val="21"/>
                <w:highlight w:val="none"/>
              </w:rPr>
            </w:pPr>
            <w:r>
              <w:rPr>
                <w:rFonts w:hint="eastAsia" w:ascii="宋体" w:hAnsi="宋体" w:cs="宋体"/>
                <w:szCs w:val="21"/>
                <w:highlight w:val="none"/>
              </w:rPr>
              <w:t>①大车装卸费</w:t>
            </w:r>
          </w:p>
        </w:tc>
        <w:tc>
          <w:tcPr>
            <w:tcW w:w="1057" w:type="dxa"/>
            <w:vAlign w:val="center"/>
          </w:tcPr>
          <w:p w14:paraId="0B8F2F19">
            <w:pPr>
              <w:jc w:val="center"/>
              <w:rPr>
                <w:rFonts w:ascii="宋体" w:hAnsi="宋体" w:cs="宋体"/>
                <w:szCs w:val="21"/>
                <w:highlight w:val="none"/>
              </w:rPr>
            </w:pPr>
          </w:p>
        </w:tc>
        <w:tc>
          <w:tcPr>
            <w:tcW w:w="964" w:type="dxa"/>
            <w:vAlign w:val="center"/>
          </w:tcPr>
          <w:p w14:paraId="3E53E813">
            <w:pPr>
              <w:jc w:val="center"/>
              <w:rPr>
                <w:rFonts w:ascii="宋体" w:hAnsi="宋体" w:cs="宋体"/>
                <w:szCs w:val="21"/>
                <w:highlight w:val="none"/>
              </w:rPr>
            </w:pPr>
            <w:r>
              <w:rPr>
                <w:rFonts w:hint="eastAsia" w:ascii="宋体" w:hAnsi="宋体" w:cs="宋体"/>
                <w:szCs w:val="21"/>
                <w:highlight w:val="none"/>
              </w:rPr>
              <w:t>元/辆/次</w:t>
            </w:r>
          </w:p>
        </w:tc>
        <w:tc>
          <w:tcPr>
            <w:tcW w:w="1499" w:type="dxa"/>
            <w:vMerge w:val="restart"/>
            <w:vAlign w:val="center"/>
          </w:tcPr>
          <w:p w14:paraId="5D6F1447">
            <w:pPr>
              <w:jc w:val="center"/>
              <w:rPr>
                <w:rFonts w:ascii="宋体" w:hAnsi="宋体" w:cs="宋体"/>
                <w:szCs w:val="21"/>
                <w:highlight w:val="none"/>
              </w:rPr>
            </w:pPr>
          </w:p>
        </w:tc>
        <w:tc>
          <w:tcPr>
            <w:tcW w:w="1052" w:type="dxa"/>
            <w:vMerge w:val="restart"/>
            <w:vAlign w:val="center"/>
          </w:tcPr>
          <w:p w14:paraId="6C3CB2AA">
            <w:pPr>
              <w:jc w:val="center"/>
              <w:rPr>
                <w:rFonts w:ascii="宋体" w:hAnsi="宋体" w:cs="宋体"/>
                <w:szCs w:val="21"/>
                <w:highlight w:val="none"/>
              </w:rPr>
            </w:pPr>
            <w:r>
              <w:rPr>
                <w:rFonts w:hint="eastAsia" w:ascii="宋体" w:hAnsi="宋体" w:cs="宋体"/>
                <w:szCs w:val="21"/>
                <w:highlight w:val="none"/>
              </w:rPr>
              <w:t>响应招标</w:t>
            </w:r>
          </w:p>
          <w:p w14:paraId="04037CB8">
            <w:pPr>
              <w:jc w:val="center"/>
              <w:rPr>
                <w:rFonts w:ascii="宋体" w:hAnsi="宋体" w:cs="宋体"/>
                <w:szCs w:val="21"/>
                <w:highlight w:val="none"/>
              </w:rPr>
            </w:pPr>
            <w:r>
              <w:rPr>
                <w:rFonts w:hint="eastAsia" w:ascii="宋体" w:hAnsi="宋体" w:cs="宋体"/>
                <w:szCs w:val="21"/>
                <w:highlight w:val="none"/>
              </w:rPr>
              <w:t>文件要求</w:t>
            </w:r>
          </w:p>
        </w:tc>
      </w:tr>
      <w:tr w14:paraId="20FC2B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4" w:hRule="atLeast"/>
        </w:trPr>
        <w:tc>
          <w:tcPr>
            <w:tcW w:w="1200" w:type="dxa"/>
            <w:vMerge w:val="continue"/>
            <w:vAlign w:val="center"/>
          </w:tcPr>
          <w:p w14:paraId="6B431155">
            <w:pPr>
              <w:jc w:val="center"/>
              <w:rPr>
                <w:rFonts w:ascii="宋体" w:hAnsi="宋体" w:cs="宋体"/>
                <w:szCs w:val="21"/>
                <w:highlight w:val="none"/>
              </w:rPr>
            </w:pPr>
          </w:p>
        </w:tc>
        <w:tc>
          <w:tcPr>
            <w:tcW w:w="2587" w:type="dxa"/>
            <w:vAlign w:val="center"/>
          </w:tcPr>
          <w:p w14:paraId="74D6D5CE">
            <w:pPr>
              <w:jc w:val="center"/>
              <w:rPr>
                <w:rFonts w:ascii="宋体" w:hAnsi="宋体" w:cs="宋体"/>
                <w:szCs w:val="21"/>
                <w:highlight w:val="none"/>
              </w:rPr>
            </w:pPr>
            <w:r>
              <w:rPr>
                <w:rFonts w:hint="eastAsia" w:ascii="宋体" w:hAnsi="宋体" w:cs="宋体"/>
                <w:szCs w:val="21"/>
                <w:highlight w:val="none"/>
              </w:rPr>
              <w:t>②大车运输单价</w:t>
            </w:r>
          </w:p>
        </w:tc>
        <w:tc>
          <w:tcPr>
            <w:tcW w:w="1057" w:type="dxa"/>
            <w:vAlign w:val="center"/>
          </w:tcPr>
          <w:p w14:paraId="37E7304B">
            <w:pPr>
              <w:jc w:val="center"/>
              <w:rPr>
                <w:rFonts w:ascii="宋体" w:hAnsi="宋体" w:cs="宋体"/>
                <w:szCs w:val="21"/>
                <w:highlight w:val="none"/>
              </w:rPr>
            </w:pPr>
          </w:p>
        </w:tc>
        <w:tc>
          <w:tcPr>
            <w:tcW w:w="964" w:type="dxa"/>
            <w:vAlign w:val="center"/>
          </w:tcPr>
          <w:p w14:paraId="13625406">
            <w:pPr>
              <w:jc w:val="center"/>
              <w:rPr>
                <w:rFonts w:ascii="宋体" w:hAnsi="宋体" w:cs="宋体"/>
                <w:szCs w:val="21"/>
                <w:highlight w:val="none"/>
              </w:rPr>
            </w:pPr>
            <w:r>
              <w:rPr>
                <w:rFonts w:hint="eastAsia" w:ascii="宋体" w:hAnsi="宋体" w:cs="宋体"/>
                <w:szCs w:val="21"/>
                <w:highlight w:val="none"/>
              </w:rPr>
              <w:t>元/公里</w:t>
            </w:r>
          </w:p>
        </w:tc>
        <w:tc>
          <w:tcPr>
            <w:tcW w:w="1499" w:type="dxa"/>
            <w:vMerge w:val="continue"/>
            <w:vAlign w:val="center"/>
          </w:tcPr>
          <w:p w14:paraId="6EB5B238">
            <w:pPr>
              <w:jc w:val="center"/>
              <w:rPr>
                <w:rFonts w:ascii="宋体" w:hAnsi="宋体" w:cs="宋体"/>
                <w:szCs w:val="21"/>
                <w:highlight w:val="none"/>
              </w:rPr>
            </w:pPr>
          </w:p>
        </w:tc>
        <w:tc>
          <w:tcPr>
            <w:tcW w:w="1052" w:type="dxa"/>
            <w:vMerge w:val="continue"/>
            <w:vAlign w:val="center"/>
          </w:tcPr>
          <w:p w14:paraId="1497D657">
            <w:pPr>
              <w:jc w:val="center"/>
              <w:rPr>
                <w:rFonts w:ascii="宋体" w:hAnsi="宋体" w:cs="宋体"/>
                <w:szCs w:val="21"/>
                <w:highlight w:val="none"/>
              </w:rPr>
            </w:pPr>
          </w:p>
        </w:tc>
      </w:tr>
      <w:tr w14:paraId="2D1A9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4" w:hRule="atLeast"/>
        </w:trPr>
        <w:tc>
          <w:tcPr>
            <w:tcW w:w="1200" w:type="dxa"/>
            <w:vMerge w:val="continue"/>
            <w:vAlign w:val="center"/>
          </w:tcPr>
          <w:p w14:paraId="60FDBD49">
            <w:pPr>
              <w:jc w:val="center"/>
              <w:rPr>
                <w:rFonts w:ascii="宋体" w:hAnsi="宋体" w:cs="宋体"/>
                <w:szCs w:val="21"/>
                <w:highlight w:val="none"/>
              </w:rPr>
            </w:pPr>
          </w:p>
        </w:tc>
        <w:tc>
          <w:tcPr>
            <w:tcW w:w="2587" w:type="dxa"/>
            <w:vAlign w:val="center"/>
          </w:tcPr>
          <w:p w14:paraId="3A3A220C">
            <w:pPr>
              <w:jc w:val="center"/>
              <w:rPr>
                <w:rFonts w:ascii="宋体" w:hAnsi="宋体" w:cs="宋体"/>
                <w:szCs w:val="21"/>
                <w:highlight w:val="none"/>
              </w:rPr>
            </w:pPr>
            <w:r>
              <w:rPr>
                <w:rFonts w:hint="eastAsia" w:ascii="宋体" w:hAnsi="宋体" w:cs="宋体"/>
                <w:szCs w:val="21"/>
                <w:highlight w:val="none"/>
              </w:rPr>
              <w:t>③重大活动大拖车值守单价</w:t>
            </w:r>
          </w:p>
        </w:tc>
        <w:tc>
          <w:tcPr>
            <w:tcW w:w="1057" w:type="dxa"/>
            <w:vAlign w:val="center"/>
          </w:tcPr>
          <w:p w14:paraId="16E82E52">
            <w:pPr>
              <w:jc w:val="center"/>
              <w:rPr>
                <w:rFonts w:ascii="宋体" w:hAnsi="宋体" w:cs="宋体"/>
                <w:szCs w:val="21"/>
                <w:highlight w:val="none"/>
              </w:rPr>
            </w:pPr>
          </w:p>
        </w:tc>
        <w:tc>
          <w:tcPr>
            <w:tcW w:w="964" w:type="dxa"/>
            <w:vAlign w:val="center"/>
          </w:tcPr>
          <w:p w14:paraId="6178C61C">
            <w:pPr>
              <w:jc w:val="center"/>
              <w:rPr>
                <w:rFonts w:ascii="宋体" w:hAnsi="宋体" w:cs="宋体"/>
                <w:szCs w:val="21"/>
                <w:highlight w:val="none"/>
              </w:rPr>
            </w:pPr>
            <w:r>
              <w:rPr>
                <w:rFonts w:hint="eastAsia" w:ascii="宋体" w:hAnsi="宋体" w:cs="宋体"/>
                <w:szCs w:val="21"/>
                <w:highlight w:val="none"/>
              </w:rPr>
              <w:t>元/小时</w:t>
            </w:r>
          </w:p>
        </w:tc>
        <w:tc>
          <w:tcPr>
            <w:tcW w:w="1499" w:type="dxa"/>
            <w:vMerge w:val="continue"/>
            <w:vAlign w:val="center"/>
          </w:tcPr>
          <w:p w14:paraId="0D7D0FE6">
            <w:pPr>
              <w:jc w:val="center"/>
              <w:rPr>
                <w:rFonts w:ascii="宋体" w:hAnsi="宋体" w:cs="宋体"/>
                <w:szCs w:val="21"/>
                <w:highlight w:val="none"/>
              </w:rPr>
            </w:pPr>
          </w:p>
        </w:tc>
        <w:tc>
          <w:tcPr>
            <w:tcW w:w="1052" w:type="dxa"/>
            <w:vMerge w:val="continue"/>
            <w:vAlign w:val="center"/>
          </w:tcPr>
          <w:p w14:paraId="1C6E9527">
            <w:pPr>
              <w:jc w:val="center"/>
              <w:rPr>
                <w:rFonts w:ascii="宋体" w:hAnsi="宋体" w:cs="宋体"/>
                <w:szCs w:val="21"/>
                <w:highlight w:val="none"/>
              </w:rPr>
            </w:pPr>
          </w:p>
        </w:tc>
      </w:tr>
      <w:tr w14:paraId="5308F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4" w:hRule="atLeast"/>
        </w:trPr>
        <w:tc>
          <w:tcPr>
            <w:tcW w:w="1200" w:type="dxa"/>
            <w:vMerge w:val="continue"/>
            <w:vAlign w:val="center"/>
          </w:tcPr>
          <w:p w14:paraId="4A0A9A17">
            <w:pPr>
              <w:jc w:val="center"/>
              <w:rPr>
                <w:rFonts w:ascii="宋体" w:hAnsi="宋体" w:cs="宋体"/>
                <w:szCs w:val="21"/>
                <w:highlight w:val="none"/>
              </w:rPr>
            </w:pPr>
          </w:p>
        </w:tc>
        <w:tc>
          <w:tcPr>
            <w:tcW w:w="2587" w:type="dxa"/>
            <w:vAlign w:val="center"/>
          </w:tcPr>
          <w:p w14:paraId="144C2D36">
            <w:pPr>
              <w:jc w:val="center"/>
              <w:rPr>
                <w:rFonts w:ascii="宋体" w:hAnsi="宋体" w:cs="宋体"/>
                <w:szCs w:val="21"/>
                <w:highlight w:val="none"/>
              </w:rPr>
            </w:pPr>
            <w:r>
              <w:rPr>
                <w:rFonts w:hint="eastAsia" w:ascii="宋体" w:hAnsi="宋体" w:cs="宋体"/>
                <w:szCs w:val="21"/>
                <w:highlight w:val="none"/>
              </w:rPr>
              <w:t>④20吨吊车</w:t>
            </w:r>
          </w:p>
        </w:tc>
        <w:tc>
          <w:tcPr>
            <w:tcW w:w="1057" w:type="dxa"/>
            <w:vAlign w:val="center"/>
          </w:tcPr>
          <w:p w14:paraId="43D0E54F">
            <w:pPr>
              <w:jc w:val="center"/>
              <w:rPr>
                <w:rFonts w:ascii="宋体" w:hAnsi="宋体" w:cs="宋体"/>
                <w:szCs w:val="21"/>
                <w:highlight w:val="none"/>
              </w:rPr>
            </w:pPr>
          </w:p>
        </w:tc>
        <w:tc>
          <w:tcPr>
            <w:tcW w:w="964" w:type="dxa"/>
            <w:vAlign w:val="center"/>
          </w:tcPr>
          <w:p w14:paraId="26E107E2">
            <w:pPr>
              <w:jc w:val="center"/>
              <w:rPr>
                <w:rFonts w:ascii="宋体" w:hAnsi="宋体" w:cs="宋体"/>
                <w:szCs w:val="21"/>
                <w:highlight w:val="none"/>
              </w:rPr>
            </w:pPr>
            <w:r>
              <w:rPr>
                <w:rFonts w:hint="eastAsia" w:ascii="宋体" w:hAnsi="宋体" w:cs="宋体"/>
                <w:szCs w:val="21"/>
                <w:highlight w:val="none"/>
              </w:rPr>
              <w:t>元/趟次</w:t>
            </w:r>
          </w:p>
        </w:tc>
        <w:tc>
          <w:tcPr>
            <w:tcW w:w="1499" w:type="dxa"/>
            <w:vMerge w:val="continue"/>
            <w:vAlign w:val="center"/>
          </w:tcPr>
          <w:p w14:paraId="4730372F">
            <w:pPr>
              <w:jc w:val="center"/>
              <w:rPr>
                <w:rFonts w:ascii="宋体" w:hAnsi="宋体" w:cs="宋体"/>
                <w:szCs w:val="21"/>
                <w:highlight w:val="none"/>
              </w:rPr>
            </w:pPr>
          </w:p>
        </w:tc>
        <w:tc>
          <w:tcPr>
            <w:tcW w:w="1052" w:type="dxa"/>
            <w:vMerge w:val="continue"/>
            <w:vAlign w:val="center"/>
          </w:tcPr>
          <w:p w14:paraId="64A8BAD4">
            <w:pPr>
              <w:jc w:val="center"/>
              <w:rPr>
                <w:rFonts w:ascii="宋体" w:hAnsi="宋体" w:cs="宋体"/>
                <w:szCs w:val="21"/>
                <w:highlight w:val="none"/>
              </w:rPr>
            </w:pPr>
          </w:p>
        </w:tc>
      </w:tr>
      <w:tr w14:paraId="1C183B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4" w:hRule="atLeast"/>
        </w:trPr>
        <w:tc>
          <w:tcPr>
            <w:tcW w:w="1200" w:type="dxa"/>
            <w:vMerge w:val="continue"/>
            <w:vAlign w:val="center"/>
          </w:tcPr>
          <w:p w14:paraId="77499D30">
            <w:pPr>
              <w:jc w:val="center"/>
              <w:rPr>
                <w:rFonts w:ascii="宋体" w:hAnsi="宋体" w:cs="宋体"/>
                <w:szCs w:val="21"/>
                <w:highlight w:val="none"/>
              </w:rPr>
            </w:pPr>
          </w:p>
        </w:tc>
        <w:tc>
          <w:tcPr>
            <w:tcW w:w="2587" w:type="dxa"/>
            <w:vAlign w:val="center"/>
          </w:tcPr>
          <w:p w14:paraId="32EDA6BF">
            <w:pPr>
              <w:jc w:val="center"/>
              <w:rPr>
                <w:rFonts w:ascii="宋体" w:hAnsi="宋体" w:cs="宋体"/>
                <w:szCs w:val="21"/>
                <w:highlight w:val="none"/>
              </w:rPr>
            </w:pPr>
            <w:r>
              <w:rPr>
                <w:rFonts w:hint="eastAsia" w:ascii="宋体" w:hAnsi="宋体" w:cs="宋体"/>
                <w:szCs w:val="21"/>
                <w:highlight w:val="none"/>
              </w:rPr>
              <w:t>⑤50吨吊车</w:t>
            </w:r>
          </w:p>
        </w:tc>
        <w:tc>
          <w:tcPr>
            <w:tcW w:w="1057" w:type="dxa"/>
            <w:vAlign w:val="center"/>
          </w:tcPr>
          <w:p w14:paraId="2A143045">
            <w:pPr>
              <w:jc w:val="center"/>
              <w:rPr>
                <w:rFonts w:ascii="宋体" w:hAnsi="宋体" w:cs="宋体"/>
                <w:szCs w:val="21"/>
                <w:highlight w:val="none"/>
              </w:rPr>
            </w:pPr>
          </w:p>
        </w:tc>
        <w:tc>
          <w:tcPr>
            <w:tcW w:w="964" w:type="dxa"/>
            <w:vAlign w:val="center"/>
          </w:tcPr>
          <w:p w14:paraId="55ED5FB4">
            <w:pPr>
              <w:jc w:val="center"/>
              <w:rPr>
                <w:rFonts w:ascii="宋体" w:hAnsi="宋体" w:cs="宋体"/>
                <w:szCs w:val="21"/>
                <w:highlight w:val="none"/>
              </w:rPr>
            </w:pPr>
            <w:r>
              <w:rPr>
                <w:rFonts w:hint="eastAsia" w:ascii="宋体" w:hAnsi="宋体" w:cs="宋体"/>
                <w:szCs w:val="21"/>
                <w:highlight w:val="none"/>
              </w:rPr>
              <w:t>元/趟次</w:t>
            </w:r>
          </w:p>
        </w:tc>
        <w:tc>
          <w:tcPr>
            <w:tcW w:w="1499" w:type="dxa"/>
            <w:vMerge w:val="continue"/>
            <w:vAlign w:val="center"/>
          </w:tcPr>
          <w:p w14:paraId="6176D06B">
            <w:pPr>
              <w:jc w:val="center"/>
              <w:rPr>
                <w:rFonts w:ascii="宋体" w:hAnsi="宋体" w:cs="宋体"/>
                <w:szCs w:val="21"/>
                <w:highlight w:val="none"/>
              </w:rPr>
            </w:pPr>
          </w:p>
        </w:tc>
        <w:tc>
          <w:tcPr>
            <w:tcW w:w="1052" w:type="dxa"/>
            <w:vMerge w:val="continue"/>
            <w:vAlign w:val="center"/>
          </w:tcPr>
          <w:p w14:paraId="4265331C">
            <w:pPr>
              <w:jc w:val="center"/>
              <w:rPr>
                <w:rFonts w:ascii="宋体" w:hAnsi="宋体" w:cs="宋体"/>
                <w:szCs w:val="21"/>
                <w:highlight w:val="none"/>
              </w:rPr>
            </w:pPr>
          </w:p>
        </w:tc>
      </w:tr>
    </w:tbl>
    <w:p w14:paraId="7C8EE338">
      <w:pPr>
        <w:spacing w:line="360" w:lineRule="auto"/>
        <w:rPr>
          <w:rFonts w:ascii="宋体" w:hAnsi="宋体" w:cs="宋体"/>
          <w:b/>
          <w:szCs w:val="21"/>
          <w:highlight w:val="none"/>
        </w:rPr>
      </w:pPr>
      <w:r>
        <w:rPr>
          <w:rFonts w:hint="eastAsia" w:ascii="宋体" w:hAnsi="宋体" w:cs="宋体"/>
          <w:b/>
          <w:szCs w:val="21"/>
          <w:highlight w:val="none"/>
        </w:rPr>
        <w:t>备注：1.各分项最高限价：</w:t>
      </w:r>
      <w:r>
        <w:rPr>
          <w:rFonts w:hint="eastAsia" w:ascii="宋体" w:hAnsi="宋体" w:cs="宋体"/>
          <w:bCs/>
          <w:szCs w:val="21"/>
          <w:highlight w:val="none"/>
        </w:rPr>
        <w:t>①</w:t>
      </w:r>
      <w:r>
        <w:rPr>
          <w:rFonts w:hint="eastAsia" w:ascii="宋体" w:hAnsi="宋体" w:cs="宋体"/>
          <w:szCs w:val="21"/>
          <w:highlight w:val="none"/>
        </w:rPr>
        <w:t>大车装卸费：1500元/辆/次</w:t>
      </w:r>
      <w:r>
        <w:rPr>
          <w:rFonts w:hint="eastAsia" w:ascii="宋体" w:hAnsi="宋体" w:cs="宋体"/>
          <w:bCs/>
          <w:szCs w:val="21"/>
          <w:highlight w:val="none"/>
        </w:rPr>
        <w:t>；②</w:t>
      </w:r>
      <w:r>
        <w:rPr>
          <w:rFonts w:hint="eastAsia" w:ascii="宋体" w:hAnsi="宋体" w:cs="宋体"/>
          <w:szCs w:val="21"/>
          <w:highlight w:val="none"/>
        </w:rPr>
        <w:t>大车运输单价</w:t>
      </w:r>
      <w:r>
        <w:rPr>
          <w:rFonts w:hint="eastAsia" w:ascii="宋体" w:hAnsi="宋体" w:cs="宋体"/>
          <w:bCs/>
          <w:szCs w:val="21"/>
          <w:highlight w:val="none"/>
        </w:rPr>
        <w:t>：</w:t>
      </w:r>
      <w:r>
        <w:rPr>
          <w:rFonts w:hint="eastAsia" w:ascii="宋体" w:hAnsi="宋体" w:cs="宋体"/>
          <w:szCs w:val="21"/>
          <w:highlight w:val="none"/>
        </w:rPr>
        <w:t>50元/公里</w:t>
      </w:r>
      <w:r>
        <w:rPr>
          <w:rFonts w:hint="eastAsia" w:ascii="宋体" w:hAnsi="宋体" w:cs="宋体"/>
          <w:bCs/>
          <w:szCs w:val="21"/>
          <w:highlight w:val="none"/>
        </w:rPr>
        <w:t>；③</w:t>
      </w:r>
      <w:r>
        <w:rPr>
          <w:rFonts w:hint="eastAsia" w:ascii="宋体" w:hAnsi="宋体" w:cs="宋体"/>
          <w:szCs w:val="21"/>
          <w:highlight w:val="none"/>
        </w:rPr>
        <w:t>重大活动大拖车值守单价：300元/小时</w:t>
      </w:r>
      <w:r>
        <w:rPr>
          <w:rFonts w:hint="eastAsia" w:ascii="宋体" w:hAnsi="宋体" w:cs="宋体"/>
          <w:bCs/>
          <w:szCs w:val="21"/>
          <w:highlight w:val="none"/>
        </w:rPr>
        <w:t>；④</w:t>
      </w:r>
      <w:r>
        <w:rPr>
          <w:rFonts w:hint="eastAsia" w:ascii="宋体" w:hAnsi="宋体" w:cs="宋体"/>
          <w:szCs w:val="21"/>
          <w:highlight w:val="none"/>
        </w:rPr>
        <w:t>20吨吊车：1500元/趟次</w:t>
      </w:r>
      <w:r>
        <w:rPr>
          <w:rFonts w:hint="eastAsia" w:ascii="宋体" w:hAnsi="宋体" w:cs="宋体"/>
          <w:bCs/>
          <w:szCs w:val="21"/>
          <w:highlight w:val="none"/>
        </w:rPr>
        <w:t>；⑤</w:t>
      </w:r>
      <w:r>
        <w:rPr>
          <w:rFonts w:hint="eastAsia" w:ascii="宋体" w:hAnsi="宋体" w:cs="宋体"/>
          <w:szCs w:val="21"/>
          <w:highlight w:val="none"/>
        </w:rPr>
        <w:t>50吨吊车：3000元/趟次；</w:t>
      </w:r>
      <w:r>
        <w:rPr>
          <w:rFonts w:hint="eastAsia" w:ascii="宋体" w:hAnsi="宋体" w:cs="宋体"/>
          <w:bCs/>
          <w:szCs w:val="21"/>
          <w:highlight w:val="none"/>
        </w:rPr>
        <w:t>单价报价不得超过各分项最高限价，超过最高限价按否决投标处理；</w:t>
      </w:r>
      <w:r>
        <w:rPr>
          <w:rFonts w:hint="eastAsia" w:ascii="宋体" w:hAnsi="宋体" w:cs="宋体"/>
          <w:b/>
          <w:szCs w:val="21"/>
          <w:highlight w:val="none"/>
        </w:rPr>
        <w:t>2.分项单价合计=①+②+③+④+⑤单项报价之和，供应商在西安市公共资源交易中心平台上填写的投标报价为分项单价合计。</w:t>
      </w:r>
    </w:p>
    <w:p w14:paraId="3DDD4D78">
      <w:pPr>
        <w:spacing w:line="360" w:lineRule="auto"/>
        <w:rPr>
          <w:rFonts w:ascii="宋体" w:hAnsi="宋体" w:cs="宋体"/>
          <w:b/>
          <w:bCs/>
          <w:szCs w:val="21"/>
          <w:highlight w:val="none"/>
        </w:rPr>
      </w:pPr>
    </w:p>
    <w:p w14:paraId="02EFCC9D">
      <w:pPr>
        <w:spacing w:line="360" w:lineRule="auto"/>
        <w:ind w:left="105" w:leftChars="50"/>
        <w:rPr>
          <w:rFonts w:ascii="宋体" w:hAnsi="宋体" w:cs="宋体"/>
          <w:szCs w:val="21"/>
          <w:highlight w:val="none"/>
        </w:rPr>
      </w:pPr>
    </w:p>
    <w:p w14:paraId="4FDD3124">
      <w:pPr>
        <w:spacing w:line="360" w:lineRule="auto"/>
        <w:rPr>
          <w:rFonts w:ascii="宋体" w:hAnsi="宋体" w:cs="宋体"/>
          <w:highlight w:val="none"/>
        </w:rPr>
      </w:pPr>
    </w:p>
    <w:p w14:paraId="403A489E">
      <w:pPr>
        <w:rPr>
          <w:rFonts w:ascii="宋体" w:hAnsi="宋体" w:cs="宋体"/>
          <w:sz w:val="24"/>
          <w:szCs w:val="24"/>
          <w:highlight w:val="none"/>
        </w:rPr>
      </w:pPr>
    </w:p>
    <w:p w14:paraId="27D30F6F">
      <w:pPr>
        <w:spacing w:before="312" w:beforeLines="100" w:after="312" w:afterLines="100" w:line="360" w:lineRule="auto"/>
        <w:rPr>
          <w:rFonts w:ascii="宋体" w:hAnsi="宋体" w:cs="宋体"/>
          <w:spacing w:val="4"/>
          <w:szCs w:val="21"/>
          <w:highlight w:val="none"/>
        </w:rPr>
      </w:pPr>
      <w:r>
        <w:rPr>
          <w:rFonts w:hint="eastAsia" w:ascii="宋体" w:hAnsi="宋体" w:cs="宋体"/>
          <w:spacing w:val="4"/>
          <w:szCs w:val="21"/>
          <w:highlight w:val="none"/>
        </w:rPr>
        <w:t>供应商名称：</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（加盖公章）</w:t>
      </w:r>
    </w:p>
    <w:p w14:paraId="500C0375">
      <w:pPr>
        <w:spacing w:before="312" w:beforeLines="100" w:after="312" w:afterLines="100" w:line="360" w:lineRule="auto"/>
        <w:rPr>
          <w:rFonts w:ascii="宋体" w:hAnsi="宋体" w:cs="宋体"/>
          <w:spacing w:val="4"/>
          <w:szCs w:val="21"/>
          <w:highlight w:val="none"/>
          <w:u w:val="single"/>
        </w:rPr>
      </w:pPr>
      <w:r>
        <w:rPr>
          <w:rFonts w:hint="eastAsia" w:ascii="宋体" w:hAnsi="宋体" w:cs="宋体"/>
          <w:spacing w:val="4"/>
          <w:szCs w:val="21"/>
          <w:highlight w:val="none"/>
        </w:rPr>
        <w:t>法定代表人或授权代表（签字或盖章）：</w:t>
      </w:r>
      <w:r>
        <w:rPr>
          <w:rFonts w:hint="eastAsia" w:ascii="宋体" w:hAnsi="宋体" w:cs="宋体"/>
          <w:spacing w:val="4"/>
          <w:szCs w:val="21"/>
          <w:highlight w:val="none"/>
          <w:u w:val="single"/>
        </w:rPr>
        <w:t xml:space="preserve">                      </w:t>
      </w:r>
    </w:p>
    <w:p w14:paraId="5BCE1A7F">
      <w:pPr>
        <w:spacing w:before="156" w:beforeLines="50" w:after="156" w:afterLines="50" w:line="360" w:lineRule="auto"/>
        <w:rPr>
          <w:rFonts w:ascii="宋体" w:hAnsi="宋体" w:cs="宋体"/>
          <w:szCs w:val="21"/>
          <w:highlight w:val="none"/>
          <w:u w:val="single"/>
        </w:rPr>
      </w:pPr>
    </w:p>
    <w:p w14:paraId="2E1E56C4">
      <w:pPr>
        <w:spacing w:before="312" w:beforeLines="100" w:after="312" w:afterLines="100" w:line="360" w:lineRule="auto"/>
        <w:jc w:val="center"/>
        <w:rPr>
          <w:rFonts w:ascii="宋体" w:hAnsi="宋体" w:cs="宋体"/>
          <w:b/>
          <w:sz w:val="36"/>
          <w:szCs w:val="36"/>
          <w:highlight w:val="none"/>
        </w:rPr>
      </w:pPr>
      <w:r>
        <w:rPr>
          <w:rFonts w:hint="eastAsia" w:ascii="宋体" w:hAnsi="宋体" w:cs="宋体"/>
          <w:b/>
          <w:sz w:val="36"/>
          <w:szCs w:val="36"/>
          <w:highlight w:val="none"/>
        </w:rPr>
        <w:br w:type="page"/>
      </w:r>
      <w:r>
        <w:rPr>
          <w:rFonts w:hint="eastAsia" w:ascii="宋体" w:hAnsi="宋体" w:cs="宋体"/>
          <w:b/>
          <w:sz w:val="36"/>
          <w:szCs w:val="36"/>
          <w:highlight w:val="none"/>
        </w:rPr>
        <w:t>三、投标方案说明书</w:t>
      </w:r>
    </w:p>
    <w:p w14:paraId="32F5ACE0">
      <w:pPr>
        <w:spacing w:line="360" w:lineRule="auto"/>
        <w:ind w:firstLine="420" w:firstLineChars="200"/>
        <w:rPr>
          <w:rFonts w:ascii="宋体" w:hAnsi="宋体"/>
          <w:szCs w:val="21"/>
          <w:highlight w:val="none"/>
        </w:rPr>
      </w:pPr>
      <w:r>
        <w:rPr>
          <w:rFonts w:hint="eastAsia" w:ascii="宋体" w:hAnsi="宋体"/>
          <w:szCs w:val="21"/>
          <w:highlight w:val="none"/>
        </w:rPr>
        <w:t>按照招标文件的要求及评审办法编制投标方案说明书，</w:t>
      </w:r>
      <w:r>
        <w:rPr>
          <w:rFonts w:ascii="宋体" w:hAnsi="宋体"/>
          <w:szCs w:val="21"/>
          <w:highlight w:val="none"/>
        </w:rPr>
        <w:t>对招标文件提出的</w:t>
      </w:r>
      <w:r>
        <w:rPr>
          <w:rFonts w:hint="eastAsia" w:ascii="宋体" w:hAnsi="宋体"/>
          <w:szCs w:val="21"/>
          <w:highlight w:val="none"/>
        </w:rPr>
        <w:t>服务</w:t>
      </w:r>
      <w:r>
        <w:rPr>
          <w:rFonts w:ascii="宋体" w:hAnsi="宋体"/>
          <w:szCs w:val="21"/>
          <w:highlight w:val="none"/>
        </w:rPr>
        <w:t>要求和商务要求进行应答，</w:t>
      </w:r>
      <w:r>
        <w:rPr>
          <w:rFonts w:hint="eastAsia" w:ascii="宋体" w:hAnsi="宋体"/>
          <w:b/>
          <w:szCs w:val="21"/>
          <w:highlight w:val="none"/>
        </w:rPr>
        <w:t>包括但不限于以下内容</w:t>
      </w:r>
      <w:r>
        <w:rPr>
          <w:rFonts w:hint="eastAsia" w:ascii="宋体" w:hAnsi="宋体"/>
          <w:szCs w:val="21"/>
          <w:highlight w:val="none"/>
        </w:rPr>
        <w:t>：</w:t>
      </w:r>
    </w:p>
    <w:p w14:paraId="1CA363A8">
      <w:pPr>
        <w:spacing w:line="360" w:lineRule="auto"/>
        <w:ind w:firstLine="420" w:firstLineChars="200"/>
        <w:rPr>
          <w:rFonts w:ascii="宋体" w:hAnsi="宋体"/>
          <w:szCs w:val="21"/>
          <w:highlight w:val="none"/>
        </w:rPr>
      </w:pPr>
      <w:r>
        <w:rPr>
          <w:rFonts w:hint="eastAsia" w:ascii="宋体" w:hAnsi="宋体"/>
          <w:szCs w:val="21"/>
          <w:highlight w:val="none"/>
        </w:rPr>
        <w:t>1、服务管理方案</w:t>
      </w:r>
    </w:p>
    <w:p w14:paraId="5BD72965">
      <w:pPr>
        <w:spacing w:line="360" w:lineRule="auto"/>
        <w:ind w:firstLine="420" w:firstLineChars="200"/>
        <w:rPr>
          <w:rFonts w:ascii="宋体" w:hAnsi="宋体"/>
          <w:szCs w:val="21"/>
          <w:highlight w:val="none"/>
        </w:rPr>
      </w:pPr>
      <w:r>
        <w:rPr>
          <w:rFonts w:hint="eastAsia" w:ascii="宋体" w:hAnsi="宋体"/>
          <w:szCs w:val="21"/>
          <w:highlight w:val="none"/>
        </w:rPr>
        <w:t>1.1针对本项目制定规范化的实施方案。</w:t>
      </w:r>
    </w:p>
    <w:p w14:paraId="0B6012C7">
      <w:pPr>
        <w:spacing w:line="360" w:lineRule="auto"/>
        <w:ind w:firstLine="420" w:firstLineChars="200"/>
        <w:rPr>
          <w:rFonts w:ascii="宋体" w:hAnsi="宋体"/>
          <w:szCs w:val="21"/>
          <w:highlight w:val="none"/>
        </w:rPr>
      </w:pPr>
      <w:r>
        <w:rPr>
          <w:rFonts w:hint="eastAsia" w:ascii="宋体" w:hAnsi="宋体"/>
          <w:szCs w:val="21"/>
          <w:highlight w:val="none"/>
        </w:rPr>
        <w:t>1.2针对本项目具有详细、具体、可行性的实施保障措施及服务质量承诺。</w:t>
      </w:r>
    </w:p>
    <w:p w14:paraId="162675E6">
      <w:pPr>
        <w:spacing w:line="360" w:lineRule="auto"/>
        <w:ind w:firstLine="420" w:firstLineChars="200"/>
        <w:rPr>
          <w:rFonts w:ascii="宋体" w:hAnsi="宋体"/>
          <w:szCs w:val="21"/>
          <w:highlight w:val="none"/>
        </w:rPr>
      </w:pPr>
      <w:r>
        <w:rPr>
          <w:rFonts w:hint="eastAsia" w:ascii="宋体" w:hAnsi="宋体"/>
          <w:szCs w:val="21"/>
          <w:highlight w:val="none"/>
        </w:rPr>
        <w:t>1.3针对本项目有具体可行的应急措施和解决方案。</w:t>
      </w:r>
    </w:p>
    <w:p w14:paraId="38953007">
      <w:pPr>
        <w:spacing w:line="360" w:lineRule="auto"/>
        <w:ind w:firstLine="420" w:firstLineChars="200"/>
        <w:rPr>
          <w:rFonts w:ascii="宋体" w:hAnsi="宋体"/>
          <w:szCs w:val="21"/>
          <w:highlight w:val="none"/>
        </w:rPr>
      </w:pPr>
      <w:r>
        <w:rPr>
          <w:rFonts w:hint="eastAsia" w:ascii="宋体" w:hAnsi="宋体"/>
          <w:szCs w:val="21"/>
          <w:highlight w:val="none"/>
        </w:rPr>
        <w:t>1.4企业有完善的人员组织架构、管理制度和措施。</w:t>
      </w:r>
    </w:p>
    <w:p w14:paraId="21FFC7F4">
      <w:pPr>
        <w:spacing w:line="360" w:lineRule="auto"/>
        <w:ind w:firstLine="420" w:firstLineChars="200"/>
        <w:rPr>
          <w:rFonts w:ascii="宋体" w:hAnsi="宋体"/>
          <w:szCs w:val="21"/>
          <w:highlight w:val="none"/>
        </w:rPr>
      </w:pPr>
      <w:r>
        <w:rPr>
          <w:rFonts w:hint="eastAsia" w:ascii="宋体" w:hAnsi="宋体"/>
          <w:szCs w:val="21"/>
          <w:highlight w:val="none"/>
        </w:rPr>
        <w:t>2、服务要求</w:t>
      </w:r>
    </w:p>
    <w:p w14:paraId="01F298AA">
      <w:pPr>
        <w:spacing w:line="360" w:lineRule="auto"/>
        <w:ind w:firstLine="420" w:firstLineChars="200"/>
        <w:rPr>
          <w:rFonts w:ascii="宋体" w:hAnsi="宋体"/>
          <w:szCs w:val="21"/>
          <w:highlight w:val="none"/>
        </w:rPr>
      </w:pPr>
      <w:r>
        <w:rPr>
          <w:rFonts w:hint="eastAsia" w:ascii="宋体" w:hAnsi="宋体"/>
          <w:szCs w:val="21"/>
          <w:highlight w:val="none"/>
        </w:rPr>
        <w:t>2.1参与车辆情况</w:t>
      </w:r>
    </w:p>
    <w:p w14:paraId="193B068C">
      <w:pPr>
        <w:spacing w:line="360" w:lineRule="auto"/>
        <w:ind w:firstLine="420" w:firstLineChars="200"/>
        <w:rPr>
          <w:rFonts w:ascii="宋体" w:hAnsi="宋体"/>
          <w:szCs w:val="21"/>
          <w:highlight w:val="none"/>
        </w:rPr>
      </w:pPr>
      <w:r>
        <w:rPr>
          <w:rFonts w:hint="eastAsia" w:ascii="宋体" w:hAnsi="宋体"/>
          <w:szCs w:val="21"/>
          <w:highlight w:val="none"/>
        </w:rPr>
        <w:t>2.2</w:t>
      </w:r>
      <w:r>
        <w:rPr>
          <w:rFonts w:hint="eastAsia" w:ascii="宋体" w:hAnsi="宋体" w:cs="宋体"/>
          <w:szCs w:val="21"/>
          <w:highlight w:val="none"/>
        </w:rPr>
        <w:t>拖移、吊装车辆装备有定位设备</w:t>
      </w:r>
    </w:p>
    <w:p w14:paraId="6690D6C2">
      <w:pPr>
        <w:spacing w:line="360" w:lineRule="auto"/>
        <w:ind w:firstLine="420" w:firstLineChars="200"/>
        <w:rPr>
          <w:rFonts w:ascii="宋体" w:hAnsi="宋体"/>
          <w:szCs w:val="21"/>
          <w:highlight w:val="none"/>
        </w:rPr>
      </w:pPr>
      <w:r>
        <w:rPr>
          <w:rFonts w:hint="eastAsia" w:ascii="宋体" w:hAnsi="宋体"/>
          <w:szCs w:val="21"/>
          <w:highlight w:val="none"/>
        </w:rPr>
        <w:t>2.3</w:t>
      </w:r>
      <w:r>
        <w:rPr>
          <w:rFonts w:hint="eastAsia" w:ascii="宋体" w:hAnsi="宋体" w:cs="宋体"/>
          <w:szCs w:val="21"/>
          <w:highlight w:val="none"/>
        </w:rPr>
        <w:t>拖移、吊装车辆前后安装行车记录仪</w:t>
      </w:r>
    </w:p>
    <w:p w14:paraId="7ED46552">
      <w:pPr>
        <w:spacing w:line="360" w:lineRule="auto"/>
        <w:ind w:firstLine="420" w:firstLineChars="200"/>
        <w:rPr>
          <w:rFonts w:ascii="宋体" w:hAnsi="宋体"/>
          <w:szCs w:val="21"/>
          <w:highlight w:val="none"/>
        </w:rPr>
      </w:pPr>
      <w:r>
        <w:rPr>
          <w:rFonts w:hint="eastAsia" w:ascii="宋体" w:hAnsi="宋体"/>
          <w:szCs w:val="21"/>
          <w:highlight w:val="none"/>
        </w:rPr>
        <w:t>2.4满足工作车辆第三者责任险</w:t>
      </w:r>
    </w:p>
    <w:p w14:paraId="2D4C2D4A">
      <w:pPr>
        <w:spacing w:line="360" w:lineRule="auto"/>
        <w:ind w:firstLine="420" w:firstLineChars="200"/>
        <w:rPr>
          <w:rFonts w:ascii="宋体" w:hAnsi="宋体"/>
          <w:szCs w:val="21"/>
          <w:highlight w:val="none"/>
        </w:rPr>
      </w:pPr>
      <w:r>
        <w:rPr>
          <w:rFonts w:hint="eastAsia" w:ascii="宋体" w:hAnsi="宋体"/>
          <w:szCs w:val="21"/>
          <w:highlight w:val="none"/>
        </w:rPr>
        <w:t>2.5具备专业调度中心</w:t>
      </w:r>
    </w:p>
    <w:p w14:paraId="71BAEFA0">
      <w:pPr>
        <w:spacing w:line="360" w:lineRule="auto"/>
        <w:ind w:firstLine="420" w:firstLineChars="200"/>
        <w:rPr>
          <w:rFonts w:ascii="宋体" w:hAnsi="宋体"/>
          <w:szCs w:val="21"/>
          <w:highlight w:val="none"/>
        </w:rPr>
      </w:pPr>
      <w:r>
        <w:rPr>
          <w:rFonts w:hint="eastAsia" w:ascii="宋体" w:hAnsi="宋体"/>
          <w:szCs w:val="21"/>
          <w:highlight w:val="none"/>
        </w:rPr>
        <w:t>2.6对本项目拟投入的辅助设备</w:t>
      </w:r>
    </w:p>
    <w:p w14:paraId="21BD8F65">
      <w:pPr>
        <w:spacing w:line="360" w:lineRule="auto"/>
        <w:ind w:firstLine="420" w:firstLineChars="200"/>
        <w:rPr>
          <w:rFonts w:ascii="宋体" w:hAnsi="宋体"/>
          <w:szCs w:val="21"/>
          <w:highlight w:val="none"/>
        </w:rPr>
      </w:pPr>
      <w:r>
        <w:rPr>
          <w:rFonts w:hint="eastAsia" w:ascii="宋体" w:hAnsi="宋体"/>
          <w:szCs w:val="21"/>
          <w:highlight w:val="none"/>
        </w:rPr>
        <w:t>2.7本项目提供的团队</w:t>
      </w:r>
    </w:p>
    <w:p w14:paraId="36D85C63">
      <w:pPr>
        <w:spacing w:line="360" w:lineRule="auto"/>
        <w:ind w:firstLine="420" w:firstLineChars="200"/>
        <w:rPr>
          <w:rFonts w:ascii="宋体" w:hAnsi="宋体"/>
          <w:szCs w:val="21"/>
          <w:highlight w:val="none"/>
        </w:rPr>
      </w:pPr>
      <w:r>
        <w:rPr>
          <w:rFonts w:hint="eastAsia" w:ascii="宋体" w:hAnsi="宋体"/>
          <w:szCs w:val="21"/>
          <w:highlight w:val="none"/>
        </w:rPr>
        <w:t>3、技术服务保证</w:t>
      </w:r>
    </w:p>
    <w:p w14:paraId="25D453BA">
      <w:pPr>
        <w:spacing w:line="360" w:lineRule="auto"/>
        <w:ind w:firstLine="420" w:firstLineChars="200"/>
        <w:rPr>
          <w:rFonts w:ascii="宋体" w:hAnsi="宋体"/>
          <w:szCs w:val="21"/>
          <w:highlight w:val="none"/>
        </w:rPr>
      </w:pPr>
      <w:r>
        <w:rPr>
          <w:rFonts w:hint="eastAsia" w:ascii="宋体" w:hAnsi="宋体"/>
          <w:szCs w:val="21"/>
          <w:highlight w:val="none"/>
        </w:rPr>
        <w:t>4、业绩</w:t>
      </w:r>
    </w:p>
    <w:p w14:paraId="75FF01FF">
      <w:pPr>
        <w:spacing w:line="360" w:lineRule="auto"/>
        <w:ind w:firstLine="420" w:firstLineChars="200"/>
        <w:rPr>
          <w:rFonts w:ascii="宋体" w:hAnsi="宋体" w:cs="宋体"/>
          <w:szCs w:val="21"/>
          <w:highlight w:val="none"/>
        </w:rPr>
      </w:pPr>
    </w:p>
    <w:p w14:paraId="0B076B7B">
      <w:pPr>
        <w:spacing w:after="120"/>
        <w:outlineLvl w:val="0"/>
        <w:rPr>
          <w:rFonts w:ascii="宋体" w:hAnsi="宋体" w:cs="宋体"/>
          <w:sz w:val="24"/>
          <w:szCs w:val="24"/>
          <w:highlight w:val="none"/>
        </w:rPr>
      </w:pPr>
      <w:bookmarkStart w:id="79" w:name="_Toc10678"/>
      <w:bookmarkStart w:id="80" w:name="_Toc16253"/>
      <w:bookmarkStart w:id="81" w:name="_Toc26903"/>
      <w:bookmarkStart w:id="82" w:name="_Toc21403"/>
      <w:r>
        <w:rPr>
          <w:rFonts w:hint="eastAsia" w:ascii="宋体" w:hAnsi="宋体" w:cs="宋体"/>
          <w:b/>
          <w:sz w:val="24"/>
          <w:szCs w:val="24"/>
          <w:highlight w:val="none"/>
        </w:rPr>
        <w:br w:type="page"/>
      </w:r>
      <w:bookmarkEnd w:id="79"/>
      <w:bookmarkEnd w:id="80"/>
      <w:bookmarkEnd w:id="81"/>
      <w:bookmarkEnd w:id="82"/>
      <w:bookmarkStart w:id="83" w:name="_Toc3258"/>
      <w:bookmarkStart w:id="84" w:name="_Toc30052"/>
      <w:bookmarkStart w:id="85" w:name="_Toc2569"/>
      <w:r>
        <w:rPr>
          <w:rFonts w:hint="eastAsia" w:ascii="宋体" w:hAnsi="宋体" w:cs="宋体"/>
          <w:b/>
          <w:sz w:val="24"/>
          <w:szCs w:val="24"/>
          <w:highlight w:val="none"/>
        </w:rPr>
        <w:t>附件：格式</w:t>
      </w:r>
    </w:p>
    <w:p w14:paraId="5206858B">
      <w:pPr>
        <w:spacing w:before="312" w:beforeLines="100" w:after="312" w:afterLines="100" w:line="360" w:lineRule="auto"/>
        <w:jc w:val="center"/>
        <w:rPr>
          <w:rFonts w:ascii="宋体" w:hAnsi="宋体" w:cs="宋体"/>
          <w:b/>
          <w:sz w:val="32"/>
          <w:szCs w:val="32"/>
          <w:highlight w:val="none"/>
        </w:rPr>
      </w:pPr>
      <w:bookmarkStart w:id="86" w:name="_Toc27536"/>
      <w:bookmarkStart w:id="87" w:name="_Toc7596"/>
      <w:bookmarkStart w:id="88" w:name="_Toc7399"/>
      <w:bookmarkStart w:id="89" w:name="_Toc28220"/>
      <w:bookmarkStart w:id="90" w:name="_Toc31116"/>
      <w:r>
        <w:rPr>
          <w:rFonts w:hint="eastAsia" w:ascii="宋体" w:hAnsi="宋体" w:cs="宋体"/>
          <w:b/>
          <w:sz w:val="32"/>
          <w:szCs w:val="32"/>
          <w:highlight w:val="none"/>
        </w:rPr>
        <w:t>商务偏离表</w:t>
      </w:r>
      <w:bookmarkEnd w:id="86"/>
      <w:bookmarkEnd w:id="87"/>
      <w:bookmarkEnd w:id="88"/>
      <w:bookmarkEnd w:id="89"/>
      <w:bookmarkEnd w:id="90"/>
    </w:p>
    <w:tbl>
      <w:tblPr>
        <w:tblStyle w:val="12"/>
        <w:tblW w:w="0" w:type="auto"/>
        <w:tblInd w:w="1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725"/>
        <w:gridCol w:w="2801"/>
        <w:gridCol w:w="1887"/>
      </w:tblGrid>
      <w:tr w14:paraId="08F17E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2" w:type="dxa"/>
            <w:tcBorders>
              <w:top w:val="single" w:color="auto" w:sz="12" w:space="0"/>
            </w:tcBorders>
            <w:vAlign w:val="center"/>
          </w:tcPr>
          <w:p w14:paraId="5482E2A3">
            <w:pPr>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2725" w:type="dxa"/>
            <w:tcBorders>
              <w:top w:val="single" w:color="auto" w:sz="12" w:space="0"/>
            </w:tcBorders>
            <w:vAlign w:val="center"/>
          </w:tcPr>
          <w:p w14:paraId="21DAE954">
            <w:pPr>
              <w:spacing w:line="360" w:lineRule="auto"/>
              <w:jc w:val="center"/>
              <w:rPr>
                <w:rFonts w:ascii="宋体" w:hAnsi="宋体" w:cs="宋体"/>
                <w:b/>
                <w:szCs w:val="21"/>
                <w:highlight w:val="none"/>
              </w:rPr>
            </w:pPr>
            <w:r>
              <w:rPr>
                <w:rFonts w:hint="eastAsia" w:ascii="宋体" w:hAnsi="宋体" w:cs="宋体"/>
                <w:b/>
                <w:szCs w:val="21"/>
                <w:highlight w:val="none"/>
              </w:rPr>
              <w:t>招标文件商务要求</w:t>
            </w:r>
          </w:p>
        </w:tc>
        <w:tc>
          <w:tcPr>
            <w:tcW w:w="2801" w:type="dxa"/>
            <w:tcBorders>
              <w:top w:val="single" w:color="auto" w:sz="12" w:space="0"/>
            </w:tcBorders>
            <w:vAlign w:val="center"/>
          </w:tcPr>
          <w:p w14:paraId="260837C8">
            <w:pPr>
              <w:spacing w:line="360" w:lineRule="auto"/>
              <w:jc w:val="center"/>
              <w:rPr>
                <w:rFonts w:ascii="宋体" w:hAnsi="宋体" w:cs="宋体"/>
                <w:b/>
                <w:szCs w:val="21"/>
                <w:highlight w:val="none"/>
              </w:rPr>
            </w:pPr>
            <w:r>
              <w:rPr>
                <w:rFonts w:hint="eastAsia" w:ascii="宋体" w:hAnsi="宋体" w:cs="宋体"/>
                <w:b/>
                <w:szCs w:val="21"/>
                <w:highlight w:val="none"/>
              </w:rPr>
              <w:t>投标文件商务响应</w:t>
            </w:r>
          </w:p>
        </w:tc>
        <w:tc>
          <w:tcPr>
            <w:tcW w:w="1887" w:type="dxa"/>
            <w:tcBorders>
              <w:top w:val="single" w:color="auto" w:sz="12" w:space="0"/>
            </w:tcBorders>
            <w:vAlign w:val="center"/>
          </w:tcPr>
          <w:p w14:paraId="19E85BCD">
            <w:pPr>
              <w:spacing w:line="360" w:lineRule="auto"/>
              <w:jc w:val="center"/>
              <w:rPr>
                <w:rFonts w:ascii="宋体" w:hAnsi="宋体" w:cs="宋体"/>
                <w:b/>
                <w:szCs w:val="21"/>
                <w:highlight w:val="none"/>
              </w:rPr>
            </w:pPr>
            <w:r>
              <w:rPr>
                <w:rFonts w:hint="eastAsia" w:ascii="宋体" w:hAnsi="宋体" w:cs="宋体"/>
                <w:b/>
                <w:szCs w:val="21"/>
                <w:highlight w:val="none"/>
              </w:rPr>
              <w:t>偏差说明</w:t>
            </w:r>
          </w:p>
        </w:tc>
      </w:tr>
      <w:tr w14:paraId="121E05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Align w:val="center"/>
          </w:tcPr>
          <w:p w14:paraId="57DF1FC4">
            <w:pPr>
              <w:spacing w:line="360" w:lineRule="auto"/>
              <w:jc w:val="center"/>
              <w:rPr>
                <w:rFonts w:ascii="宋体" w:hAnsi="宋体" w:cs="宋体"/>
                <w:bCs/>
                <w:szCs w:val="21"/>
                <w:highlight w:val="none"/>
              </w:rPr>
            </w:pPr>
            <w:r>
              <w:rPr>
                <w:rFonts w:hint="eastAsia" w:ascii="宋体" w:hAnsi="宋体" w:cs="宋体"/>
                <w:bCs/>
                <w:szCs w:val="21"/>
                <w:highlight w:val="none"/>
              </w:rPr>
              <w:t>1</w:t>
            </w:r>
          </w:p>
        </w:tc>
        <w:tc>
          <w:tcPr>
            <w:tcW w:w="2725" w:type="dxa"/>
          </w:tcPr>
          <w:p w14:paraId="16C845F9">
            <w:pPr>
              <w:spacing w:line="440" w:lineRule="exact"/>
              <w:rPr>
                <w:rFonts w:ascii="宋体" w:hAnsi="宋体" w:cs="宋体"/>
                <w:b/>
                <w:sz w:val="32"/>
                <w:highlight w:val="none"/>
              </w:rPr>
            </w:pPr>
          </w:p>
        </w:tc>
        <w:tc>
          <w:tcPr>
            <w:tcW w:w="2801" w:type="dxa"/>
          </w:tcPr>
          <w:p w14:paraId="37B40EC1">
            <w:pPr>
              <w:spacing w:line="440" w:lineRule="exact"/>
              <w:rPr>
                <w:rFonts w:ascii="宋体" w:hAnsi="宋体" w:cs="宋体"/>
                <w:b/>
                <w:sz w:val="32"/>
                <w:highlight w:val="none"/>
              </w:rPr>
            </w:pPr>
          </w:p>
        </w:tc>
        <w:tc>
          <w:tcPr>
            <w:tcW w:w="1887" w:type="dxa"/>
          </w:tcPr>
          <w:p w14:paraId="4CCA7AD0">
            <w:pPr>
              <w:spacing w:line="440" w:lineRule="exact"/>
              <w:rPr>
                <w:rFonts w:ascii="宋体" w:hAnsi="宋体" w:cs="宋体"/>
                <w:b/>
                <w:sz w:val="32"/>
                <w:highlight w:val="none"/>
              </w:rPr>
            </w:pPr>
          </w:p>
        </w:tc>
      </w:tr>
      <w:tr w14:paraId="4D4127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Align w:val="center"/>
          </w:tcPr>
          <w:p w14:paraId="4278FC13">
            <w:pPr>
              <w:spacing w:line="360" w:lineRule="auto"/>
              <w:jc w:val="center"/>
              <w:rPr>
                <w:rFonts w:ascii="宋体" w:hAnsi="宋体" w:cs="宋体"/>
                <w:bCs/>
                <w:szCs w:val="21"/>
                <w:highlight w:val="none"/>
              </w:rPr>
            </w:pPr>
            <w:r>
              <w:rPr>
                <w:rFonts w:hint="eastAsia" w:ascii="宋体" w:hAnsi="宋体" w:cs="宋体"/>
                <w:bCs/>
                <w:szCs w:val="21"/>
                <w:highlight w:val="none"/>
              </w:rPr>
              <w:t>2</w:t>
            </w:r>
          </w:p>
        </w:tc>
        <w:tc>
          <w:tcPr>
            <w:tcW w:w="2725" w:type="dxa"/>
          </w:tcPr>
          <w:p w14:paraId="687B695F">
            <w:pPr>
              <w:spacing w:line="440" w:lineRule="exact"/>
              <w:rPr>
                <w:rFonts w:ascii="宋体" w:hAnsi="宋体" w:cs="宋体"/>
                <w:b/>
                <w:sz w:val="32"/>
                <w:highlight w:val="none"/>
              </w:rPr>
            </w:pPr>
          </w:p>
        </w:tc>
        <w:tc>
          <w:tcPr>
            <w:tcW w:w="2801" w:type="dxa"/>
          </w:tcPr>
          <w:p w14:paraId="563C6B91">
            <w:pPr>
              <w:spacing w:line="440" w:lineRule="exact"/>
              <w:rPr>
                <w:rFonts w:ascii="宋体" w:hAnsi="宋体" w:cs="宋体"/>
                <w:b/>
                <w:sz w:val="32"/>
                <w:highlight w:val="none"/>
              </w:rPr>
            </w:pPr>
          </w:p>
        </w:tc>
        <w:tc>
          <w:tcPr>
            <w:tcW w:w="1887" w:type="dxa"/>
          </w:tcPr>
          <w:p w14:paraId="0A7624FA">
            <w:pPr>
              <w:spacing w:line="440" w:lineRule="exact"/>
              <w:rPr>
                <w:rFonts w:ascii="宋体" w:hAnsi="宋体" w:cs="宋体"/>
                <w:b/>
                <w:sz w:val="32"/>
                <w:highlight w:val="none"/>
              </w:rPr>
            </w:pPr>
          </w:p>
        </w:tc>
      </w:tr>
      <w:tr w14:paraId="3A80C4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Align w:val="center"/>
          </w:tcPr>
          <w:p w14:paraId="0F4DB382">
            <w:pPr>
              <w:spacing w:line="360" w:lineRule="auto"/>
              <w:jc w:val="center"/>
              <w:rPr>
                <w:rFonts w:ascii="宋体" w:hAnsi="宋体" w:cs="宋体"/>
                <w:bCs/>
                <w:szCs w:val="21"/>
                <w:highlight w:val="none"/>
              </w:rPr>
            </w:pPr>
            <w:r>
              <w:rPr>
                <w:rFonts w:hint="eastAsia" w:ascii="宋体" w:hAnsi="宋体" w:cs="宋体"/>
                <w:bCs/>
                <w:szCs w:val="21"/>
                <w:highlight w:val="none"/>
              </w:rPr>
              <w:t>3</w:t>
            </w:r>
          </w:p>
        </w:tc>
        <w:tc>
          <w:tcPr>
            <w:tcW w:w="2725" w:type="dxa"/>
          </w:tcPr>
          <w:p w14:paraId="68CD0B4C">
            <w:pPr>
              <w:spacing w:line="440" w:lineRule="exact"/>
              <w:rPr>
                <w:rFonts w:ascii="宋体" w:hAnsi="宋体" w:cs="宋体"/>
                <w:b/>
                <w:sz w:val="32"/>
                <w:highlight w:val="none"/>
              </w:rPr>
            </w:pPr>
          </w:p>
        </w:tc>
        <w:tc>
          <w:tcPr>
            <w:tcW w:w="2801" w:type="dxa"/>
          </w:tcPr>
          <w:p w14:paraId="0BD87CAE">
            <w:pPr>
              <w:spacing w:line="440" w:lineRule="exact"/>
              <w:rPr>
                <w:rFonts w:ascii="宋体" w:hAnsi="宋体" w:cs="宋体"/>
                <w:b/>
                <w:sz w:val="32"/>
                <w:highlight w:val="none"/>
              </w:rPr>
            </w:pPr>
          </w:p>
        </w:tc>
        <w:tc>
          <w:tcPr>
            <w:tcW w:w="1887" w:type="dxa"/>
          </w:tcPr>
          <w:p w14:paraId="62D1B3FD">
            <w:pPr>
              <w:spacing w:line="440" w:lineRule="exact"/>
              <w:rPr>
                <w:rFonts w:ascii="宋体" w:hAnsi="宋体" w:cs="宋体"/>
                <w:b/>
                <w:sz w:val="32"/>
                <w:highlight w:val="none"/>
              </w:rPr>
            </w:pPr>
          </w:p>
        </w:tc>
      </w:tr>
      <w:tr w14:paraId="4D2C16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Align w:val="center"/>
          </w:tcPr>
          <w:p w14:paraId="40EB8F46">
            <w:pPr>
              <w:spacing w:line="360" w:lineRule="auto"/>
              <w:jc w:val="center"/>
              <w:rPr>
                <w:rFonts w:ascii="宋体" w:hAnsi="宋体" w:cs="宋体"/>
                <w:bCs/>
                <w:szCs w:val="21"/>
                <w:highlight w:val="none"/>
              </w:rPr>
            </w:pPr>
            <w:r>
              <w:rPr>
                <w:rFonts w:hint="eastAsia" w:ascii="宋体" w:hAnsi="宋体" w:cs="宋体"/>
                <w:bCs/>
                <w:szCs w:val="21"/>
                <w:highlight w:val="none"/>
              </w:rPr>
              <w:t>4</w:t>
            </w:r>
          </w:p>
        </w:tc>
        <w:tc>
          <w:tcPr>
            <w:tcW w:w="2725" w:type="dxa"/>
          </w:tcPr>
          <w:p w14:paraId="1ECBD0C4">
            <w:pPr>
              <w:spacing w:line="440" w:lineRule="exact"/>
              <w:rPr>
                <w:rFonts w:ascii="宋体" w:hAnsi="宋体" w:cs="宋体"/>
                <w:b/>
                <w:sz w:val="32"/>
                <w:highlight w:val="none"/>
              </w:rPr>
            </w:pPr>
          </w:p>
        </w:tc>
        <w:tc>
          <w:tcPr>
            <w:tcW w:w="2801" w:type="dxa"/>
          </w:tcPr>
          <w:p w14:paraId="0F5F7046">
            <w:pPr>
              <w:spacing w:line="440" w:lineRule="exact"/>
              <w:rPr>
                <w:rFonts w:ascii="宋体" w:hAnsi="宋体" w:cs="宋体"/>
                <w:b/>
                <w:sz w:val="32"/>
                <w:highlight w:val="none"/>
              </w:rPr>
            </w:pPr>
          </w:p>
        </w:tc>
        <w:tc>
          <w:tcPr>
            <w:tcW w:w="1887" w:type="dxa"/>
          </w:tcPr>
          <w:p w14:paraId="6BBDE19F">
            <w:pPr>
              <w:spacing w:line="440" w:lineRule="exact"/>
              <w:rPr>
                <w:rFonts w:ascii="宋体" w:hAnsi="宋体" w:cs="宋体"/>
                <w:b/>
                <w:sz w:val="32"/>
                <w:highlight w:val="none"/>
              </w:rPr>
            </w:pPr>
          </w:p>
        </w:tc>
      </w:tr>
      <w:tr w14:paraId="3D6F8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Align w:val="center"/>
          </w:tcPr>
          <w:p w14:paraId="7EA62B91">
            <w:pPr>
              <w:spacing w:line="360" w:lineRule="auto"/>
              <w:jc w:val="center"/>
              <w:rPr>
                <w:rFonts w:ascii="宋体" w:hAnsi="宋体" w:cs="宋体"/>
                <w:bCs/>
                <w:szCs w:val="21"/>
                <w:highlight w:val="none"/>
              </w:rPr>
            </w:pPr>
            <w:r>
              <w:rPr>
                <w:rFonts w:hint="eastAsia" w:ascii="宋体" w:hAnsi="宋体" w:cs="宋体"/>
                <w:bCs/>
                <w:szCs w:val="21"/>
                <w:highlight w:val="none"/>
              </w:rPr>
              <w:t>5</w:t>
            </w:r>
          </w:p>
        </w:tc>
        <w:tc>
          <w:tcPr>
            <w:tcW w:w="2725" w:type="dxa"/>
          </w:tcPr>
          <w:p w14:paraId="6FE63759">
            <w:pPr>
              <w:spacing w:line="440" w:lineRule="exact"/>
              <w:rPr>
                <w:rFonts w:ascii="宋体" w:hAnsi="宋体" w:cs="宋体"/>
                <w:b/>
                <w:sz w:val="32"/>
                <w:highlight w:val="none"/>
              </w:rPr>
            </w:pPr>
          </w:p>
        </w:tc>
        <w:tc>
          <w:tcPr>
            <w:tcW w:w="2801" w:type="dxa"/>
          </w:tcPr>
          <w:p w14:paraId="7EB0ED61">
            <w:pPr>
              <w:spacing w:line="440" w:lineRule="exact"/>
              <w:rPr>
                <w:rFonts w:ascii="宋体" w:hAnsi="宋体" w:cs="宋体"/>
                <w:b/>
                <w:sz w:val="32"/>
                <w:highlight w:val="none"/>
              </w:rPr>
            </w:pPr>
          </w:p>
        </w:tc>
        <w:tc>
          <w:tcPr>
            <w:tcW w:w="1887" w:type="dxa"/>
          </w:tcPr>
          <w:p w14:paraId="2D52124A">
            <w:pPr>
              <w:spacing w:line="440" w:lineRule="exact"/>
              <w:rPr>
                <w:rFonts w:ascii="宋体" w:hAnsi="宋体" w:cs="宋体"/>
                <w:b/>
                <w:sz w:val="32"/>
                <w:highlight w:val="none"/>
              </w:rPr>
            </w:pPr>
          </w:p>
        </w:tc>
      </w:tr>
      <w:tr w14:paraId="35FAC0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bottom w:val="single" w:color="auto" w:sz="12" w:space="0"/>
            </w:tcBorders>
            <w:vAlign w:val="center"/>
          </w:tcPr>
          <w:p w14:paraId="60F04FCF">
            <w:pPr>
              <w:spacing w:line="360" w:lineRule="auto"/>
              <w:jc w:val="center"/>
              <w:rPr>
                <w:rFonts w:ascii="宋体" w:hAnsi="宋体" w:cs="宋体"/>
                <w:bCs/>
                <w:szCs w:val="21"/>
                <w:highlight w:val="none"/>
              </w:rPr>
            </w:pPr>
            <w:r>
              <w:rPr>
                <w:rFonts w:hint="eastAsia" w:ascii="宋体" w:hAnsi="宋体" w:cs="宋体"/>
                <w:bCs/>
                <w:szCs w:val="21"/>
                <w:highlight w:val="none"/>
              </w:rPr>
              <w:t>...</w:t>
            </w:r>
          </w:p>
        </w:tc>
        <w:tc>
          <w:tcPr>
            <w:tcW w:w="2725" w:type="dxa"/>
            <w:tcBorders>
              <w:bottom w:val="single" w:color="auto" w:sz="12" w:space="0"/>
            </w:tcBorders>
          </w:tcPr>
          <w:p w14:paraId="4C993642">
            <w:pPr>
              <w:spacing w:line="440" w:lineRule="exact"/>
              <w:rPr>
                <w:rFonts w:ascii="宋体" w:hAnsi="宋体" w:cs="宋体"/>
                <w:b/>
                <w:sz w:val="32"/>
                <w:highlight w:val="none"/>
              </w:rPr>
            </w:pPr>
          </w:p>
        </w:tc>
        <w:tc>
          <w:tcPr>
            <w:tcW w:w="2801" w:type="dxa"/>
            <w:tcBorders>
              <w:bottom w:val="single" w:color="auto" w:sz="12" w:space="0"/>
            </w:tcBorders>
          </w:tcPr>
          <w:p w14:paraId="2EB706DD">
            <w:pPr>
              <w:spacing w:line="440" w:lineRule="exact"/>
              <w:rPr>
                <w:rFonts w:ascii="宋体" w:hAnsi="宋体" w:cs="宋体"/>
                <w:b/>
                <w:sz w:val="32"/>
                <w:highlight w:val="none"/>
              </w:rPr>
            </w:pPr>
          </w:p>
        </w:tc>
        <w:tc>
          <w:tcPr>
            <w:tcW w:w="1887" w:type="dxa"/>
            <w:tcBorders>
              <w:bottom w:val="single" w:color="auto" w:sz="12" w:space="0"/>
            </w:tcBorders>
          </w:tcPr>
          <w:p w14:paraId="075A0E83">
            <w:pPr>
              <w:spacing w:line="440" w:lineRule="exact"/>
              <w:rPr>
                <w:rFonts w:ascii="宋体" w:hAnsi="宋体" w:cs="宋体"/>
                <w:b/>
                <w:sz w:val="32"/>
                <w:highlight w:val="none"/>
              </w:rPr>
            </w:pPr>
          </w:p>
        </w:tc>
      </w:tr>
    </w:tbl>
    <w:p w14:paraId="1EC30B51">
      <w:pPr>
        <w:snapToGrid w:val="0"/>
        <w:spacing w:line="500" w:lineRule="exact"/>
        <w:outlineLvl w:val="0"/>
        <w:rPr>
          <w:rFonts w:ascii="宋体" w:hAnsi="宋体" w:cs="宋体"/>
          <w:b/>
          <w:bCs/>
          <w:highlight w:val="none"/>
        </w:rPr>
      </w:pPr>
      <w:r>
        <w:rPr>
          <w:rFonts w:hint="eastAsia" w:ascii="宋体" w:hAnsi="宋体" w:cs="宋体"/>
          <w:b/>
          <w:bCs/>
          <w:highlight w:val="none"/>
        </w:rPr>
        <w:t>供应商保证：除商务偏离表列出的偏差外，供应商响应招标文件的全部商务要求</w:t>
      </w:r>
      <w:bookmarkEnd w:id="83"/>
      <w:bookmarkEnd w:id="84"/>
      <w:bookmarkEnd w:id="85"/>
      <w:r>
        <w:rPr>
          <w:rFonts w:hint="eastAsia" w:ascii="宋体" w:hAnsi="宋体" w:cs="宋体"/>
          <w:b/>
          <w:bCs/>
          <w:highlight w:val="none"/>
        </w:rPr>
        <w:t>。</w:t>
      </w:r>
    </w:p>
    <w:p w14:paraId="017F6DCE">
      <w:pPr>
        <w:pStyle w:val="11"/>
        <w:widowControl w:val="0"/>
        <w:spacing w:before="0" w:beforeAutospacing="0" w:after="0" w:afterAutospacing="0" w:line="360" w:lineRule="auto"/>
        <w:rPr>
          <w:rFonts w:ascii="仿宋" w:hAnsi="仿宋" w:eastAsia="仿宋" w:cs="仿宋"/>
          <w:color w:val="000000"/>
          <w:sz w:val="22"/>
          <w:szCs w:val="22"/>
          <w:highlight w:val="none"/>
        </w:rPr>
      </w:pPr>
    </w:p>
    <w:p w14:paraId="14291A65">
      <w:pPr>
        <w:pStyle w:val="11"/>
        <w:widowControl w:val="0"/>
        <w:spacing w:before="0" w:beforeAutospacing="0" w:after="0" w:afterAutospacing="0" w:line="360" w:lineRule="auto"/>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说明：</w:t>
      </w:r>
    </w:p>
    <w:p w14:paraId="1F1AD7C7">
      <w:pPr>
        <w:pStyle w:val="11"/>
        <w:widowControl w:val="0"/>
        <w:spacing w:before="0" w:beforeAutospacing="0" w:after="0" w:afterAutospacing="0" w:line="360" w:lineRule="auto"/>
        <w:ind w:firstLine="440" w:firstLineChars="200"/>
        <w:jc w:val="both"/>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1.本表只填写投标文件中与招标文件有偏离（包括正偏离和负偏离）的内容，投标文件中商务响应与招标文件要求完全一致的，不用在此表中列出，但必须提交空白表。</w:t>
      </w:r>
    </w:p>
    <w:p w14:paraId="2B2F87E3">
      <w:pPr>
        <w:pStyle w:val="11"/>
        <w:widowControl w:val="0"/>
        <w:spacing w:before="0" w:beforeAutospacing="0" w:after="0" w:afterAutospacing="0" w:line="360" w:lineRule="auto"/>
        <w:ind w:firstLine="440" w:firstLineChars="200"/>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2.供应商必须据实填写，不得虚假响应，否则按无效投标处理，并按有关规定进行处罚。</w:t>
      </w:r>
    </w:p>
    <w:p w14:paraId="7D17D60B">
      <w:pPr>
        <w:spacing w:line="360" w:lineRule="auto"/>
        <w:ind w:right="540" w:rightChars="257" w:firstLine="2100" w:firstLineChars="1000"/>
        <w:jc w:val="left"/>
        <w:rPr>
          <w:rFonts w:ascii="仿宋" w:hAnsi="仿宋" w:eastAsia="仿宋" w:cs="仿宋"/>
          <w:color w:val="000000"/>
          <w:highlight w:val="none"/>
          <w:u w:val="single"/>
        </w:rPr>
      </w:pPr>
      <w:r>
        <w:rPr>
          <w:rFonts w:hint="eastAsia" w:ascii="仿宋" w:hAnsi="仿宋" w:eastAsia="仿宋" w:cs="仿宋"/>
          <w:color w:val="000000"/>
          <w:highlight w:val="none"/>
        </w:rPr>
        <w:t>供应商名称：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（加盖单位公章）</w:t>
      </w:r>
    </w:p>
    <w:p w14:paraId="21AD92AF">
      <w:pPr>
        <w:spacing w:after="120"/>
        <w:outlineLvl w:val="0"/>
        <w:rPr>
          <w:rFonts w:ascii="宋体" w:hAnsi="宋体" w:cs="宋体"/>
          <w:sz w:val="24"/>
          <w:szCs w:val="24"/>
          <w:highlight w:val="none"/>
        </w:rPr>
      </w:pPr>
      <w:r>
        <w:rPr>
          <w:rFonts w:hint="eastAsia" w:ascii="宋体" w:hAnsi="宋体" w:cs="宋体"/>
          <w:sz w:val="24"/>
          <w:szCs w:val="24"/>
          <w:highlight w:val="none"/>
        </w:rPr>
        <w:br w:type="page"/>
      </w:r>
      <w:bookmarkStart w:id="91" w:name="_Toc371"/>
      <w:bookmarkStart w:id="92" w:name="_Toc29994"/>
      <w:bookmarkStart w:id="93" w:name="_Toc7278"/>
      <w:bookmarkStart w:id="94" w:name="_Toc6721"/>
      <w:bookmarkStart w:id="95" w:name="_Toc510"/>
      <w:r>
        <w:rPr>
          <w:rFonts w:hint="eastAsia" w:ascii="宋体" w:hAnsi="宋体" w:cs="宋体"/>
          <w:b/>
          <w:sz w:val="24"/>
          <w:szCs w:val="24"/>
          <w:highlight w:val="none"/>
        </w:rPr>
        <w:t>附件：格式</w:t>
      </w:r>
      <w:bookmarkEnd w:id="91"/>
      <w:bookmarkEnd w:id="92"/>
      <w:bookmarkEnd w:id="93"/>
    </w:p>
    <w:p w14:paraId="4E1093D6">
      <w:pPr>
        <w:spacing w:before="312" w:beforeLines="100" w:after="312" w:afterLines="100" w:line="360" w:lineRule="auto"/>
        <w:jc w:val="center"/>
        <w:rPr>
          <w:rFonts w:ascii="宋体" w:hAnsi="宋体" w:cs="宋体"/>
          <w:sz w:val="32"/>
          <w:szCs w:val="32"/>
          <w:highlight w:val="none"/>
        </w:rPr>
      </w:pPr>
      <w:r>
        <w:rPr>
          <w:rFonts w:hint="eastAsia" w:ascii="宋体" w:hAnsi="宋体" w:cs="宋体"/>
          <w:b/>
          <w:sz w:val="32"/>
          <w:szCs w:val="32"/>
          <w:highlight w:val="none"/>
        </w:rPr>
        <w:t>服务要求偏离表</w:t>
      </w:r>
    </w:p>
    <w:tbl>
      <w:tblPr>
        <w:tblStyle w:val="12"/>
        <w:tblW w:w="0" w:type="auto"/>
        <w:tblInd w:w="1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725"/>
        <w:gridCol w:w="2824"/>
        <w:gridCol w:w="1864"/>
      </w:tblGrid>
      <w:tr w14:paraId="2E122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2" w:type="dxa"/>
            <w:tcBorders>
              <w:top w:val="single" w:color="auto" w:sz="12" w:space="0"/>
            </w:tcBorders>
            <w:vAlign w:val="center"/>
          </w:tcPr>
          <w:p w14:paraId="116A4070">
            <w:pPr>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2725" w:type="dxa"/>
            <w:tcBorders>
              <w:top w:val="single" w:color="auto" w:sz="12" w:space="0"/>
            </w:tcBorders>
            <w:vAlign w:val="center"/>
          </w:tcPr>
          <w:p w14:paraId="29E1C6A1">
            <w:pPr>
              <w:spacing w:line="360" w:lineRule="auto"/>
              <w:jc w:val="center"/>
              <w:rPr>
                <w:rFonts w:ascii="宋体" w:hAnsi="宋体" w:cs="宋体"/>
                <w:b/>
                <w:szCs w:val="21"/>
                <w:highlight w:val="none"/>
              </w:rPr>
            </w:pPr>
            <w:r>
              <w:rPr>
                <w:rFonts w:hint="eastAsia" w:ascii="宋体" w:hAnsi="宋体" w:cs="宋体"/>
                <w:b/>
                <w:szCs w:val="21"/>
                <w:highlight w:val="none"/>
              </w:rPr>
              <w:t>招标文件服务要求</w:t>
            </w:r>
          </w:p>
        </w:tc>
        <w:tc>
          <w:tcPr>
            <w:tcW w:w="2824" w:type="dxa"/>
            <w:tcBorders>
              <w:top w:val="single" w:color="auto" w:sz="12" w:space="0"/>
            </w:tcBorders>
            <w:vAlign w:val="center"/>
          </w:tcPr>
          <w:p w14:paraId="4EEE978C">
            <w:pPr>
              <w:spacing w:line="360" w:lineRule="auto"/>
              <w:jc w:val="center"/>
              <w:rPr>
                <w:rFonts w:ascii="宋体" w:hAnsi="宋体" w:cs="宋体"/>
                <w:b/>
                <w:szCs w:val="21"/>
                <w:highlight w:val="none"/>
              </w:rPr>
            </w:pPr>
            <w:r>
              <w:rPr>
                <w:rFonts w:hint="eastAsia" w:ascii="宋体" w:hAnsi="宋体" w:cs="宋体"/>
                <w:b/>
                <w:szCs w:val="21"/>
                <w:highlight w:val="none"/>
              </w:rPr>
              <w:t>投标文件服务响应</w:t>
            </w:r>
          </w:p>
        </w:tc>
        <w:tc>
          <w:tcPr>
            <w:tcW w:w="1864" w:type="dxa"/>
            <w:tcBorders>
              <w:top w:val="single" w:color="auto" w:sz="12" w:space="0"/>
            </w:tcBorders>
            <w:vAlign w:val="center"/>
          </w:tcPr>
          <w:p w14:paraId="541C6453">
            <w:pPr>
              <w:spacing w:line="360" w:lineRule="auto"/>
              <w:jc w:val="center"/>
              <w:rPr>
                <w:rFonts w:ascii="宋体" w:hAnsi="宋体" w:cs="宋体"/>
                <w:b/>
                <w:szCs w:val="21"/>
                <w:highlight w:val="none"/>
              </w:rPr>
            </w:pPr>
            <w:r>
              <w:rPr>
                <w:rFonts w:hint="eastAsia" w:ascii="宋体" w:hAnsi="宋体" w:cs="宋体"/>
                <w:b/>
                <w:szCs w:val="21"/>
                <w:highlight w:val="none"/>
              </w:rPr>
              <w:t>偏差说明</w:t>
            </w:r>
          </w:p>
        </w:tc>
      </w:tr>
      <w:tr w14:paraId="492A6F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Align w:val="center"/>
          </w:tcPr>
          <w:p w14:paraId="12599D69">
            <w:pPr>
              <w:spacing w:line="360" w:lineRule="auto"/>
              <w:jc w:val="center"/>
              <w:rPr>
                <w:rFonts w:ascii="宋体" w:hAnsi="宋体" w:cs="宋体"/>
                <w:bCs/>
                <w:szCs w:val="21"/>
                <w:highlight w:val="none"/>
              </w:rPr>
            </w:pPr>
            <w:r>
              <w:rPr>
                <w:rFonts w:hint="eastAsia" w:ascii="宋体" w:hAnsi="宋体" w:cs="宋体"/>
                <w:bCs/>
                <w:szCs w:val="21"/>
                <w:highlight w:val="none"/>
              </w:rPr>
              <w:t>1</w:t>
            </w:r>
          </w:p>
        </w:tc>
        <w:tc>
          <w:tcPr>
            <w:tcW w:w="2725" w:type="dxa"/>
          </w:tcPr>
          <w:p w14:paraId="6F2C2E64">
            <w:pPr>
              <w:spacing w:line="440" w:lineRule="exact"/>
              <w:rPr>
                <w:rFonts w:ascii="宋体" w:hAnsi="宋体" w:cs="宋体"/>
                <w:b/>
                <w:sz w:val="32"/>
                <w:highlight w:val="none"/>
              </w:rPr>
            </w:pPr>
          </w:p>
        </w:tc>
        <w:tc>
          <w:tcPr>
            <w:tcW w:w="2824" w:type="dxa"/>
          </w:tcPr>
          <w:p w14:paraId="5AFD989E">
            <w:pPr>
              <w:spacing w:line="440" w:lineRule="exact"/>
              <w:rPr>
                <w:rFonts w:ascii="宋体" w:hAnsi="宋体" w:cs="宋体"/>
                <w:b/>
                <w:sz w:val="32"/>
                <w:highlight w:val="none"/>
              </w:rPr>
            </w:pPr>
          </w:p>
        </w:tc>
        <w:tc>
          <w:tcPr>
            <w:tcW w:w="1864" w:type="dxa"/>
          </w:tcPr>
          <w:p w14:paraId="74BA42B4">
            <w:pPr>
              <w:spacing w:line="440" w:lineRule="exact"/>
              <w:rPr>
                <w:rFonts w:ascii="宋体" w:hAnsi="宋体" w:cs="宋体"/>
                <w:b/>
                <w:sz w:val="32"/>
                <w:highlight w:val="none"/>
              </w:rPr>
            </w:pPr>
          </w:p>
        </w:tc>
      </w:tr>
      <w:tr w14:paraId="6D3EEB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Align w:val="center"/>
          </w:tcPr>
          <w:p w14:paraId="2D8220B2">
            <w:pPr>
              <w:spacing w:line="360" w:lineRule="auto"/>
              <w:jc w:val="center"/>
              <w:rPr>
                <w:rFonts w:ascii="宋体" w:hAnsi="宋体" w:cs="宋体"/>
                <w:bCs/>
                <w:szCs w:val="21"/>
                <w:highlight w:val="none"/>
              </w:rPr>
            </w:pPr>
            <w:r>
              <w:rPr>
                <w:rFonts w:hint="eastAsia" w:ascii="宋体" w:hAnsi="宋体" w:cs="宋体"/>
                <w:bCs/>
                <w:szCs w:val="21"/>
                <w:highlight w:val="none"/>
              </w:rPr>
              <w:t>2</w:t>
            </w:r>
          </w:p>
        </w:tc>
        <w:tc>
          <w:tcPr>
            <w:tcW w:w="2725" w:type="dxa"/>
          </w:tcPr>
          <w:p w14:paraId="3BA126C3">
            <w:pPr>
              <w:spacing w:line="440" w:lineRule="exact"/>
              <w:rPr>
                <w:rFonts w:ascii="宋体" w:hAnsi="宋体" w:cs="宋体"/>
                <w:b/>
                <w:sz w:val="32"/>
                <w:highlight w:val="none"/>
              </w:rPr>
            </w:pPr>
          </w:p>
        </w:tc>
        <w:tc>
          <w:tcPr>
            <w:tcW w:w="2824" w:type="dxa"/>
          </w:tcPr>
          <w:p w14:paraId="441A20C9">
            <w:pPr>
              <w:spacing w:line="440" w:lineRule="exact"/>
              <w:rPr>
                <w:rFonts w:ascii="宋体" w:hAnsi="宋体" w:cs="宋体"/>
                <w:b/>
                <w:sz w:val="32"/>
                <w:highlight w:val="none"/>
              </w:rPr>
            </w:pPr>
          </w:p>
        </w:tc>
        <w:tc>
          <w:tcPr>
            <w:tcW w:w="1864" w:type="dxa"/>
          </w:tcPr>
          <w:p w14:paraId="2B72F9DB">
            <w:pPr>
              <w:spacing w:line="440" w:lineRule="exact"/>
              <w:rPr>
                <w:rFonts w:ascii="宋体" w:hAnsi="宋体" w:cs="宋体"/>
                <w:b/>
                <w:sz w:val="32"/>
                <w:highlight w:val="none"/>
              </w:rPr>
            </w:pPr>
          </w:p>
        </w:tc>
      </w:tr>
      <w:tr w14:paraId="7FB9C5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Align w:val="center"/>
          </w:tcPr>
          <w:p w14:paraId="110FE31D">
            <w:pPr>
              <w:spacing w:line="360" w:lineRule="auto"/>
              <w:jc w:val="center"/>
              <w:rPr>
                <w:rFonts w:ascii="宋体" w:hAnsi="宋体" w:cs="宋体"/>
                <w:bCs/>
                <w:szCs w:val="21"/>
                <w:highlight w:val="none"/>
              </w:rPr>
            </w:pPr>
            <w:r>
              <w:rPr>
                <w:rFonts w:hint="eastAsia" w:ascii="宋体" w:hAnsi="宋体" w:cs="宋体"/>
                <w:bCs/>
                <w:szCs w:val="21"/>
                <w:highlight w:val="none"/>
              </w:rPr>
              <w:t>3</w:t>
            </w:r>
          </w:p>
        </w:tc>
        <w:tc>
          <w:tcPr>
            <w:tcW w:w="2725" w:type="dxa"/>
          </w:tcPr>
          <w:p w14:paraId="6D6A8F12">
            <w:pPr>
              <w:spacing w:line="440" w:lineRule="exact"/>
              <w:rPr>
                <w:rFonts w:ascii="宋体" w:hAnsi="宋体" w:cs="宋体"/>
                <w:b/>
                <w:sz w:val="32"/>
                <w:highlight w:val="none"/>
              </w:rPr>
            </w:pPr>
          </w:p>
        </w:tc>
        <w:tc>
          <w:tcPr>
            <w:tcW w:w="2824" w:type="dxa"/>
          </w:tcPr>
          <w:p w14:paraId="6BC9139D">
            <w:pPr>
              <w:spacing w:line="440" w:lineRule="exact"/>
              <w:rPr>
                <w:rFonts w:ascii="宋体" w:hAnsi="宋体" w:cs="宋体"/>
                <w:b/>
                <w:sz w:val="32"/>
                <w:highlight w:val="none"/>
              </w:rPr>
            </w:pPr>
          </w:p>
        </w:tc>
        <w:tc>
          <w:tcPr>
            <w:tcW w:w="1864" w:type="dxa"/>
          </w:tcPr>
          <w:p w14:paraId="681E728B">
            <w:pPr>
              <w:spacing w:line="440" w:lineRule="exact"/>
              <w:rPr>
                <w:rFonts w:ascii="宋体" w:hAnsi="宋体" w:cs="宋体"/>
                <w:b/>
                <w:sz w:val="32"/>
                <w:highlight w:val="none"/>
              </w:rPr>
            </w:pPr>
          </w:p>
        </w:tc>
      </w:tr>
      <w:tr w14:paraId="55FDC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Align w:val="center"/>
          </w:tcPr>
          <w:p w14:paraId="19D8497A">
            <w:pPr>
              <w:spacing w:line="360" w:lineRule="auto"/>
              <w:jc w:val="center"/>
              <w:rPr>
                <w:rFonts w:ascii="宋体" w:hAnsi="宋体" w:cs="宋体"/>
                <w:bCs/>
                <w:szCs w:val="21"/>
                <w:highlight w:val="none"/>
              </w:rPr>
            </w:pPr>
            <w:r>
              <w:rPr>
                <w:rFonts w:hint="eastAsia" w:ascii="宋体" w:hAnsi="宋体" w:cs="宋体"/>
                <w:bCs/>
                <w:szCs w:val="21"/>
                <w:highlight w:val="none"/>
              </w:rPr>
              <w:t>4</w:t>
            </w:r>
          </w:p>
        </w:tc>
        <w:tc>
          <w:tcPr>
            <w:tcW w:w="2725" w:type="dxa"/>
          </w:tcPr>
          <w:p w14:paraId="183DFE5F">
            <w:pPr>
              <w:spacing w:line="440" w:lineRule="exact"/>
              <w:rPr>
                <w:rFonts w:ascii="宋体" w:hAnsi="宋体" w:cs="宋体"/>
                <w:b/>
                <w:sz w:val="32"/>
                <w:highlight w:val="none"/>
              </w:rPr>
            </w:pPr>
          </w:p>
        </w:tc>
        <w:tc>
          <w:tcPr>
            <w:tcW w:w="2824" w:type="dxa"/>
          </w:tcPr>
          <w:p w14:paraId="311E4760">
            <w:pPr>
              <w:spacing w:line="440" w:lineRule="exact"/>
              <w:rPr>
                <w:rFonts w:ascii="宋体" w:hAnsi="宋体" w:cs="宋体"/>
                <w:b/>
                <w:sz w:val="32"/>
                <w:highlight w:val="none"/>
              </w:rPr>
            </w:pPr>
          </w:p>
        </w:tc>
        <w:tc>
          <w:tcPr>
            <w:tcW w:w="1864" w:type="dxa"/>
          </w:tcPr>
          <w:p w14:paraId="0FE9391D">
            <w:pPr>
              <w:spacing w:line="440" w:lineRule="exact"/>
              <w:rPr>
                <w:rFonts w:ascii="宋体" w:hAnsi="宋体" w:cs="宋体"/>
                <w:b/>
                <w:sz w:val="32"/>
                <w:highlight w:val="none"/>
              </w:rPr>
            </w:pPr>
          </w:p>
        </w:tc>
      </w:tr>
      <w:tr w14:paraId="4F9FCD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Align w:val="center"/>
          </w:tcPr>
          <w:p w14:paraId="10132B68">
            <w:pPr>
              <w:spacing w:line="360" w:lineRule="auto"/>
              <w:jc w:val="center"/>
              <w:rPr>
                <w:rFonts w:ascii="宋体" w:hAnsi="宋体" w:cs="宋体"/>
                <w:bCs/>
                <w:szCs w:val="21"/>
                <w:highlight w:val="none"/>
              </w:rPr>
            </w:pPr>
            <w:r>
              <w:rPr>
                <w:rFonts w:hint="eastAsia" w:ascii="宋体" w:hAnsi="宋体" w:cs="宋体"/>
                <w:bCs/>
                <w:szCs w:val="21"/>
                <w:highlight w:val="none"/>
              </w:rPr>
              <w:t>5</w:t>
            </w:r>
          </w:p>
        </w:tc>
        <w:tc>
          <w:tcPr>
            <w:tcW w:w="2725" w:type="dxa"/>
          </w:tcPr>
          <w:p w14:paraId="0FAFEA2E">
            <w:pPr>
              <w:spacing w:line="440" w:lineRule="exact"/>
              <w:rPr>
                <w:rFonts w:ascii="宋体" w:hAnsi="宋体" w:cs="宋体"/>
                <w:b/>
                <w:sz w:val="32"/>
                <w:highlight w:val="none"/>
              </w:rPr>
            </w:pPr>
          </w:p>
        </w:tc>
        <w:tc>
          <w:tcPr>
            <w:tcW w:w="2824" w:type="dxa"/>
          </w:tcPr>
          <w:p w14:paraId="4985F751">
            <w:pPr>
              <w:spacing w:line="440" w:lineRule="exact"/>
              <w:rPr>
                <w:rFonts w:ascii="宋体" w:hAnsi="宋体" w:cs="宋体"/>
                <w:b/>
                <w:sz w:val="32"/>
                <w:highlight w:val="none"/>
              </w:rPr>
            </w:pPr>
          </w:p>
        </w:tc>
        <w:tc>
          <w:tcPr>
            <w:tcW w:w="1864" w:type="dxa"/>
          </w:tcPr>
          <w:p w14:paraId="53E47D91">
            <w:pPr>
              <w:spacing w:line="440" w:lineRule="exact"/>
              <w:rPr>
                <w:rFonts w:ascii="宋体" w:hAnsi="宋体" w:cs="宋体"/>
                <w:b/>
                <w:sz w:val="32"/>
                <w:highlight w:val="none"/>
              </w:rPr>
            </w:pPr>
          </w:p>
        </w:tc>
      </w:tr>
      <w:tr w14:paraId="0F3F50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bottom w:val="single" w:color="auto" w:sz="12" w:space="0"/>
            </w:tcBorders>
            <w:vAlign w:val="center"/>
          </w:tcPr>
          <w:p w14:paraId="02A619F8">
            <w:pPr>
              <w:spacing w:line="360" w:lineRule="auto"/>
              <w:jc w:val="center"/>
              <w:rPr>
                <w:rFonts w:ascii="宋体" w:hAnsi="宋体" w:cs="宋体"/>
                <w:bCs/>
                <w:szCs w:val="21"/>
                <w:highlight w:val="none"/>
              </w:rPr>
            </w:pPr>
            <w:r>
              <w:rPr>
                <w:rFonts w:hint="eastAsia" w:ascii="宋体" w:hAnsi="宋体" w:cs="宋体"/>
                <w:bCs/>
                <w:szCs w:val="21"/>
                <w:highlight w:val="none"/>
              </w:rPr>
              <w:t>...</w:t>
            </w:r>
          </w:p>
        </w:tc>
        <w:tc>
          <w:tcPr>
            <w:tcW w:w="2725" w:type="dxa"/>
            <w:tcBorders>
              <w:bottom w:val="single" w:color="auto" w:sz="12" w:space="0"/>
            </w:tcBorders>
          </w:tcPr>
          <w:p w14:paraId="1E2D8F69">
            <w:pPr>
              <w:spacing w:line="440" w:lineRule="exact"/>
              <w:rPr>
                <w:rFonts w:ascii="宋体" w:hAnsi="宋体" w:cs="宋体"/>
                <w:b/>
                <w:sz w:val="32"/>
                <w:highlight w:val="none"/>
              </w:rPr>
            </w:pPr>
          </w:p>
        </w:tc>
        <w:tc>
          <w:tcPr>
            <w:tcW w:w="2824" w:type="dxa"/>
            <w:tcBorders>
              <w:bottom w:val="single" w:color="auto" w:sz="12" w:space="0"/>
            </w:tcBorders>
          </w:tcPr>
          <w:p w14:paraId="5133319F">
            <w:pPr>
              <w:spacing w:line="440" w:lineRule="exact"/>
              <w:rPr>
                <w:rFonts w:ascii="宋体" w:hAnsi="宋体" w:cs="宋体"/>
                <w:b/>
                <w:sz w:val="32"/>
                <w:highlight w:val="none"/>
              </w:rPr>
            </w:pPr>
          </w:p>
        </w:tc>
        <w:tc>
          <w:tcPr>
            <w:tcW w:w="1864" w:type="dxa"/>
            <w:tcBorders>
              <w:bottom w:val="single" w:color="auto" w:sz="12" w:space="0"/>
            </w:tcBorders>
          </w:tcPr>
          <w:p w14:paraId="6224D769">
            <w:pPr>
              <w:spacing w:line="440" w:lineRule="exact"/>
              <w:rPr>
                <w:rFonts w:ascii="宋体" w:hAnsi="宋体" w:cs="宋体"/>
                <w:b/>
                <w:sz w:val="32"/>
                <w:highlight w:val="none"/>
              </w:rPr>
            </w:pPr>
          </w:p>
        </w:tc>
      </w:tr>
    </w:tbl>
    <w:p w14:paraId="3EF1A5A5">
      <w:pPr>
        <w:snapToGrid w:val="0"/>
        <w:spacing w:line="500" w:lineRule="exact"/>
        <w:outlineLvl w:val="0"/>
        <w:rPr>
          <w:rFonts w:ascii="宋体" w:hAnsi="宋体" w:cs="宋体"/>
          <w:b/>
          <w:bCs/>
          <w:highlight w:val="none"/>
        </w:rPr>
      </w:pPr>
      <w:r>
        <w:rPr>
          <w:rFonts w:hint="eastAsia" w:ascii="宋体" w:hAnsi="宋体" w:cs="宋体"/>
          <w:b/>
          <w:bCs/>
          <w:highlight w:val="none"/>
        </w:rPr>
        <w:t>供应商保证：除服务要求偏离表列出的偏差外，供应商响应招标文件的全部服务要求</w:t>
      </w:r>
      <w:bookmarkEnd w:id="94"/>
      <w:bookmarkEnd w:id="95"/>
      <w:r>
        <w:rPr>
          <w:rFonts w:hint="eastAsia" w:ascii="宋体" w:hAnsi="宋体" w:cs="宋体"/>
          <w:b/>
          <w:bCs/>
          <w:highlight w:val="none"/>
        </w:rPr>
        <w:t>。</w:t>
      </w:r>
    </w:p>
    <w:p w14:paraId="4A7B1440">
      <w:pPr>
        <w:pStyle w:val="11"/>
        <w:widowControl w:val="0"/>
        <w:spacing w:before="0" w:beforeAutospacing="0" w:after="0" w:afterAutospacing="0" w:line="360" w:lineRule="auto"/>
        <w:rPr>
          <w:rFonts w:ascii="仿宋" w:hAnsi="仿宋" w:eastAsia="仿宋" w:cs="仿宋"/>
          <w:color w:val="000000"/>
          <w:sz w:val="22"/>
          <w:szCs w:val="22"/>
          <w:highlight w:val="none"/>
        </w:rPr>
      </w:pPr>
    </w:p>
    <w:p w14:paraId="44FB3159">
      <w:pPr>
        <w:pStyle w:val="11"/>
        <w:widowControl w:val="0"/>
        <w:spacing w:before="0" w:beforeAutospacing="0" w:after="0" w:afterAutospacing="0" w:line="360" w:lineRule="auto"/>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说明：</w:t>
      </w:r>
    </w:p>
    <w:p w14:paraId="47ABF780">
      <w:pPr>
        <w:pStyle w:val="11"/>
        <w:widowControl w:val="0"/>
        <w:spacing w:before="0" w:beforeAutospacing="0" w:after="0" w:afterAutospacing="0" w:line="360" w:lineRule="auto"/>
        <w:ind w:firstLine="440" w:firstLineChars="200"/>
        <w:jc w:val="both"/>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1.本表只填写投标文件中与招标文件有偏离（包括正偏离和负偏离）的内容，投标文件中商务响应与招标文件要求完全一致的，不用在此表中列出，但必须提交空白表。</w:t>
      </w:r>
    </w:p>
    <w:p w14:paraId="1F1E71CF">
      <w:pPr>
        <w:pStyle w:val="11"/>
        <w:widowControl w:val="0"/>
        <w:spacing w:before="0" w:beforeAutospacing="0" w:after="0" w:afterAutospacing="0" w:line="360" w:lineRule="auto"/>
        <w:ind w:firstLine="440" w:firstLineChars="200"/>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2.供应商必须据实填写，不得虚假响应，否则按无效投标处理，并按有关规定进行处罚。</w:t>
      </w:r>
    </w:p>
    <w:p w14:paraId="1AFF0459">
      <w:pPr>
        <w:spacing w:line="360" w:lineRule="auto"/>
        <w:ind w:right="540" w:rightChars="257" w:firstLine="2100" w:firstLineChars="1000"/>
        <w:jc w:val="left"/>
        <w:rPr>
          <w:rFonts w:ascii="仿宋" w:hAnsi="仿宋" w:eastAsia="仿宋" w:cs="仿宋"/>
          <w:color w:val="000000"/>
          <w:highlight w:val="none"/>
          <w:u w:val="single"/>
        </w:rPr>
      </w:pPr>
      <w:r>
        <w:rPr>
          <w:rFonts w:hint="eastAsia" w:ascii="仿宋" w:hAnsi="仿宋" w:eastAsia="仿宋" w:cs="仿宋"/>
          <w:color w:val="000000"/>
          <w:highlight w:val="none"/>
        </w:rPr>
        <w:t>供应商名称：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（加盖单位公章）</w:t>
      </w:r>
    </w:p>
    <w:p w14:paraId="322F518D">
      <w:pPr>
        <w:outlineLvl w:val="0"/>
        <w:rPr>
          <w:rFonts w:ascii="宋体" w:hAnsi="宋体" w:cs="宋体"/>
          <w:b/>
          <w:sz w:val="36"/>
          <w:szCs w:val="36"/>
          <w:highlight w:val="none"/>
        </w:rPr>
      </w:pPr>
      <w:r>
        <w:rPr>
          <w:rFonts w:hint="eastAsia" w:ascii="宋体" w:hAnsi="宋体" w:cs="宋体"/>
          <w:b/>
          <w:sz w:val="36"/>
          <w:szCs w:val="36"/>
          <w:highlight w:val="none"/>
        </w:rPr>
        <w:br w:type="page"/>
      </w:r>
      <w:bookmarkStart w:id="96" w:name="_Toc25750"/>
      <w:bookmarkStart w:id="97" w:name="_Toc28752"/>
      <w:bookmarkStart w:id="98" w:name="_Toc21624"/>
      <w:bookmarkStart w:id="99" w:name="_Toc4597"/>
      <w:bookmarkStart w:id="100" w:name="_Toc21614"/>
      <w:r>
        <w:rPr>
          <w:rFonts w:hint="eastAsia" w:ascii="宋体" w:hAnsi="宋体" w:cs="宋体"/>
          <w:b/>
          <w:bCs/>
          <w:sz w:val="24"/>
          <w:szCs w:val="24"/>
          <w:highlight w:val="none"/>
        </w:rPr>
        <w:t>附件：格式</w:t>
      </w:r>
      <w:bookmarkEnd w:id="96"/>
      <w:bookmarkEnd w:id="97"/>
      <w:bookmarkEnd w:id="98"/>
      <w:bookmarkEnd w:id="99"/>
      <w:bookmarkEnd w:id="100"/>
    </w:p>
    <w:p w14:paraId="0E67F8D1">
      <w:pPr>
        <w:spacing w:before="312" w:beforeLines="100" w:after="312" w:afterLines="100" w:line="360" w:lineRule="auto"/>
        <w:jc w:val="center"/>
        <w:outlineLvl w:val="0"/>
        <w:rPr>
          <w:rFonts w:ascii="宋体" w:hAnsi="宋体" w:cs="宋体"/>
          <w:b/>
          <w:sz w:val="32"/>
          <w:szCs w:val="32"/>
          <w:highlight w:val="none"/>
        </w:rPr>
      </w:pPr>
      <w:bookmarkStart w:id="101" w:name="_Toc30475"/>
      <w:bookmarkStart w:id="102" w:name="_Toc1534"/>
      <w:bookmarkStart w:id="103" w:name="_Toc31174"/>
      <w:bookmarkStart w:id="104" w:name="_Toc18349"/>
      <w:bookmarkStart w:id="105" w:name="_Toc6704"/>
      <w:bookmarkStart w:id="106" w:name="_Toc30059"/>
      <w:bookmarkStart w:id="107" w:name="_Toc4154"/>
      <w:r>
        <w:rPr>
          <w:rFonts w:hint="eastAsia" w:ascii="宋体" w:hAnsi="宋体" w:cs="宋体"/>
          <w:b/>
          <w:sz w:val="32"/>
          <w:szCs w:val="32"/>
          <w:highlight w:val="none"/>
        </w:rPr>
        <w:t>拟投入本包人员清单</w:t>
      </w:r>
      <w:bookmarkEnd w:id="101"/>
      <w:bookmarkEnd w:id="102"/>
      <w:bookmarkEnd w:id="103"/>
      <w:bookmarkEnd w:id="104"/>
      <w:bookmarkEnd w:id="105"/>
      <w:bookmarkEnd w:id="106"/>
      <w:bookmarkEnd w:id="107"/>
    </w:p>
    <w:tbl>
      <w:tblPr>
        <w:tblStyle w:val="12"/>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1446"/>
        <w:gridCol w:w="1528"/>
        <w:gridCol w:w="1635"/>
        <w:gridCol w:w="3023"/>
      </w:tblGrid>
      <w:tr w14:paraId="2521C7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87" w:type="dxa"/>
            <w:tcBorders>
              <w:right w:val="single" w:color="000000" w:sz="4" w:space="0"/>
            </w:tcBorders>
            <w:vAlign w:val="center"/>
          </w:tcPr>
          <w:p w14:paraId="011E721D">
            <w:pPr>
              <w:jc w:val="center"/>
              <w:rPr>
                <w:rFonts w:ascii="宋体" w:hAnsi="宋体" w:cs="宋体"/>
                <w:b/>
                <w:bCs/>
                <w:szCs w:val="21"/>
                <w:highlight w:val="none"/>
              </w:rPr>
            </w:pPr>
            <w:r>
              <w:rPr>
                <w:rFonts w:hint="eastAsia" w:ascii="宋体" w:hAnsi="宋体" w:cs="宋体"/>
                <w:b/>
                <w:bCs/>
                <w:szCs w:val="21"/>
                <w:highlight w:val="none"/>
              </w:rPr>
              <w:t>序号</w:t>
            </w:r>
          </w:p>
        </w:tc>
        <w:tc>
          <w:tcPr>
            <w:tcW w:w="1446" w:type="dxa"/>
            <w:tcBorders>
              <w:left w:val="single" w:color="000000" w:sz="4" w:space="0"/>
            </w:tcBorders>
            <w:vAlign w:val="center"/>
          </w:tcPr>
          <w:p w14:paraId="78E32DBE">
            <w:pPr>
              <w:jc w:val="center"/>
              <w:rPr>
                <w:rFonts w:ascii="宋体" w:hAnsi="宋体" w:cs="宋体"/>
                <w:b/>
                <w:bCs/>
                <w:szCs w:val="21"/>
                <w:highlight w:val="none"/>
              </w:rPr>
            </w:pPr>
            <w:r>
              <w:rPr>
                <w:rFonts w:hint="eastAsia" w:ascii="宋体" w:hAnsi="宋体" w:cs="宋体"/>
                <w:b/>
                <w:bCs/>
                <w:szCs w:val="21"/>
                <w:highlight w:val="none"/>
              </w:rPr>
              <w:t>姓名</w:t>
            </w:r>
          </w:p>
        </w:tc>
        <w:tc>
          <w:tcPr>
            <w:tcW w:w="1528" w:type="dxa"/>
            <w:vAlign w:val="center"/>
          </w:tcPr>
          <w:p w14:paraId="524EA9F5">
            <w:pPr>
              <w:jc w:val="center"/>
              <w:rPr>
                <w:rFonts w:ascii="宋体" w:hAnsi="宋体" w:cs="宋体"/>
                <w:b/>
                <w:bCs/>
                <w:szCs w:val="21"/>
                <w:highlight w:val="none"/>
              </w:rPr>
            </w:pPr>
            <w:r>
              <w:rPr>
                <w:rFonts w:hint="eastAsia" w:ascii="宋体" w:hAnsi="宋体" w:cs="宋体"/>
                <w:b/>
                <w:bCs/>
                <w:szCs w:val="21"/>
                <w:highlight w:val="none"/>
              </w:rPr>
              <w:t>年龄</w:t>
            </w:r>
          </w:p>
        </w:tc>
        <w:tc>
          <w:tcPr>
            <w:tcW w:w="1635" w:type="dxa"/>
            <w:vAlign w:val="center"/>
          </w:tcPr>
          <w:p w14:paraId="7B2DAA1F">
            <w:pPr>
              <w:jc w:val="center"/>
              <w:rPr>
                <w:rFonts w:ascii="宋体" w:hAnsi="宋体" w:cs="宋体"/>
                <w:b/>
                <w:bCs/>
                <w:szCs w:val="21"/>
                <w:highlight w:val="none"/>
              </w:rPr>
            </w:pPr>
            <w:r>
              <w:rPr>
                <w:rFonts w:hint="eastAsia" w:ascii="宋体" w:hAnsi="宋体" w:cs="宋体"/>
                <w:b/>
                <w:bCs/>
                <w:szCs w:val="21"/>
                <w:highlight w:val="none"/>
              </w:rPr>
              <w:t>驾龄</w:t>
            </w:r>
          </w:p>
        </w:tc>
        <w:tc>
          <w:tcPr>
            <w:tcW w:w="3023" w:type="dxa"/>
            <w:vAlign w:val="center"/>
          </w:tcPr>
          <w:p w14:paraId="6CA32B41">
            <w:pPr>
              <w:jc w:val="center"/>
              <w:rPr>
                <w:rFonts w:ascii="宋体" w:hAnsi="宋体" w:cs="宋体"/>
                <w:b/>
                <w:bCs/>
                <w:szCs w:val="21"/>
                <w:highlight w:val="none"/>
              </w:rPr>
            </w:pPr>
            <w:r>
              <w:rPr>
                <w:rFonts w:hint="eastAsia" w:ascii="宋体" w:hAnsi="宋体" w:cs="宋体"/>
                <w:b/>
                <w:bCs/>
                <w:szCs w:val="24"/>
                <w:highlight w:val="none"/>
              </w:rPr>
              <w:t>在本项目拟任职务</w:t>
            </w:r>
          </w:p>
        </w:tc>
      </w:tr>
      <w:tr w14:paraId="7BBD7B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7" w:type="dxa"/>
            <w:tcBorders>
              <w:right w:val="single" w:color="000000" w:sz="4" w:space="0"/>
            </w:tcBorders>
            <w:vAlign w:val="center"/>
          </w:tcPr>
          <w:p w14:paraId="641B2071">
            <w:pPr>
              <w:jc w:val="center"/>
              <w:rPr>
                <w:rFonts w:ascii="宋体" w:hAnsi="宋体" w:cs="宋体"/>
                <w:sz w:val="24"/>
                <w:highlight w:val="none"/>
              </w:rPr>
            </w:pPr>
          </w:p>
        </w:tc>
        <w:tc>
          <w:tcPr>
            <w:tcW w:w="1446" w:type="dxa"/>
            <w:tcBorders>
              <w:left w:val="single" w:color="000000" w:sz="4" w:space="0"/>
            </w:tcBorders>
            <w:vAlign w:val="center"/>
          </w:tcPr>
          <w:p w14:paraId="77FEF24E">
            <w:pPr>
              <w:jc w:val="center"/>
              <w:rPr>
                <w:rFonts w:ascii="宋体" w:hAnsi="宋体" w:cs="宋体"/>
                <w:sz w:val="24"/>
                <w:highlight w:val="none"/>
              </w:rPr>
            </w:pPr>
          </w:p>
        </w:tc>
        <w:tc>
          <w:tcPr>
            <w:tcW w:w="1528" w:type="dxa"/>
            <w:vAlign w:val="center"/>
          </w:tcPr>
          <w:p w14:paraId="79D43147">
            <w:pPr>
              <w:jc w:val="center"/>
              <w:rPr>
                <w:rFonts w:ascii="宋体" w:hAnsi="宋体" w:cs="宋体"/>
                <w:sz w:val="24"/>
                <w:highlight w:val="none"/>
              </w:rPr>
            </w:pPr>
          </w:p>
        </w:tc>
        <w:tc>
          <w:tcPr>
            <w:tcW w:w="1635" w:type="dxa"/>
            <w:vAlign w:val="center"/>
          </w:tcPr>
          <w:p w14:paraId="5A11D98D">
            <w:pPr>
              <w:jc w:val="center"/>
              <w:rPr>
                <w:rFonts w:ascii="宋体" w:hAnsi="宋体" w:cs="宋体"/>
                <w:sz w:val="24"/>
                <w:highlight w:val="none"/>
              </w:rPr>
            </w:pPr>
          </w:p>
        </w:tc>
        <w:tc>
          <w:tcPr>
            <w:tcW w:w="3023" w:type="dxa"/>
            <w:vAlign w:val="center"/>
          </w:tcPr>
          <w:p w14:paraId="014B002D">
            <w:pPr>
              <w:jc w:val="center"/>
              <w:rPr>
                <w:rFonts w:ascii="宋体" w:hAnsi="宋体" w:cs="宋体"/>
                <w:sz w:val="24"/>
                <w:highlight w:val="none"/>
              </w:rPr>
            </w:pPr>
          </w:p>
        </w:tc>
      </w:tr>
      <w:tr w14:paraId="037248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7" w:type="dxa"/>
            <w:tcBorders>
              <w:right w:val="single" w:color="000000" w:sz="4" w:space="0"/>
            </w:tcBorders>
            <w:vAlign w:val="center"/>
          </w:tcPr>
          <w:p w14:paraId="74B3E5F3">
            <w:pPr>
              <w:jc w:val="center"/>
              <w:rPr>
                <w:rFonts w:ascii="宋体" w:hAnsi="宋体" w:cs="宋体"/>
                <w:sz w:val="24"/>
                <w:highlight w:val="none"/>
              </w:rPr>
            </w:pPr>
          </w:p>
        </w:tc>
        <w:tc>
          <w:tcPr>
            <w:tcW w:w="1446" w:type="dxa"/>
            <w:tcBorders>
              <w:left w:val="single" w:color="000000" w:sz="4" w:space="0"/>
            </w:tcBorders>
            <w:vAlign w:val="center"/>
          </w:tcPr>
          <w:p w14:paraId="4A817115">
            <w:pPr>
              <w:jc w:val="center"/>
              <w:rPr>
                <w:rFonts w:ascii="宋体" w:hAnsi="宋体" w:cs="宋体"/>
                <w:sz w:val="24"/>
                <w:highlight w:val="none"/>
              </w:rPr>
            </w:pPr>
          </w:p>
        </w:tc>
        <w:tc>
          <w:tcPr>
            <w:tcW w:w="1528" w:type="dxa"/>
            <w:vAlign w:val="center"/>
          </w:tcPr>
          <w:p w14:paraId="44474681">
            <w:pPr>
              <w:jc w:val="center"/>
              <w:rPr>
                <w:rFonts w:ascii="宋体" w:hAnsi="宋体" w:cs="宋体"/>
                <w:sz w:val="24"/>
                <w:highlight w:val="none"/>
              </w:rPr>
            </w:pPr>
          </w:p>
        </w:tc>
        <w:tc>
          <w:tcPr>
            <w:tcW w:w="1635" w:type="dxa"/>
            <w:vAlign w:val="center"/>
          </w:tcPr>
          <w:p w14:paraId="16FA58D4">
            <w:pPr>
              <w:jc w:val="center"/>
              <w:rPr>
                <w:rFonts w:ascii="宋体" w:hAnsi="宋体" w:cs="宋体"/>
                <w:sz w:val="24"/>
                <w:highlight w:val="none"/>
              </w:rPr>
            </w:pPr>
          </w:p>
        </w:tc>
        <w:tc>
          <w:tcPr>
            <w:tcW w:w="3023" w:type="dxa"/>
            <w:vAlign w:val="center"/>
          </w:tcPr>
          <w:p w14:paraId="4F9CD984">
            <w:pPr>
              <w:jc w:val="center"/>
              <w:rPr>
                <w:rFonts w:ascii="宋体" w:hAnsi="宋体" w:cs="宋体"/>
                <w:sz w:val="24"/>
                <w:highlight w:val="none"/>
              </w:rPr>
            </w:pPr>
          </w:p>
        </w:tc>
      </w:tr>
      <w:tr w14:paraId="13B990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7" w:type="dxa"/>
            <w:tcBorders>
              <w:right w:val="single" w:color="000000" w:sz="4" w:space="0"/>
            </w:tcBorders>
            <w:vAlign w:val="center"/>
          </w:tcPr>
          <w:p w14:paraId="326B124F">
            <w:pPr>
              <w:jc w:val="center"/>
              <w:rPr>
                <w:rFonts w:ascii="宋体" w:hAnsi="宋体" w:cs="宋体"/>
                <w:sz w:val="24"/>
                <w:highlight w:val="none"/>
              </w:rPr>
            </w:pPr>
          </w:p>
        </w:tc>
        <w:tc>
          <w:tcPr>
            <w:tcW w:w="1446" w:type="dxa"/>
            <w:tcBorders>
              <w:left w:val="single" w:color="000000" w:sz="4" w:space="0"/>
            </w:tcBorders>
            <w:vAlign w:val="center"/>
          </w:tcPr>
          <w:p w14:paraId="37013D95">
            <w:pPr>
              <w:jc w:val="center"/>
              <w:rPr>
                <w:rFonts w:ascii="宋体" w:hAnsi="宋体" w:cs="宋体"/>
                <w:sz w:val="24"/>
                <w:highlight w:val="none"/>
              </w:rPr>
            </w:pPr>
          </w:p>
        </w:tc>
        <w:tc>
          <w:tcPr>
            <w:tcW w:w="1528" w:type="dxa"/>
            <w:vAlign w:val="center"/>
          </w:tcPr>
          <w:p w14:paraId="4BA1E370">
            <w:pPr>
              <w:jc w:val="center"/>
              <w:rPr>
                <w:rFonts w:ascii="宋体" w:hAnsi="宋体" w:cs="宋体"/>
                <w:sz w:val="24"/>
                <w:highlight w:val="none"/>
              </w:rPr>
            </w:pPr>
          </w:p>
        </w:tc>
        <w:tc>
          <w:tcPr>
            <w:tcW w:w="1635" w:type="dxa"/>
            <w:vAlign w:val="center"/>
          </w:tcPr>
          <w:p w14:paraId="67D5E0D1">
            <w:pPr>
              <w:jc w:val="center"/>
              <w:rPr>
                <w:rFonts w:ascii="宋体" w:hAnsi="宋体" w:cs="宋体"/>
                <w:sz w:val="24"/>
                <w:highlight w:val="none"/>
              </w:rPr>
            </w:pPr>
          </w:p>
        </w:tc>
        <w:tc>
          <w:tcPr>
            <w:tcW w:w="3023" w:type="dxa"/>
            <w:vAlign w:val="center"/>
          </w:tcPr>
          <w:p w14:paraId="6491A547">
            <w:pPr>
              <w:jc w:val="center"/>
              <w:rPr>
                <w:rFonts w:ascii="宋体" w:hAnsi="宋体" w:cs="宋体"/>
                <w:sz w:val="24"/>
                <w:highlight w:val="none"/>
              </w:rPr>
            </w:pPr>
          </w:p>
        </w:tc>
      </w:tr>
      <w:tr w14:paraId="4CDBA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7" w:type="dxa"/>
            <w:tcBorders>
              <w:right w:val="single" w:color="000000" w:sz="4" w:space="0"/>
            </w:tcBorders>
            <w:vAlign w:val="center"/>
          </w:tcPr>
          <w:p w14:paraId="6218E4B0">
            <w:pPr>
              <w:jc w:val="center"/>
              <w:rPr>
                <w:rFonts w:ascii="宋体" w:hAnsi="宋体" w:cs="宋体"/>
                <w:sz w:val="24"/>
                <w:highlight w:val="none"/>
              </w:rPr>
            </w:pPr>
          </w:p>
        </w:tc>
        <w:tc>
          <w:tcPr>
            <w:tcW w:w="1446" w:type="dxa"/>
            <w:tcBorders>
              <w:left w:val="single" w:color="000000" w:sz="4" w:space="0"/>
            </w:tcBorders>
            <w:vAlign w:val="center"/>
          </w:tcPr>
          <w:p w14:paraId="0B4C934F">
            <w:pPr>
              <w:jc w:val="center"/>
              <w:rPr>
                <w:rFonts w:ascii="宋体" w:hAnsi="宋体" w:cs="宋体"/>
                <w:sz w:val="24"/>
                <w:highlight w:val="none"/>
              </w:rPr>
            </w:pPr>
          </w:p>
        </w:tc>
        <w:tc>
          <w:tcPr>
            <w:tcW w:w="1528" w:type="dxa"/>
            <w:vAlign w:val="center"/>
          </w:tcPr>
          <w:p w14:paraId="576617E6">
            <w:pPr>
              <w:jc w:val="center"/>
              <w:rPr>
                <w:rFonts w:ascii="宋体" w:hAnsi="宋体" w:cs="宋体"/>
                <w:sz w:val="24"/>
                <w:highlight w:val="none"/>
              </w:rPr>
            </w:pPr>
          </w:p>
        </w:tc>
        <w:tc>
          <w:tcPr>
            <w:tcW w:w="1635" w:type="dxa"/>
            <w:vAlign w:val="center"/>
          </w:tcPr>
          <w:p w14:paraId="2FEEE874">
            <w:pPr>
              <w:jc w:val="center"/>
              <w:rPr>
                <w:rFonts w:ascii="宋体" w:hAnsi="宋体" w:cs="宋体"/>
                <w:sz w:val="24"/>
                <w:highlight w:val="none"/>
              </w:rPr>
            </w:pPr>
          </w:p>
        </w:tc>
        <w:tc>
          <w:tcPr>
            <w:tcW w:w="3023" w:type="dxa"/>
            <w:vAlign w:val="center"/>
          </w:tcPr>
          <w:p w14:paraId="41518C9C">
            <w:pPr>
              <w:jc w:val="center"/>
              <w:rPr>
                <w:rFonts w:ascii="宋体" w:hAnsi="宋体" w:cs="宋体"/>
                <w:sz w:val="24"/>
                <w:highlight w:val="none"/>
              </w:rPr>
            </w:pPr>
          </w:p>
        </w:tc>
      </w:tr>
      <w:tr w14:paraId="6F231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7" w:type="dxa"/>
            <w:tcBorders>
              <w:right w:val="single" w:color="000000" w:sz="4" w:space="0"/>
            </w:tcBorders>
            <w:vAlign w:val="center"/>
          </w:tcPr>
          <w:p w14:paraId="5065507A">
            <w:pPr>
              <w:jc w:val="center"/>
              <w:rPr>
                <w:rFonts w:ascii="宋体" w:hAnsi="宋体" w:cs="宋体"/>
                <w:sz w:val="24"/>
                <w:highlight w:val="none"/>
              </w:rPr>
            </w:pPr>
          </w:p>
        </w:tc>
        <w:tc>
          <w:tcPr>
            <w:tcW w:w="1446" w:type="dxa"/>
            <w:tcBorders>
              <w:left w:val="single" w:color="000000" w:sz="4" w:space="0"/>
            </w:tcBorders>
            <w:vAlign w:val="center"/>
          </w:tcPr>
          <w:p w14:paraId="1C91E43B">
            <w:pPr>
              <w:jc w:val="center"/>
              <w:rPr>
                <w:rFonts w:ascii="宋体" w:hAnsi="宋体" w:cs="宋体"/>
                <w:sz w:val="24"/>
                <w:highlight w:val="none"/>
              </w:rPr>
            </w:pPr>
          </w:p>
        </w:tc>
        <w:tc>
          <w:tcPr>
            <w:tcW w:w="1528" w:type="dxa"/>
            <w:vAlign w:val="center"/>
          </w:tcPr>
          <w:p w14:paraId="434C41BD">
            <w:pPr>
              <w:jc w:val="center"/>
              <w:rPr>
                <w:rFonts w:ascii="宋体" w:hAnsi="宋体" w:cs="宋体"/>
                <w:sz w:val="24"/>
                <w:highlight w:val="none"/>
              </w:rPr>
            </w:pPr>
          </w:p>
        </w:tc>
        <w:tc>
          <w:tcPr>
            <w:tcW w:w="1635" w:type="dxa"/>
            <w:vAlign w:val="center"/>
          </w:tcPr>
          <w:p w14:paraId="1ABB2EF1">
            <w:pPr>
              <w:jc w:val="center"/>
              <w:rPr>
                <w:rFonts w:ascii="宋体" w:hAnsi="宋体" w:cs="宋体"/>
                <w:sz w:val="24"/>
                <w:highlight w:val="none"/>
              </w:rPr>
            </w:pPr>
          </w:p>
        </w:tc>
        <w:tc>
          <w:tcPr>
            <w:tcW w:w="3023" w:type="dxa"/>
            <w:vAlign w:val="center"/>
          </w:tcPr>
          <w:p w14:paraId="1A1DCDEB">
            <w:pPr>
              <w:jc w:val="center"/>
              <w:rPr>
                <w:rFonts w:ascii="宋体" w:hAnsi="宋体" w:cs="宋体"/>
                <w:sz w:val="24"/>
                <w:highlight w:val="none"/>
              </w:rPr>
            </w:pPr>
          </w:p>
        </w:tc>
      </w:tr>
      <w:tr w14:paraId="0F05C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7" w:type="dxa"/>
            <w:tcBorders>
              <w:bottom w:val="single" w:color="auto" w:sz="12" w:space="0"/>
              <w:right w:val="single" w:color="000000" w:sz="4" w:space="0"/>
            </w:tcBorders>
            <w:vAlign w:val="center"/>
          </w:tcPr>
          <w:p w14:paraId="1DE9A679">
            <w:pPr>
              <w:jc w:val="center"/>
              <w:rPr>
                <w:rFonts w:ascii="宋体" w:hAnsi="宋体" w:cs="宋体"/>
                <w:sz w:val="24"/>
                <w:highlight w:val="none"/>
              </w:rPr>
            </w:pPr>
            <w:r>
              <w:rPr>
                <w:rFonts w:hint="eastAsia" w:ascii="宋体" w:hAnsi="宋体" w:cs="宋体"/>
                <w:sz w:val="24"/>
                <w:highlight w:val="none"/>
              </w:rPr>
              <w:t>...</w:t>
            </w:r>
          </w:p>
        </w:tc>
        <w:tc>
          <w:tcPr>
            <w:tcW w:w="1446" w:type="dxa"/>
            <w:tcBorders>
              <w:left w:val="single" w:color="000000" w:sz="4" w:space="0"/>
              <w:bottom w:val="single" w:color="auto" w:sz="12" w:space="0"/>
            </w:tcBorders>
            <w:vAlign w:val="center"/>
          </w:tcPr>
          <w:p w14:paraId="1B2AB47F">
            <w:pPr>
              <w:jc w:val="center"/>
              <w:rPr>
                <w:rFonts w:ascii="宋体" w:hAnsi="宋体" w:cs="宋体"/>
                <w:sz w:val="24"/>
                <w:highlight w:val="none"/>
              </w:rPr>
            </w:pPr>
          </w:p>
        </w:tc>
        <w:tc>
          <w:tcPr>
            <w:tcW w:w="1528" w:type="dxa"/>
            <w:tcBorders>
              <w:bottom w:val="single" w:color="auto" w:sz="12" w:space="0"/>
            </w:tcBorders>
            <w:vAlign w:val="center"/>
          </w:tcPr>
          <w:p w14:paraId="2F7409EB">
            <w:pPr>
              <w:jc w:val="center"/>
              <w:rPr>
                <w:rFonts w:ascii="宋体" w:hAnsi="宋体" w:cs="宋体"/>
                <w:sz w:val="24"/>
                <w:highlight w:val="none"/>
              </w:rPr>
            </w:pPr>
          </w:p>
        </w:tc>
        <w:tc>
          <w:tcPr>
            <w:tcW w:w="1635" w:type="dxa"/>
            <w:tcBorders>
              <w:bottom w:val="single" w:color="auto" w:sz="12" w:space="0"/>
            </w:tcBorders>
            <w:vAlign w:val="center"/>
          </w:tcPr>
          <w:p w14:paraId="313D20D1">
            <w:pPr>
              <w:jc w:val="center"/>
              <w:rPr>
                <w:rFonts w:ascii="宋体" w:hAnsi="宋体" w:cs="宋体"/>
                <w:sz w:val="24"/>
                <w:highlight w:val="none"/>
              </w:rPr>
            </w:pPr>
          </w:p>
        </w:tc>
        <w:tc>
          <w:tcPr>
            <w:tcW w:w="3023" w:type="dxa"/>
            <w:tcBorders>
              <w:bottom w:val="single" w:color="auto" w:sz="12" w:space="0"/>
            </w:tcBorders>
            <w:vAlign w:val="center"/>
          </w:tcPr>
          <w:p w14:paraId="67949237">
            <w:pPr>
              <w:jc w:val="center"/>
              <w:rPr>
                <w:rFonts w:ascii="宋体" w:hAnsi="宋体" w:cs="宋体"/>
                <w:sz w:val="24"/>
                <w:highlight w:val="none"/>
              </w:rPr>
            </w:pPr>
          </w:p>
        </w:tc>
      </w:tr>
    </w:tbl>
    <w:p w14:paraId="7CEA00A5">
      <w:pPr>
        <w:spacing w:line="420" w:lineRule="exact"/>
        <w:rPr>
          <w:rFonts w:ascii="宋体" w:hAnsi="宋体" w:cs="宋体"/>
          <w:b/>
          <w:szCs w:val="21"/>
          <w:highlight w:val="none"/>
        </w:rPr>
      </w:pPr>
      <w:r>
        <w:rPr>
          <w:rFonts w:hint="eastAsia" w:ascii="宋体" w:hAnsi="宋体" w:cs="宋体"/>
          <w:b/>
          <w:szCs w:val="21"/>
          <w:highlight w:val="none"/>
        </w:rPr>
        <w:t>注：后附相关证明材料复印件。</w:t>
      </w:r>
    </w:p>
    <w:p w14:paraId="524D9FF2">
      <w:pPr>
        <w:outlineLvl w:val="0"/>
        <w:rPr>
          <w:rFonts w:ascii="宋体" w:hAnsi="宋体" w:cs="宋体"/>
          <w:b/>
          <w:bCs/>
          <w:sz w:val="24"/>
          <w:szCs w:val="24"/>
          <w:highlight w:val="none"/>
        </w:rPr>
        <w:sectPr>
          <w:footerReference r:id="rId5" w:type="default"/>
          <w:pgSz w:w="11906" w:h="16838"/>
          <w:pgMar w:top="1440" w:right="1800" w:bottom="1440" w:left="1800" w:header="851" w:footer="992" w:gutter="0"/>
          <w:pgNumType w:start="1"/>
          <w:cols w:space="720" w:num="1"/>
          <w:docGrid w:type="lines" w:linePitch="312" w:charSpace="0"/>
        </w:sectPr>
      </w:pPr>
    </w:p>
    <w:p w14:paraId="10E1B97B">
      <w:pPr>
        <w:outlineLvl w:val="0"/>
        <w:rPr>
          <w:rFonts w:ascii="宋体" w:hAnsi="宋体" w:cs="宋体"/>
          <w:b/>
          <w:sz w:val="36"/>
          <w:szCs w:val="36"/>
          <w:highlight w:val="none"/>
        </w:rPr>
      </w:pPr>
      <w:r>
        <w:rPr>
          <w:rFonts w:hint="eastAsia" w:ascii="宋体" w:hAnsi="宋体" w:cs="宋体"/>
          <w:b/>
          <w:bCs/>
          <w:sz w:val="24"/>
          <w:szCs w:val="24"/>
          <w:highlight w:val="none"/>
        </w:rPr>
        <w:t>附件：格式</w:t>
      </w:r>
    </w:p>
    <w:p w14:paraId="648D01B2">
      <w:pPr>
        <w:spacing w:before="312" w:beforeLines="100" w:after="312" w:afterLines="100" w:line="360" w:lineRule="auto"/>
        <w:jc w:val="center"/>
        <w:outlineLvl w:val="0"/>
        <w:rPr>
          <w:rFonts w:ascii="宋体" w:hAnsi="宋体" w:cs="宋体"/>
          <w:b/>
          <w:sz w:val="32"/>
          <w:szCs w:val="32"/>
          <w:highlight w:val="none"/>
        </w:rPr>
      </w:pPr>
      <w:r>
        <w:rPr>
          <w:rFonts w:hint="eastAsia" w:ascii="宋体" w:hAnsi="宋体" w:cs="宋体"/>
          <w:b/>
          <w:sz w:val="32"/>
          <w:szCs w:val="32"/>
          <w:highlight w:val="none"/>
        </w:rPr>
        <w:t>拟投入本包车辆清单</w:t>
      </w:r>
    </w:p>
    <w:tbl>
      <w:tblPr>
        <w:tblStyle w:val="12"/>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2098"/>
        <w:gridCol w:w="1648"/>
        <w:gridCol w:w="1710"/>
        <w:gridCol w:w="1798"/>
        <w:gridCol w:w="1401"/>
        <w:gridCol w:w="2260"/>
        <w:gridCol w:w="2204"/>
      </w:tblGrid>
      <w:tr w14:paraId="0E2E6E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9" w:type="dxa"/>
            <w:tcBorders>
              <w:right w:val="single" w:color="000000" w:sz="4" w:space="0"/>
            </w:tcBorders>
            <w:vAlign w:val="center"/>
          </w:tcPr>
          <w:p w14:paraId="6FFE338E">
            <w:pPr>
              <w:jc w:val="center"/>
              <w:rPr>
                <w:rFonts w:ascii="宋体" w:hAnsi="宋体" w:cs="宋体"/>
                <w:b/>
                <w:bCs/>
                <w:szCs w:val="21"/>
                <w:highlight w:val="none"/>
              </w:rPr>
            </w:pPr>
            <w:r>
              <w:rPr>
                <w:rFonts w:hint="eastAsia" w:ascii="宋体" w:hAnsi="宋体" w:cs="宋体"/>
                <w:b/>
                <w:bCs/>
                <w:szCs w:val="21"/>
                <w:highlight w:val="none"/>
              </w:rPr>
              <w:t>序号</w:t>
            </w:r>
          </w:p>
        </w:tc>
        <w:tc>
          <w:tcPr>
            <w:tcW w:w="2098" w:type="dxa"/>
            <w:tcBorders>
              <w:left w:val="single" w:color="000000" w:sz="4" w:space="0"/>
            </w:tcBorders>
            <w:vAlign w:val="center"/>
          </w:tcPr>
          <w:p w14:paraId="0EFD5109">
            <w:pPr>
              <w:jc w:val="center"/>
              <w:rPr>
                <w:rFonts w:ascii="宋体" w:hAnsi="宋体" w:cs="宋体"/>
                <w:b/>
                <w:bCs/>
                <w:szCs w:val="21"/>
                <w:highlight w:val="none"/>
              </w:rPr>
            </w:pPr>
            <w:r>
              <w:rPr>
                <w:rFonts w:hint="eastAsia" w:ascii="宋体" w:hAnsi="宋体" w:cs="宋体"/>
                <w:b/>
                <w:bCs/>
                <w:szCs w:val="21"/>
                <w:highlight w:val="none"/>
              </w:rPr>
              <w:t>车辆类型</w:t>
            </w:r>
          </w:p>
        </w:tc>
        <w:tc>
          <w:tcPr>
            <w:tcW w:w="1648" w:type="dxa"/>
            <w:vAlign w:val="center"/>
          </w:tcPr>
          <w:p w14:paraId="352BBC86">
            <w:pPr>
              <w:jc w:val="center"/>
              <w:rPr>
                <w:rFonts w:ascii="宋体" w:hAnsi="宋体" w:cs="宋体"/>
                <w:b/>
                <w:bCs/>
                <w:szCs w:val="21"/>
                <w:highlight w:val="none"/>
              </w:rPr>
            </w:pPr>
            <w:r>
              <w:rPr>
                <w:rFonts w:hint="eastAsia" w:ascii="宋体" w:hAnsi="宋体" w:cs="宋体"/>
                <w:b/>
                <w:bCs/>
                <w:szCs w:val="21"/>
                <w:highlight w:val="none"/>
              </w:rPr>
              <w:t>车牌号</w:t>
            </w:r>
          </w:p>
        </w:tc>
        <w:tc>
          <w:tcPr>
            <w:tcW w:w="1710" w:type="dxa"/>
            <w:vAlign w:val="center"/>
          </w:tcPr>
          <w:p w14:paraId="215BCE29">
            <w:pPr>
              <w:jc w:val="center"/>
              <w:rPr>
                <w:rFonts w:ascii="宋体" w:hAnsi="宋体" w:cs="宋体"/>
                <w:b/>
                <w:bCs/>
                <w:szCs w:val="21"/>
                <w:highlight w:val="none"/>
              </w:rPr>
            </w:pPr>
            <w:r>
              <w:rPr>
                <w:rFonts w:hint="eastAsia" w:ascii="宋体" w:hAnsi="宋体" w:cs="宋体"/>
                <w:b/>
                <w:bCs/>
                <w:szCs w:val="21"/>
                <w:highlight w:val="none"/>
              </w:rPr>
              <w:t>车辆户籍</w:t>
            </w:r>
          </w:p>
        </w:tc>
        <w:tc>
          <w:tcPr>
            <w:tcW w:w="1798" w:type="dxa"/>
            <w:vAlign w:val="center"/>
          </w:tcPr>
          <w:p w14:paraId="08CC8154">
            <w:pPr>
              <w:jc w:val="center"/>
              <w:rPr>
                <w:rFonts w:ascii="宋体" w:hAnsi="宋体" w:cs="宋体"/>
                <w:b/>
                <w:bCs/>
                <w:szCs w:val="21"/>
                <w:highlight w:val="none"/>
              </w:rPr>
            </w:pPr>
            <w:r>
              <w:rPr>
                <w:rFonts w:hint="eastAsia" w:ascii="宋体" w:hAnsi="宋体" w:cs="宋体"/>
                <w:b/>
                <w:bCs/>
                <w:highlight w:val="none"/>
              </w:rPr>
              <w:t>用途</w:t>
            </w:r>
          </w:p>
        </w:tc>
        <w:tc>
          <w:tcPr>
            <w:tcW w:w="1401" w:type="dxa"/>
            <w:vAlign w:val="center"/>
          </w:tcPr>
          <w:p w14:paraId="216D4972">
            <w:pPr>
              <w:jc w:val="center"/>
              <w:rPr>
                <w:rFonts w:ascii="宋体" w:hAnsi="宋体" w:cs="宋体"/>
                <w:b/>
                <w:szCs w:val="21"/>
                <w:highlight w:val="none"/>
              </w:rPr>
            </w:pPr>
            <w:r>
              <w:rPr>
                <w:rFonts w:hint="eastAsia" w:ascii="宋体" w:hAnsi="宋体" w:cs="宋体"/>
                <w:b/>
                <w:szCs w:val="21"/>
                <w:highlight w:val="none"/>
              </w:rPr>
              <w:t>交强险</w:t>
            </w:r>
          </w:p>
          <w:p w14:paraId="497947DC">
            <w:pPr>
              <w:jc w:val="center"/>
              <w:rPr>
                <w:rFonts w:ascii="宋体" w:hAnsi="宋体" w:cs="宋体"/>
                <w:b/>
                <w:bCs/>
                <w:highlight w:val="none"/>
              </w:rPr>
            </w:pPr>
            <w:r>
              <w:rPr>
                <w:rFonts w:hint="eastAsia" w:ascii="宋体" w:hAnsi="宋体" w:cs="宋体"/>
                <w:b/>
                <w:szCs w:val="21"/>
                <w:highlight w:val="none"/>
              </w:rPr>
              <w:t>（有/无）</w:t>
            </w:r>
          </w:p>
        </w:tc>
        <w:tc>
          <w:tcPr>
            <w:tcW w:w="2260" w:type="dxa"/>
            <w:vAlign w:val="center"/>
          </w:tcPr>
          <w:p w14:paraId="7249FAFC">
            <w:pPr>
              <w:jc w:val="center"/>
              <w:rPr>
                <w:rFonts w:ascii="宋体" w:hAnsi="宋体" w:cs="宋体"/>
                <w:b/>
                <w:szCs w:val="21"/>
                <w:highlight w:val="none"/>
              </w:rPr>
            </w:pPr>
            <w:r>
              <w:rPr>
                <w:rFonts w:hint="eastAsia" w:ascii="宋体" w:hAnsi="宋体" w:cs="宋体"/>
                <w:b/>
                <w:szCs w:val="21"/>
                <w:highlight w:val="none"/>
              </w:rPr>
              <w:t>第三者</w:t>
            </w:r>
          </w:p>
          <w:p w14:paraId="1DCDA564">
            <w:pPr>
              <w:jc w:val="center"/>
              <w:rPr>
                <w:rFonts w:ascii="宋体" w:hAnsi="宋体" w:cs="宋体"/>
                <w:b/>
                <w:bCs/>
                <w:highlight w:val="none"/>
              </w:rPr>
            </w:pPr>
            <w:r>
              <w:rPr>
                <w:rFonts w:hint="eastAsia" w:ascii="宋体" w:hAnsi="宋体" w:cs="宋体"/>
                <w:b/>
                <w:szCs w:val="21"/>
                <w:highlight w:val="none"/>
              </w:rPr>
              <w:t>责任险保额（万元）</w:t>
            </w:r>
          </w:p>
        </w:tc>
        <w:tc>
          <w:tcPr>
            <w:tcW w:w="2204" w:type="dxa"/>
            <w:vAlign w:val="center"/>
          </w:tcPr>
          <w:p w14:paraId="3C357CB5">
            <w:pPr>
              <w:jc w:val="center"/>
              <w:rPr>
                <w:rFonts w:ascii="宋体" w:hAnsi="宋体" w:cs="宋体"/>
                <w:b/>
                <w:bCs/>
                <w:highlight w:val="none"/>
              </w:rPr>
            </w:pPr>
            <w:r>
              <w:rPr>
                <w:rFonts w:hint="eastAsia" w:ascii="宋体" w:hAnsi="宋体" w:cs="宋体"/>
                <w:b/>
                <w:szCs w:val="21"/>
                <w:highlight w:val="none"/>
              </w:rPr>
              <w:t>公路货运承运人责任保险保额（万元）</w:t>
            </w:r>
          </w:p>
        </w:tc>
      </w:tr>
      <w:tr w14:paraId="4E7B17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9" w:type="dxa"/>
            <w:tcBorders>
              <w:right w:val="single" w:color="000000" w:sz="4" w:space="0"/>
            </w:tcBorders>
            <w:vAlign w:val="center"/>
          </w:tcPr>
          <w:p w14:paraId="041B2C79">
            <w:pPr>
              <w:jc w:val="center"/>
              <w:rPr>
                <w:rFonts w:ascii="宋体" w:hAnsi="宋体" w:cs="宋体"/>
                <w:sz w:val="24"/>
                <w:highlight w:val="none"/>
              </w:rPr>
            </w:pPr>
          </w:p>
        </w:tc>
        <w:tc>
          <w:tcPr>
            <w:tcW w:w="2098" w:type="dxa"/>
            <w:tcBorders>
              <w:left w:val="single" w:color="000000" w:sz="4" w:space="0"/>
            </w:tcBorders>
            <w:vAlign w:val="center"/>
          </w:tcPr>
          <w:p w14:paraId="224CF203">
            <w:pPr>
              <w:jc w:val="center"/>
              <w:rPr>
                <w:rFonts w:ascii="宋体" w:hAnsi="宋体" w:cs="宋体"/>
                <w:sz w:val="24"/>
                <w:highlight w:val="none"/>
              </w:rPr>
            </w:pPr>
          </w:p>
        </w:tc>
        <w:tc>
          <w:tcPr>
            <w:tcW w:w="1648" w:type="dxa"/>
            <w:vAlign w:val="center"/>
          </w:tcPr>
          <w:p w14:paraId="6050013A">
            <w:pPr>
              <w:jc w:val="center"/>
              <w:rPr>
                <w:rFonts w:ascii="宋体" w:hAnsi="宋体" w:cs="宋体"/>
                <w:sz w:val="24"/>
                <w:highlight w:val="none"/>
              </w:rPr>
            </w:pPr>
          </w:p>
        </w:tc>
        <w:tc>
          <w:tcPr>
            <w:tcW w:w="1710" w:type="dxa"/>
            <w:vAlign w:val="center"/>
          </w:tcPr>
          <w:p w14:paraId="46C44DD0">
            <w:pPr>
              <w:jc w:val="center"/>
              <w:rPr>
                <w:rFonts w:ascii="宋体" w:hAnsi="宋体" w:cs="宋体"/>
                <w:sz w:val="24"/>
                <w:highlight w:val="none"/>
              </w:rPr>
            </w:pPr>
          </w:p>
        </w:tc>
        <w:tc>
          <w:tcPr>
            <w:tcW w:w="1798" w:type="dxa"/>
            <w:vAlign w:val="center"/>
          </w:tcPr>
          <w:p w14:paraId="41790D20">
            <w:pPr>
              <w:jc w:val="center"/>
              <w:rPr>
                <w:rFonts w:ascii="宋体" w:hAnsi="宋体" w:cs="宋体"/>
                <w:sz w:val="24"/>
                <w:highlight w:val="none"/>
              </w:rPr>
            </w:pPr>
          </w:p>
        </w:tc>
        <w:tc>
          <w:tcPr>
            <w:tcW w:w="1401" w:type="dxa"/>
            <w:vAlign w:val="center"/>
          </w:tcPr>
          <w:p w14:paraId="1B19A1F0">
            <w:pPr>
              <w:jc w:val="center"/>
              <w:rPr>
                <w:rFonts w:ascii="宋体" w:hAnsi="宋体" w:cs="宋体"/>
                <w:b/>
                <w:bCs/>
                <w:szCs w:val="16"/>
                <w:highlight w:val="none"/>
              </w:rPr>
            </w:pPr>
          </w:p>
        </w:tc>
        <w:tc>
          <w:tcPr>
            <w:tcW w:w="2260" w:type="dxa"/>
            <w:vAlign w:val="center"/>
          </w:tcPr>
          <w:p w14:paraId="1E81987F">
            <w:pPr>
              <w:jc w:val="center"/>
              <w:rPr>
                <w:rFonts w:ascii="宋体" w:hAnsi="宋体" w:cs="宋体"/>
                <w:sz w:val="24"/>
                <w:highlight w:val="none"/>
              </w:rPr>
            </w:pPr>
          </w:p>
        </w:tc>
        <w:tc>
          <w:tcPr>
            <w:tcW w:w="2204" w:type="dxa"/>
            <w:vAlign w:val="center"/>
          </w:tcPr>
          <w:p w14:paraId="406A3DBD">
            <w:pPr>
              <w:jc w:val="center"/>
              <w:rPr>
                <w:rFonts w:ascii="宋体" w:hAnsi="宋体" w:cs="宋体"/>
                <w:sz w:val="24"/>
                <w:highlight w:val="none"/>
              </w:rPr>
            </w:pPr>
          </w:p>
        </w:tc>
      </w:tr>
      <w:tr w14:paraId="4CE19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9" w:type="dxa"/>
            <w:tcBorders>
              <w:right w:val="single" w:color="000000" w:sz="4" w:space="0"/>
            </w:tcBorders>
            <w:vAlign w:val="center"/>
          </w:tcPr>
          <w:p w14:paraId="4DFF1F12">
            <w:pPr>
              <w:jc w:val="center"/>
              <w:rPr>
                <w:rFonts w:ascii="宋体" w:hAnsi="宋体" w:cs="宋体"/>
                <w:sz w:val="24"/>
                <w:highlight w:val="none"/>
              </w:rPr>
            </w:pPr>
          </w:p>
        </w:tc>
        <w:tc>
          <w:tcPr>
            <w:tcW w:w="2098" w:type="dxa"/>
            <w:tcBorders>
              <w:left w:val="single" w:color="000000" w:sz="4" w:space="0"/>
            </w:tcBorders>
            <w:vAlign w:val="center"/>
          </w:tcPr>
          <w:p w14:paraId="10F37FEC">
            <w:pPr>
              <w:jc w:val="center"/>
              <w:rPr>
                <w:rFonts w:ascii="宋体" w:hAnsi="宋体" w:cs="宋体"/>
                <w:sz w:val="24"/>
                <w:highlight w:val="none"/>
              </w:rPr>
            </w:pPr>
          </w:p>
        </w:tc>
        <w:tc>
          <w:tcPr>
            <w:tcW w:w="1648" w:type="dxa"/>
            <w:vAlign w:val="center"/>
          </w:tcPr>
          <w:p w14:paraId="5F9AC3D0">
            <w:pPr>
              <w:jc w:val="center"/>
              <w:rPr>
                <w:rFonts w:ascii="宋体" w:hAnsi="宋体" w:cs="宋体"/>
                <w:sz w:val="24"/>
                <w:highlight w:val="none"/>
              </w:rPr>
            </w:pPr>
          </w:p>
        </w:tc>
        <w:tc>
          <w:tcPr>
            <w:tcW w:w="1710" w:type="dxa"/>
            <w:vAlign w:val="center"/>
          </w:tcPr>
          <w:p w14:paraId="6586C41A">
            <w:pPr>
              <w:jc w:val="center"/>
              <w:rPr>
                <w:rFonts w:ascii="宋体" w:hAnsi="宋体" w:cs="宋体"/>
                <w:sz w:val="24"/>
                <w:highlight w:val="none"/>
              </w:rPr>
            </w:pPr>
          </w:p>
        </w:tc>
        <w:tc>
          <w:tcPr>
            <w:tcW w:w="1798" w:type="dxa"/>
            <w:vAlign w:val="center"/>
          </w:tcPr>
          <w:p w14:paraId="5598B7B3">
            <w:pPr>
              <w:jc w:val="center"/>
              <w:rPr>
                <w:rFonts w:ascii="宋体" w:hAnsi="宋体" w:cs="宋体"/>
                <w:sz w:val="24"/>
                <w:highlight w:val="none"/>
              </w:rPr>
            </w:pPr>
          </w:p>
        </w:tc>
        <w:tc>
          <w:tcPr>
            <w:tcW w:w="1401" w:type="dxa"/>
            <w:vAlign w:val="center"/>
          </w:tcPr>
          <w:p w14:paraId="6FC0E543">
            <w:pPr>
              <w:jc w:val="center"/>
              <w:rPr>
                <w:rFonts w:ascii="宋体" w:hAnsi="宋体" w:cs="宋体"/>
                <w:sz w:val="24"/>
                <w:highlight w:val="none"/>
              </w:rPr>
            </w:pPr>
          </w:p>
        </w:tc>
        <w:tc>
          <w:tcPr>
            <w:tcW w:w="2260" w:type="dxa"/>
            <w:vAlign w:val="center"/>
          </w:tcPr>
          <w:p w14:paraId="2B860473">
            <w:pPr>
              <w:jc w:val="center"/>
              <w:rPr>
                <w:rFonts w:ascii="宋体" w:hAnsi="宋体" w:cs="宋体"/>
                <w:sz w:val="24"/>
                <w:highlight w:val="none"/>
              </w:rPr>
            </w:pPr>
          </w:p>
        </w:tc>
        <w:tc>
          <w:tcPr>
            <w:tcW w:w="2204" w:type="dxa"/>
            <w:vAlign w:val="center"/>
          </w:tcPr>
          <w:p w14:paraId="737992F4">
            <w:pPr>
              <w:jc w:val="center"/>
              <w:rPr>
                <w:rFonts w:ascii="宋体" w:hAnsi="宋体" w:cs="宋体"/>
                <w:sz w:val="24"/>
                <w:highlight w:val="none"/>
              </w:rPr>
            </w:pPr>
          </w:p>
        </w:tc>
      </w:tr>
      <w:tr w14:paraId="46BB1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9" w:type="dxa"/>
            <w:tcBorders>
              <w:right w:val="single" w:color="000000" w:sz="4" w:space="0"/>
            </w:tcBorders>
            <w:vAlign w:val="center"/>
          </w:tcPr>
          <w:p w14:paraId="311E6F67">
            <w:pPr>
              <w:jc w:val="center"/>
              <w:rPr>
                <w:rFonts w:ascii="宋体" w:hAnsi="宋体" w:cs="宋体"/>
                <w:sz w:val="24"/>
                <w:highlight w:val="none"/>
              </w:rPr>
            </w:pPr>
          </w:p>
        </w:tc>
        <w:tc>
          <w:tcPr>
            <w:tcW w:w="2098" w:type="dxa"/>
            <w:tcBorders>
              <w:left w:val="single" w:color="000000" w:sz="4" w:space="0"/>
            </w:tcBorders>
            <w:vAlign w:val="center"/>
          </w:tcPr>
          <w:p w14:paraId="27C05ED4">
            <w:pPr>
              <w:jc w:val="center"/>
              <w:rPr>
                <w:rFonts w:ascii="宋体" w:hAnsi="宋体" w:cs="宋体"/>
                <w:sz w:val="24"/>
                <w:highlight w:val="none"/>
              </w:rPr>
            </w:pPr>
          </w:p>
        </w:tc>
        <w:tc>
          <w:tcPr>
            <w:tcW w:w="1648" w:type="dxa"/>
            <w:vAlign w:val="center"/>
          </w:tcPr>
          <w:p w14:paraId="16DD1541">
            <w:pPr>
              <w:jc w:val="center"/>
              <w:rPr>
                <w:rFonts w:ascii="宋体" w:hAnsi="宋体" w:cs="宋体"/>
                <w:sz w:val="24"/>
                <w:highlight w:val="none"/>
              </w:rPr>
            </w:pPr>
          </w:p>
        </w:tc>
        <w:tc>
          <w:tcPr>
            <w:tcW w:w="1710" w:type="dxa"/>
            <w:vAlign w:val="center"/>
          </w:tcPr>
          <w:p w14:paraId="0B1887AC">
            <w:pPr>
              <w:jc w:val="center"/>
              <w:rPr>
                <w:rFonts w:ascii="宋体" w:hAnsi="宋体" w:cs="宋体"/>
                <w:sz w:val="24"/>
                <w:highlight w:val="none"/>
              </w:rPr>
            </w:pPr>
          </w:p>
        </w:tc>
        <w:tc>
          <w:tcPr>
            <w:tcW w:w="1798" w:type="dxa"/>
            <w:vAlign w:val="center"/>
          </w:tcPr>
          <w:p w14:paraId="756F1A38">
            <w:pPr>
              <w:jc w:val="center"/>
              <w:rPr>
                <w:rFonts w:ascii="宋体" w:hAnsi="宋体" w:cs="宋体"/>
                <w:sz w:val="24"/>
                <w:highlight w:val="none"/>
              </w:rPr>
            </w:pPr>
          </w:p>
        </w:tc>
        <w:tc>
          <w:tcPr>
            <w:tcW w:w="1401" w:type="dxa"/>
            <w:vAlign w:val="center"/>
          </w:tcPr>
          <w:p w14:paraId="3BAC5C89">
            <w:pPr>
              <w:jc w:val="center"/>
              <w:rPr>
                <w:rFonts w:ascii="宋体" w:hAnsi="宋体" w:cs="宋体"/>
                <w:sz w:val="24"/>
                <w:highlight w:val="none"/>
              </w:rPr>
            </w:pPr>
          </w:p>
        </w:tc>
        <w:tc>
          <w:tcPr>
            <w:tcW w:w="2260" w:type="dxa"/>
            <w:vAlign w:val="center"/>
          </w:tcPr>
          <w:p w14:paraId="1973CA01">
            <w:pPr>
              <w:jc w:val="center"/>
              <w:rPr>
                <w:rFonts w:ascii="宋体" w:hAnsi="宋体" w:cs="宋体"/>
                <w:sz w:val="24"/>
                <w:highlight w:val="none"/>
              </w:rPr>
            </w:pPr>
          </w:p>
        </w:tc>
        <w:tc>
          <w:tcPr>
            <w:tcW w:w="2204" w:type="dxa"/>
            <w:vAlign w:val="center"/>
          </w:tcPr>
          <w:p w14:paraId="1301C7FF">
            <w:pPr>
              <w:jc w:val="center"/>
              <w:rPr>
                <w:rFonts w:ascii="宋体" w:hAnsi="宋体" w:cs="宋体"/>
                <w:sz w:val="24"/>
                <w:highlight w:val="none"/>
              </w:rPr>
            </w:pPr>
          </w:p>
        </w:tc>
      </w:tr>
      <w:tr w14:paraId="46017F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9" w:type="dxa"/>
            <w:tcBorders>
              <w:right w:val="single" w:color="000000" w:sz="4" w:space="0"/>
            </w:tcBorders>
            <w:vAlign w:val="center"/>
          </w:tcPr>
          <w:p w14:paraId="1FAE1DF8">
            <w:pPr>
              <w:jc w:val="center"/>
              <w:rPr>
                <w:rFonts w:ascii="宋体" w:hAnsi="宋体" w:cs="宋体"/>
                <w:sz w:val="24"/>
                <w:highlight w:val="none"/>
              </w:rPr>
            </w:pPr>
          </w:p>
        </w:tc>
        <w:tc>
          <w:tcPr>
            <w:tcW w:w="2098" w:type="dxa"/>
            <w:tcBorders>
              <w:left w:val="single" w:color="000000" w:sz="4" w:space="0"/>
            </w:tcBorders>
            <w:vAlign w:val="center"/>
          </w:tcPr>
          <w:p w14:paraId="32F374CA">
            <w:pPr>
              <w:jc w:val="center"/>
              <w:rPr>
                <w:rFonts w:ascii="宋体" w:hAnsi="宋体" w:cs="宋体"/>
                <w:sz w:val="24"/>
                <w:highlight w:val="none"/>
              </w:rPr>
            </w:pPr>
          </w:p>
        </w:tc>
        <w:tc>
          <w:tcPr>
            <w:tcW w:w="1648" w:type="dxa"/>
            <w:vAlign w:val="center"/>
          </w:tcPr>
          <w:p w14:paraId="6381A1F4">
            <w:pPr>
              <w:jc w:val="center"/>
              <w:rPr>
                <w:rFonts w:ascii="宋体" w:hAnsi="宋体" w:cs="宋体"/>
                <w:sz w:val="24"/>
                <w:highlight w:val="none"/>
              </w:rPr>
            </w:pPr>
          </w:p>
        </w:tc>
        <w:tc>
          <w:tcPr>
            <w:tcW w:w="1710" w:type="dxa"/>
            <w:vAlign w:val="center"/>
          </w:tcPr>
          <w:p w14:paraId="206EEE59">
            <w:pPr>
              <w:jc w:val="center"/>
              <w:rPr>
                <w:rFonts w:ascii="宋体" w:hAnsi="宋体" w:cs="宋体"/>
                <w:sz w:val="24"/>
                <w:highlight w:val="none"/>
              </w:rPr>
            </w:pPr>
          </w:p>
        </w:tc>
        <w:tc>
          <w:tcPr>
            <w:tcW w:w="1798" w:type="dxa"/>
            <w:vAlign w:val="center"/>
          </w:tcPr>
          <w:p w14:paraId="5B707F6C">
            <w:pPr>
              <w:jc w:val="center"/>
              <w:rPr>
                <w:rFonts w:ascii="宋体" w:hAnsi="宋体" w:cs="宋体"/>
                <w:sz w:val="24"/>
                <w:highlight w:val="none"/>
              </w:rPr>
            </w:pPr>
          </w:p>
        </w:tc>
        <w:tc>
          <w:tcPr>
            <w:tcW w:w="1401" w:type="dxa"/>
            <w:vAlign w:val="center"/>
          </w:tcPr>
          <w:p w14:paraId="336F3645">
            <w:pPr>
              <w:jc w:val="center"/>
              <w:rPr>
                <w:rFonts w:ascii="宋体" w:hAnsi="宋体" w:cs="宋体"/>
                <w:sz w:val="24"/>
                <w:highlight w:val="none"/>
              </w:rPr>
            </w:pPr>
          </w:p>
        </w:tc>
        <w:tc>
          <w:tcPr>
            <w:tcW w:w="2260" w:type="dxa"/>
            <w:vAlign w:val="center"/>
          </w:tcPr>
          <w:p w14:paraId="3E52CC6F">
            <w:pPr>
              <w:jc w:val="center"/>
              <w:rPr>
                <w:rFonts w:ascii="宋体" w:hAnsi="宋体" w:cs="宋体"/>
                <w:sz w:val="24"/>
                <w:highlight w:val="none"/>
              </w:rPr>
            </w:pPr>
          </w:p>
        </w:tc>
        <w:tc>
          <w:tcPr>
            <w:tcW w:w="2204" w:type="dxa"/>
            <w:vAlign w:val="center"/>
          </w:tcPr>
          <w:p w14:paraId="0D49AB05">
            <w:pPr>
              <w:jc w:val="center"/>
              <w:rPr>
                <w:rFonts w:ascii="宋体" w:hAnsi="宋体" w:cs="宋体"/>
                <w:sz w:val="24"/>
                <w:highlight w:val="none"/>
              </w:rPr>
            </w:pPr>
          </w:p>
        </w:tc>
      </w:tr>
      <w:tr w14:paraId="4E4556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9" w:type="dxa"/>
            <w:tcBorders>
              <w:right w:val="single" w:color="000000" w:sz="4" w:space="0"/>
            </w:tcBorders>
            <w:vAlign w:val="center"/>
          </w:tcPr>
          <w:p w14:paraId="52DA2F2F">
            <w:pPr>
              <w:jc w:val="center"/>
              <w:rPr>
                <w:rFonts w:ascii="宋体" w:hAnsi="宋体" w:cs="宋体"/>
                <w:sz w:val="24"/>
                <w:highlight w:val="none"/>
              </w:rPr>
            </w:pPr>
          </w:p>
        </w:tc>
        <w:tc>
          <w:tcPr>
            <w:tcW w:w="2098" w:type="dxa"/>
            <w:tcBorders>
              <w:left w:val="single" w:color="000000" w:sz="4" w:space="0"/>
            </w:tcBorders>
            <w:vAlign w:val="center"/>
          </w:tcPr>
          <w:p w14:paraId="07E463A0">
            <w:pPr>
              <w:jc w:val="center"/>
              <w:rPr>
                <w:rFonts w:ascii="宋体" w:hAnsi="宋体" w:cs="宋体"/>
                <w:sz w:val="24"/>
                <w:highlight w:val="none"/>
              </w:rPr>
            </w:pPr>
          </w:p>
        </w:tc>
        <w:tc>
          <w:tcPr>
            <w:tcW w:w="1648" w:type="dxa"/>
            <w:vAlign w:val="center"/>
          </w:tcPr>
          <w:p w14:paraId="359ED406">
            <w:pPr>
              <w:jc w:val="center"/>
              <w:rPr>
                <w:rFonts w:ascii="宋体" w:hAnsi="宋体" w:cs="宋体"/>
                <w:sz w:val="24"/>
                <w:highlight w:val="none"/>
              </w:rPr>
            </w:pPr>
          </w:p>
        </w:tc>
        <w:tc>
          <w:tcPr>
            <w:tcW w:w="1710" w:type="dxa"/>
            <w:vAlign w:val="center"/>
          </w:tcPr>
          <w:p w14:paraId="57305FD4">
            <w:pPr>
              <w:jc w:val="center"/>
              <w:rPr>
                <w:rFonts w:ascii="宋体" w:hAnsi="宋体" w:cs="宋体"/>
                <w:sz w:val="24"/>
                <w:highlight w:val="none"/>
              </w:rPr>
            </w:pPr>
          </w:p>
        </w:tc>
        <w:tc>
          <w:tcPr>
            <w:tcW w:w="1798" w:type="dxa"/>
            <w:vAlign w:val="center"/>
          </w:tcPr>
          <w:p w14:paraId="423B74CA">
            <w:pPr>
              <w:jc w:val="center"/>
              <w:rPr>
                <w:rFonts w:ascii="宋体" w:hAnsi="宋体" w:cs="宋体"/>
                <w:sz w:val="24"/>
                <w:highlight w:val="none"/>
              </w:rPr>
            </w:pPr>
          </w:p>
        </w:tc>
        <w:tc>
          <w:tcPr>
            <w:tcW w:w="1401" w:type="dxa"/>
            <w:vAlign w:val="center"/>
          </w:tcPr>
          <w:p w14:paraId="36B4AE98">
            <w:pPr>
              <w:jc w:val="center"/>
              <w:rPr>
                <w:rFonts w:ascii="宋体" w:hAnsi="宋体" w:cs="宋体"/>
                <w:sz w:val="24"/>
                <w:highlight w:val="none"/>
              </w:rPr>
            </w:pPr>
          </w:p>
        </w:tc>
        <w:tc>
          <w:tcPr>
            <w:tcW w:w="2260" w:type="dxa"/>
            <w:vAlign w:val="center"/>
          </w:tcPr>
          <w:p w14:paraId="231DC239">
            <w:pPr>
              <w:jc w:val="center"/>
              <w:rPr>
                <w:rFonts w:ascii="宋体" w:hAnsi="宋体" w:cs="宋体"/>
                <w:sz w:val="24"/>
                <w:highlight w:val="none"/>
              </w:rPr>
            </w:pPr>
          </w:p>
        </w:tc>
        <w:tc>
          <w:tcPr>
            <w:tcW w:w="2204" w:type="dxa"/>
            <w:vAlign w:val="center"/>
          </w:tcPr>
          <w:p w14:paraId="0AE00FF2">
            <w:pPr>
              <w:jc w:val="center"/>
              <w:rPr>
                <w:rFonts w:ascii="宋体" w:hAnsi="宋体" w:cs="宋体"/>
                <w:sz w:val="24"/>
                <w:highlight w:val="none"/>
              </w:rPr>
            </w:pPr>
          </w:p>
        </w:tc>
      </w:tr>
      <w:tr w14:paraId="1CC049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9" w:type="dxa"/>
            <w:tcBorders>
              <w:bottom w:val="single" w:color="auto" w:sz="12" w:space="0"/>
              <w:right w:val="single" w:color="000000" w:sz="4" w:space="0"/>
            </w:tcBorders>
            <w:vAlign w:val="center"/>
          </w:tcPr>
          <w:p w14:paraId="2F79AB63">
            <w:pPr>
              <w:jc w:val="center"/>
              <w:rPr>
                <w:rFonts w:ascii="宋体" w:hAnsi="宋体" w:cs="宋体"/>
                <w:sz w:val="24"/>
                <w:highlight w:val="none"/>
              </w:rPr>
            </w:pPr>
            <w:r>
              <w:rPr>
                <w:rFonts w:hint="eastAsia" w:ascii="宋体" w:hAnsi="宋体" w:cs="宋体"/>
                <w:sz w:val="24"/>
                <w:highlight w:val="none"/>
              </w:rPr>
              <w:t>...</w:t>
            </w:r>
          </w:p>
        </w:tc>
        <w:tc>
          <w:tcPr>
            <w:tcW w:w="2098" w:type="dxa"/>
            <w:tcBorders>
              <w:left w:val="single" w:color="000000" w:sz="4" w:space="0"/>
              <w:bottom w:val="single" w:color="auto" w:sz="12" w:space="0"/>
            </w:tcBorders>
            <w:vAlign w:val="center"/>
          </w:tcPr>
          <w:p w14:paraId="6526C465">
            <w:pPr>
              <w:jc w:val="center"/>
              <w:rPr>
                <w:rFonts w:ascii="宋体" w:hAnsi="宋体" w:cs="宋体"/>
                <w:sz w:val="24"/>
                <w:highlight w:val="none"/>
              </w:rPr>
            </w:pPr>
          </w:p>
        </w:tc>
        <w:tc>
          <w:tcPr>
            <w:tcW w:w="1648" w:type="dxa"/>
            <w:tcBorders>
              <w:bottom w:val="single" w:color="auto" w:sz="12" w:space="0"/>
            </w:tcBorders>
            <w:vAlign w:val="center"/>
          </w:tcPr>
          <w:p w14:paraId="2D24560E">
            <w:pPr>
              <w:jc w:val="center"/>
              <w:rPr>
                <w:rFonts w:ascii="宋体" w:hAnsi="宋体" w:cs="宋体"/>
                <w:sz w:val="24"/>
                <w:highlight w:val="none"/>
              </w:rPr>
            </w:pPr>
          </w:p>
        </w:tc>
        <w:tc>
          <w:tcPr>
            <w:tcW w:w="1710" w:type="dxa"/>
            <w:tcBorders>
              <w:bottom w:val="single" w:color="auto" w:sz="12" w:space="0"/>
            </w:tcBorders>
            <w:vAlign w:val="center"/>
          </w:tcPr>
          <w:p w14:paraId="12CA98AD">
            <w:pPr>
              <w:jc w:val="center"/>
              <w:rPr>
                <w:rFonts w:ascii="宋体" w:hAnsi="宋体" w:cs="宋体"/>
                <w:sz w:val="24"/>
                <w:highlight w:val="none"/>
              </w:rPr>
            </w:pPr>
          </w:p>
        </w:tc>
        <w:tc>
          <w:tcPr>
            <w:tcW w:w="1798" w:type="dxa"/>
            <w:tcBorders>
              <w:bottom w:val="single" w:color="auto" w:sz="12" w:space="0"/>
            </w:tcBorders>
            <w:vAlign w:val="center"/>
          </w:tcPr>
          <w:p w14:paraId="43E8EC85">
            <w:pPr>
              <w:jc w:val="center"/>
              <w:rPr>
                <w:rFonts w:ascii="宋体" w:hAnsi="宋体" w:cs="宋体"/>
                <w:sz w:val="24"/>
                <w:highlight w:val="none"/>
              </w:rPr>
            </w:pPr>
          </w:p>
        </w:tc>
        <w:tc>
          <w:tcPr>
            <w:tcW w:w="1401" w:type="dxa"/>
            <w:tcBorders>
              <w:bottom w:val="single" w:color="auto" w:sz="12" w:space="0"/>
            </w:tcBorders>
            <w:vAlign w:val="center"/>
          </w:tcPr>
          <w:p w14:paraId="1509D778">
            <w:pPr>
              <w:jc w:val="center"/>
              <w:rPr>
                <w:rFonts w:ascii="宋体" w:hAnsi="宋体" w:cs="宋体"/>
                <w:sz w:val="24"/>
                <w:highlight w:val="none"/>
              </w:rPr>
            </w:pPr>
          </w:p>
        </w:tc>
        <w:tc>
          <w:tcPr>
            <w:tcW w:w="2260" w:type="dxa"/>
            <w:tcBorders>
              <w:bottom w:val="single" w:color="auto" w:sz="12" w:space="0"/>
            </w:tcBorders>
            <w:vAlign w:val="center"/>
          </w:tcPr>
          <w:p w14:paraId="76033F3A">
            <w:pPr>
              <w:jc w:val="center"/>
              <w:rPr>
                <w:rFonts w:ascii="宋体" w:hAnsi="宋体" w:cs="宋体"/>
                <w:sz w:val="24"/>
                <w:highlight w:val="none"/>
              </w:rPr>
            </w:pPr>
          </w:p>
        </w:tc>
        <w:tc>
          <w:tcPr>
            <w:tcW w:w="2204" w:type="dxa"/>
            <w:tcBorders>
              <w:bottom w:val="single" w:color="auto" w:sz="12" w:space="0"/>
            </w:tcBorders>
            <w:vAlign w:val="center"/>
          </w:tcPr>
          <w:p w14:paraId="0E8EC70C">
            <w:pPr>
              <w:jc w:val="center"/>
              <w:rPr>
                <w:rFonts w:ascii="宋体" w:hAnsi="宋体" w:cs="宋体"/>
                <w:sz w:val="24"/>
                <w:highlight w:val="none"/>
              </w:rPr>
            </w:pPr>
          </w:p>
        </w:tc>
      </w:tr>
    </w:tbl>
    <w:p w14:paraId="5C4A337E">
      <w:pPr>
        <w:spacing w:line="420" w:lineRule="exact"/>
        <w:rPr>
          <w:rFonts w:ascii="宋体" w:hAnsi="宋体" w:cs="宋体"/>
          <w:b/>
          <w:szCs w:val="21"/>
          <w:highlight w:val="none"/>
        </w:rPr>
      </w:pPr>
      <w:r>
        <w:rPr>
          <w:rFonts w:hint="eastAsia" w:ascii="宋体" w:hAnsi="宋体" w:cs="宋体"/>
          <w:b/>
          <w:szCs w:val="21"/>
          <w:highlight w:val="none"/>
        </w:rPr>
        <w:t>注：后附相关证明材料复印件。</w:t>
      </w:r>
    </w:p>
    <w:p w14:paraId="0D0D55CE">
      <w:pPr>
        <w:rPr>
          <w:highlight w:val="none"/>
        </w:rPr>
        <w:sectPr>
          <w:pgSz w:w="16838" w:h="11906" w:orient="landscape"/>
          <w:pgMar w:top="1800" w:right="1440" w:bottom="1800" w:left="1440" w:header="851" w:footer="992" w:gutter="0"/>
          <w:cols w:space="720" w:num="1"/>
          <w:docGrid w:type="lines" w:linePitch="312" w:charSpace="0"/>
        </w:sectPr>
      </w:pPr>
    </w:p>
    <w:p w14:paraId="3BD63211">
      <w:pPr>
        <w:outlineLvl w:val="0"/>
        <w:rPr>
          <w:rFonts w:ascii="宋体" w:hAnsi="宋体" w:cs="宋体"/>
          <w:b/>
          <w:sz w:val="30"/>
          <w:szCs w:val="30"/>
          <w:highlight w:val="none"/>
        </w:rPr>
      </w:pPr>
      <w:bookmarkStart w:id="108" w:name="_Toc30174"/>
      <w:bookmarkStart w:id="109" w:name="_Toc15130"/>
      <w:bookmarkStart w:id="110" w:name="_Toc8428"/>
      <w:bookmarkStart w:id="111" w:name="_Toc21887"/>
      <w:bookmarkStart w:id="112" w:name="_Toc4042"/>
      <w:r>
        <w:rPr>
          <w:rFonts w:hint="eastAsia" w:ascii="宋体" w:hAnsi="宋体" w:cs="宋体"/>
          <w:b/>
          <w:sz w:val="24"/>
          <w:szCs w:val="24"/>
          <w:highlight w:val="none"/>
        </w:rPr>
        <w:t>附件：格式</w:t>
      </w:r>
      <w:bookmarkEnd w:id="108"/>
      <w:bookmarkEnd w:id="109"/>
      <w:bookmarkEnd w:id="110"/>
      <w:bookmarkEnd w:id="111"/>
      <w:bookmarkEnd w:id="112"/>
    </w:p>
    <w:p w14:paraId="17D09CAC">
      <w:pPr>
        <w:spacing w:before="156" w:beforeLines="50" w:after="312" w:afterLines="100" w:line="420" w:lineRule="exact"/>
        <w:jc w:val="center"/>
        <w:outlineLvl w:val="0"/>
        <w:rPr>
          <w:rFonts w:ascii="宋体" w:hAnsi="宋体" w:cs="宋体"/>
          <w:b/>
          <w:sz w:val="32"/>
          <w:szCs w:val="32"/>
          <w:highlight w:val="none"/>
        </w:rPr>
      </w:pPr>
      <w:bookmarkStart w:id="113" w:name="_Toc28968"/>
      <w:bookmarkStart w:id="114" w:name="_Toc27854"/>
      <w:bookmarkStart w:id="115" w:name="_Toc25205"/>
      <w:bookmarkStart w:id="116" w:name="_Toc42518142"/>
      <w:bookmarkStart w:id="117" w:name="_Toc2536"/>
      <w:bookmarkStart w:id="118" w:name="_Toc14105"/>
      <w:bookmarkStart w:id="119" w:name="_Toc14065"/>
      <w:bookmarkStart w:id="120" w:name="_Toc8389"/>
      <w:r>
        <w:rPr>
          <w:rFonts w:hint="eastAsia" w:ascii="宋体" w:hAnsi="宋体" w:cs="宋体"/>
          <w:b/>
          <w:sz w:val="32"/>
          <w:szCs w:val="32"/>
          <w:highlight w:val="none"/>
        </w:rPr>
        <w:t>供应商基本情况表</w:t>
      </w:r>
      <w:bookmarkEnd w:id="113"/>
      <w:bookmarkEnd w:id="114"/>
      <w:bookmarkEnd w:id="115"/>
      <w:bookmarkEnd w:id="116"/>
      <w:bookmarkEnd w:id="117"/>
      <w:bookmarkEnd w:id="118"/>
      <w:bookmarkEnd w:id="119"/>
      <w:bookmarkEnd w:id="120"/>
    </w:p>
    <w:tbl>
      <w:tblPr>
        <w:tblStyle w:val="12"/>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746"/>
        <w:gridCol w:w="551"/>
        <w:gridCol w:w="501"/>
        <w:gridCol w:w="1249"/>
        <w:gridCol w:w="1398"/>
        <w:gridCol w:w="850"/>
        <w:gridCol w:w="1133"/>
      </w:tblGrid>
      <w:tr w14:paraId="10416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5" w:type="dxa"/>
            <w:tcBorders>
              <w:top w:val="single" w:color="auto" w:sz="12" w:space="0"/>
            </w:tcBorders>
            <w:vAlign w:val="center"/>
          </w:tcPr>
          <w:p w14:paraId="5E0F17A6">
            <w:pPr>
              <w:jc w:val="center"/>
              <w:rPr>
                <w:rFonts w:ascii="宋体" w:hAnsi="宋体" w:cs="宋体"/>
                <w:szCs w:val="21"/>
                <w:highlight w:val="none"/>
              </w:rPr>
            </w:pPr>
            <w:r>
              <w:rPr>
                <w:rFonts w:hint="eastAsia" w:ascii="宋体" w:hAnsi="宋体" w:cs="宋体"/>
                <w:szCs w:val="21"/>
                <w:highlight w:val="none"/>
              </w:rPr>
              <w:t>供应商名称</w:t>
            </w:r>
          </w:p>
        </w:tc>
        <w:tc>
          <w:tcPr>
            <w:tcW w:w="6428" w:type="dxa"/>
            <w:gridSpan w:val="7"/>
            <w:tcBorders>
              <w:top w:val="single" w:color="auto" w:sz="12" w:space="0"/>
            </w:tcBorders>
          </w:tcPr>
          <w:p w14:paraId="21B59E76">
            <w:pPr>
              <w:rPr>
                <w:rFonts w:ascii="宋体" w:hAnsi="宋体" w:cs="宋体"/>
                <w:szCs w:val="21"/>
                <w:highlight w:val="none"/>
              </w:rPr>
            </w:pPr>
          </w:p>
        </w:tc>
      </w:tr>
      <w:tr w14:paraId="4D1EBF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5" w:type="dxa"/>
            <w:vAlign w:val="center"/>
          </w:tcPr>
          <w:p w14:paraId="6A69C3C8">
            <w:pPr>
              <w:jc w:val="center"/>
              <w:rPr>
                <w:rFonts w:ascii="宋体" w:hAnsi="宋体" w:cs="宋体"/>
                <w:szCs w:val="21"/>
                <w:highlight w:val="none"/>
              </w:rPr>
            </w:pPr>
            <w:r>
              <w:rPr>
                <w:rFonts w:hint="eastAsia" w:ascii="宋体" w:hAnsi="宋体" w:cs="宋体"/>
                <w:szCs w:val="21"/>
                <w:highlight w:val="none"/>
              </w:rPr>
              <w:t>注册地址</w:t>
            </w:r>
          </w:p>
        </w:tc>
        <w:tc>
          <w:tcPr>
            <w:tcW w:w="3047" w:type="dxa"/>
            <w:gridSpan w:val="4"/>
            <w:vAlign w:val="center"/>
          </w:tcPr>
          <w:p w14:paraId="63881B70">
            <w:pPr>
              <w:jc w:val="center"/>
              <w:rPr>
                <w:rFonts w:ascii="宋体" w:hAnsi="宋体" w:cs="宋体"/>
                <w:szCs w:val="21"/>
                <w:highlight w:val="none"/>
              </w:rPr>
            </w:pPr>
          </w:p>
        </w:tc>
        <w:tc>
          <w:tcPr>
            <w:tcW w:w="1398" w:type="dxa"/>
            <w:vAlign w:val="center"/>
          </w:tcPr>
          <w:p w14:paraId="4BDAE9C0">
            <w:pPr>
              <w:jc w:val="center"/>
              <w:rPr>
                <w:rFonts w:ascii="宋体" w:hAnsi="宋体" w:cs="宋体"/>
                <w:szCs w:val="21"/>
                <w:highlight w:val="none"/>
              </w:rPr>
            </w:pPr>
            <w:r>
              <w:rPr>
                <w:rFonts w:hint="eastAsia" w:ascii="宋体" w:hAnsi="宋体" w:cs="宋体"/>
                <w:szCs w:val="21"/>
                <w:highlight w:val="none"/>
              </w:rPr>
              <w:t>邮政编码</w:t>
            </w:r>
          </w:p>
        </w:tc>
        <w:tc>
          <w:tcPr>
            <w:tcW w:w="1983" w:type="dxa"/>
            <w:gridSpan w:val="2"/>
            <w:vAlign w:val="center"/>
          </w:tcPr>
          <w:p w14:paraId="3DB45DE9">
            <w:pPr>
              <w:jc w:val="center"/>
              <w:rPr>
                <w:rFonts w:ascii="宋体" w:hAnsi="宋体" w:cs="宋体"/>
                <w:szCs w:val="21"/>
                <w:highlight w:val="none"/>
              </w:rPr>
            </w:pPr>
          </w:p>
        </w:tc>
      </w:tr>
      <w:tr w14:paraId="39D5A1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5" w:type="dxa"/>
            <w:vMerge w:val="restart"/>
            <w:vAlign w:val="center"/>
          </w:tcPr>
          <w:p w14:paraId="5880FA4F">
            <w:pPr>
              <w:jc w:val="center"/>
              <w:rPr>
                <w:rFonts w:ascii="宋体" w:hAnsi="宋体" w:cs="宋体"/>
                <w:szCs w:val="21"/>
                <w:highlight w:val="none"/>
              </w:rPr>
            </w:pPr>
            <w:r>
              <w:rPr>
                <w:rFonts w:hint="eastAsia" w:ascii="宋体" w:hAnsi="宋体" w:cs="宋体"/>
                <w:szCs w:val="21"/>
                <w:highlight w:val="none"/>
              </w:rPr>
              <w:t>联系方式</w:t>
            </w:r>
          </w:p>
        </w:tc>
        <w:tc>
          <w:tcPr>
            <w:tcW w:w="1297" w:type="dxa"/>
            <w:gridSpan w:val="2"/>
            <w:vAlign w:val="center"/>
          </w:tcPr>
          <w:p w14:paraId="27123C3A">
            <w:pPr>
              <w:jc w:val="center"/>
              <w:rPr>
                <w:rFonts w:ascii="宋体" w:hAnsi="宋体" w:cs="宋体"/>
                <w:szCs w:val="21"/>
                <w:highlight w:val="none"/>
              </w:rPr>
            </w:pPr>
            <w:r>
              <w:rPr>
                <w:rFonts w:hint="eastAsia" w:ascii="宋体" w:hAnsi="宋体" w:cs="宋体"/>
                <w:szCs w:val="21"/>
                <w:highlight w:val="none"/>
              </w:rPr>
              <w:t>联系人</w:t>
            </w:r>
          </w:p>
        </w:tc>
        <w:tc>
          <w:tcPr>
            <w:tcW w:w="1750" w:type="dxa"/>
            <w:gridSpan w:val="2"/>
            <w:vAlign w:val="center"/>
          </w:tcPr>
          <w:p w14:paraId="35BF60D4">
            <w:pPr>
              <w:jc w:val="center"/>
              <w:rPr>
                <w:rFonts w:ascii="宋体" w:hAnsi="宋体" w:cs="宋体"/>
                <w:szCs w:val="21"/>
                <w:highlight w:val="none"/>
              </w:rPr>
            </w:pPr>
          </w:p>
        </w:tc>
        <w:tc>
          <w:tcPr>
            <w:tcW w:w="1398" w:type="dxa"/>
            <w:vAlign w:val="center"/>
          </w:tcPr>
          <w:p w14:paraId="30BC069A">
            <w:pPr>
              <w:jc w:val="center"/>
              <w:rPr>
                <w:rFonts w:ascii="宋体" w:hAnsi="宋体" w:cs="宋体"/>
                <w:szCs w:val="21"/>
                <w:highlight w:val="none"/>
              </w:rPr>
            </w:pPr>
            <w:r>
              <w:rPr>
                <w:rFonts w:hint="eastAsia" w:ascii="宋体" w:hAnsi="宋体" w:cs="宋体"/>
                <w:szCs w:val="21"/>
                <w:highlight w:val="none"/>
              </w:rPr>
              <w:t>电话</w:t>
            </w:r>
          </w:p>
        </w:tc>
        <w:tc>
          <w:tcPr>
            <w:tcW w:w="1983" w:type="dxa"/>
            <w:gridSpan w:val="2"/>
            <w:vAlign w:val="center"/>
          </w:tcPr>
          <w:p w14:paraId="605BD2FD">
            <w:pPr>
              <w:jc w:val="center"/>
              <w:rPr>
                <w:rFonts w:ascii="宋体" w:hAnsi="宋体" w:cs="宋体"/>
                <w:szCs w:val="21"/>
                <w:highlight w:val="none"/>
              </w:rPr>
            </w:pPr>
          </w:p>
        </w:tc>
      </w:tr>
      <w:tr w14:paraId="39A33D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5" w:type="dxa"/>
            <w:vMerge w:val="continue"/>
            <w:vAlign w:val="center"/>
          </w:tcPr>
          <w:p w14:paraId="550FAA41">
            <w:pPr>
              <w:jc w:val="center"/>
              <w:rPr>
                <w:rFonts w:ascii="宋体" w:hAnsi="宋体" w:cs="宋体"/>
                <w:szCs w:val="21"/>
                <w:highlight w:val="none"/>
              </w:rPr>
            </w:pPr>
          </w:p>
        </w:tc>
        <w:tc>
          <w:tcPr>
            <w:tcW w:w="1297" w:type="dxa"/>
            <w:gridSpan w:val="2"/>
            <w:vAlign w:val="center"/>
          </w:tcPr>
          <w:p w14:paraId="46BD010E">
            <w:pPr>
              <w:jc w:val="center"/>
              <w:rPr>
                <w:rFonts w:ascii="宋体" w:hAnsi="宋体" w:cs="宋体"/>
                <w:szCs w:val="21"/>
                <w:highlight w:val="none"/>
              </w:rPr>
            </w:pPr>
            <w:r>
              <w:rPr>
                <w:rFonts w:hint="eastAsia" w:ascii="宋体" w:hAnsi="宋体" w:cs="宋体"/>
                <w:szCs w:val="21"/>
                <w:highlight w:val="none"/>
              </w:rPr>
              <w:t>传真</w:t>
            </w:r>
          </w:p>
        </w:tc>
        <w:tc>
          <w:tcPr>
            <w:tcW w:w="1750" w:type="dxa"/>
            <w:gridSpan w:val="2"/>
            <w:vAlign w:val="center"/>
          </w:tcPr>
          <w:p w14:paraId="45CBEA1F">
            <w:pPr>
              <w:jc w:val="center"/>
              <w:rPr>
                <w:rFonts w:ascii="宋体" w:hAnsi="宋体" w:cs="宋体"/>
                <w:szCs w:val="21"/>
                <w:highlight w:val="none"/>
              </w:rPr>
            </w:pPr>
          </w:p>
        </w:tc>
        <w:tc>
          <w:tcPr>
            <w:tcW w:w="1398" w:type="dxa"/>
            <w:vAlign w:val="center"/>
          </w:tcPr>
          <w:p w14:paraId="1276E476">
            <w:pPr>
              <w:jc w:val="center"/>
              <w:rPr>
                <w:rFonts w:ascii="宋体" w:hAnsi="宋体" w:cs="宋体"/>
                <w:szCs w:val="21"/>
                <w:highlight w:val="none"/>
              </w:rPr>
            </w:pPr>
            <w:r>
              <w:rPr>
                <w:rFonts w:hint="eastAsia" w:ascii="宋体" w:hAnsi="宋体" w:cs="宋体"/>
                <w:szCs w:val="21"/>
                <w:highlight w:val="none"/>
              </w:rPr>
              <w:t>网址</w:t>
            </w:r>
          </w:p>
        </w:tc>
        <w:tc>
          <w:tcPr>
            <w:tcW w:w="1983" w:type="dxa"/>
            <w:gridSpan w:val="2"/>
            <w:vAlign w:val="center"/>
          </w:tcPr>
          <w:p w14:paraId="4D52C7CA">
            <w:pPr>
              <w:jc w:val="center"/>
              <w:rPr>
                <w:rFonts w:ascii="宋体" w:hAnsi="宋体" w:cs="宋体"/>
                <w:szCs w:val="21"/>
                <w:highlight w:val="none"/>
              </w:rPr>
            </w:pPr>
          </w:p>
        </w:tc>
      </w:tr>
      <w:tr w14:paraId="01E7C5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5" w:type="dxa"/>
            <w:vAlign w:val="center"/>
          </w:tcPr>
          <w:p w14:paraId="63F30D33">
            <w:pPr>
              <w:jc w:val="center"/>
              <w:rPr>
                <w:rFonts w:ascii="宋体" w:hAnsi="宋体" w:cs="宋体"/>
                <w:szCs w:val="21"/>
                <w:highlight w:val="none"/>
              </w:rPr>
            </w:pPr>
            <w:r>
              <w:rPr>
                <w:rFonts w:hint="eastAsia" w:ascii="宋体" w:hAnsi="宋体" w:cs="宋体"/>
                <w:szCs w:val="21"/>
                <w:highlight w:val="none"/>
              </w:rPr>
              <w:t>组织结构</w:t>
            </w:r>
          </w:p>
        </w:tc>
        <w:tc>
          <w:tcPr>
            <w:tcW w:w="6428" w:type="dxa"/>
            <w:gridSpan w:val="7"/>
            <w:vAlign w:val="center"/>
          </w:tcPr>
          <w:p w14:paraId="1A3F5AAA">
            <w:pPr>
              <w:jc w:val="center"/>
              <w:rPr>
                <w:rFonts w:ascii="宋体" w:hAnsi="宋体" w:cs="宋体"/>
                <w:szCs w:val="21"/>
                <w:highlight w:val="none"/>
              </w:rPr>
            </w:pPr>
          </w:p>
        </w:tc>
      </w:tr>
      <w:tr w14:paraId="1A3340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5" w:type="dxa"/>
            <w:vAlign w:val="center"/>
          </w:tcPr>
          <w:p w14:paraId="670408F5">
            <w:pPr>
              <w:jc w:val="center"/>
              <w:rPr>
                <w:rFonts w:ascii="宋体" w:hAnsi="宋体" w:cs="宋体"/>
                <w:szCs w:val="21"/>
                <w:highlight w:val="none"/>
              </w:rPr>
            </w:pPr>
            <w:r>
              <w:rPr>
                <w:rFonts w:hint="eastAsia" w:ascii="宋体" w:hAnsi="宋体" w:cs="宋体"/>
                <w:szCs w:val="21"/>
                <w:highlight w:val="none"/>
              </w:rPr>
              <w:t>法定代表人</w:t>
            </w:r>
          </w:p>
        </w:tc>
        <w:tc>
          <w:tcPr>
            <w:tcW w:w="746" w:type="dxa"/>
            <w:vAlign w:val="center"/>
          </w:tcPr>
          <w:p w14:paraId="7FD2703C">
            <w:pPr>
              <w:jc w:val="center"/>
              <w:rPr>
                <w:rFonts w:ascii="宋体" w:hAnsi="宋体" w:cs="宋体"/>
                <w:szCs w:val="21"/>
                <w:highlight w:val="none"/>
              </w:rPr>
            </w:pPr>
            <w:r>
              <w:rPr>
                <w:rFonts w:hint="eastAsia" w:ascii="宋体" w:hAnsi="宋体" w:cs="宋体"/>
                <w:szCs w:val="21"/>
                <w:highlight w:val="none"/>
              </w:rPr>
              <w:t>姓名</w:t>
            </w:r>
          </w:p>
        </w:tc>
        <w:tc>
          <w:tcPr>
            <w:tcW w:w="1052" w:type="dxa"/>
            <w:gridSpan w:val="2"/>
            <w:vAlign w:val="center"/>
          </w:tcPr>
          <w:p w14:paraId="2D21D047">
            <w:pPr>
              <w:jc w:val="center"/>
              <w:rPr>
                <w:rFonts w:ascii="宋体" w:hAnsi="宋体" w:cs="宋体"/>
                <w:szCs w:val="21"/>
                <w:highlight w:val="none"/>
              </w:rPr>
            </w:pPr>
          </w:p>
        </w:tc>
        <w:tc>
          <w:tcPr>
            <w:tcW w:w="1249" w:type="dxa"/>
            <w:vAlign w:val="center"/>
          </w:tcPr>
          <w:p w14:paraId="563FB16C">
            <w:pPr>
              <w:jc w:val="center"/>
              <w:rPr>
                <w:rFonts w:ascii="宋体" w:hAnsi="宋体" w:cs="宋体"/>
                <w:szCs w:val="21"/>
                <w:highlight w:val="none"/>
              </w:rPr>
            </w:pPr>
            <w:r>
              <w:rPr>
                <w:rFonts w:hint="eastAsia" w:ascii="宋体" w:hAnsi="宋体" w:cs="宋体"/>
                <w:szCs w:val="21"/>
                <w:highlight w:val="none"/>
              </w:rPr>
              <w:t>技术职称</w:t>
            </w:r>
          </w:p>
        </w:tc>
        <w:tc>
          <w:tcPr>
            <w:tcW w:w="1398" w:type="dxa"/>
            <w:vAlign w:val="center"/>
          </w:tcPr>
          <w:p w14:paraId="292F7411">
            <w:pPr>
              <w:jc w:val="center"/>
              <w:rPr>
                <w:rFonts w:ascii="宋体" w:hAnsi="宋体" w:cs="宋体"/>
                <w:szCs w:val="21"/>
                <w:highlight w:val="none"/>
              </w:rPr>
            </w:pPr>
          </w:p>
        </w:tc>
        <w:tc>
          <w:tcPr>
            <w:tcW w:w="850" w:type="dxa"/>
            <w:vAlign w:val="center"/>
          </w:tcPr>
          <w:p w14:paraId="0017B305">
            <w:pPr>
              <w:jc w:val="center"/>
              <w:rPr>
                <w:rFonts w:ascii="宋体" w:hAnsi="宋体" w:cs="宋体"/>
                <w:szCs w:val="21"/>
                <w:highlight w:val="none"/>
              </w:rPr>
            </w:pPr>
            <w:r>
              <w:rPr>
                <w:rFonts w:hint="eastAsia" w:ascii="宋体" w:hAnsi="宋体" w:cs="宋体"/>
                <w:szCs w:val="21"/>
                <w:highlight w:val="none"/>
              </w:rPr>
              <w:t>电话</w:t>
            </w:r>
          </w:p>
        </w:tc>
        <w:tc>
          <w:tcPr>
            <w:tcW w:w="1133" w:type="dxa"/>
            <w:vAlign w:val="center"/>
          </w:tcPr>
          <w:p w14:paraId="672F7AF4">
            <w:pPr>
              <w:jc w:val="center"/>
              <w:rPr>
                <w:rFonts w:ascii="宋体" w:hAnsi="宋体" w:cs="宋体"/>
                <w:szCs w:val="21"/>
                <w:highlight w:val="none"/>
              </w:rPr>
            </w:pPr>
          </w:p>
        </w:tc>
      </w:tr>
      <w:tr w14:paraId="60A6F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5" w:type="dxa"/>
            <w:vAlign w:val="center"/>
          </w:tcPr>
          <w:p w14:paraId="055316B2">
            <w:pPr>
              <w:jc w:val="center"/>
              <w:rPr>
                <w:rFonts w:ascii="宋体" w:hAnsi="宋体" w:cs="宋体"/>
                <w:szCs w:val="21"/>
                <w:highlight w:val="none"/>
              </w:rPr>
            </w:pPr>
            <w:r>
              <w:rPr>
                <w:rFonts w:hint="eastAsia" w:ascii="宋体" w:hAnsi="宋体" w:cs="宋体"/>
                <w:szCs w:val="21"/>
                <w:highlight w:val="none"/>
              </w:rPr>
              <w:t>技术负责人</w:t>
            </w:r>
          </w:p>
        </w:tc>
        <w:tc>
          <w:tcPr>
            <w:tcW w:w="746" w:type="dxa"/>
            <w:vAlign w:val="center"/>
          </w:tcPr>
          <w:p w14:paraId="6FE858D7">
            <w:pPr>
              <w:jc w:val="center"/>
              <w:rPr>
                <w:rFonts w:ascii="宋体" w:hAnsi="宋体" w:cs="宋体"/>
                <w:szCs w:val="21"/>
                <w:highlight w:val="none"/>
              </w:rPr>
            </w:pPr>
            <w:r>
              <w:rPr>
                <w:rFonts w:hint="eastAsia" w:ascii="宋体" w:hAnsi="宋体" w:cs="宋体"/>
                <w:szCs w:val="21"/>
                <w:highlight w:val="none"/>
              </w:rPr>
              <w:t>姓名</w:t>
            </w:r>
          </w:p>
        </w:tc>
        <w:tc>
          <w:tcPr>
            <w:tcW w:w="1052" w:type="dxa"/>
            <w:gridSpan w:val="2"/>
            <w:vAlign w:val="center"/>
          </w:tcPr>
          <w:p w14:paraId="186AC1F5">
            <w:pPr>
              <w:jc w:val="center"/>
              <w:rPr>
                <w:rFonts w:ascii="宋体" w:hAnsi="宋体" w:cs="宋体"/>
                <w:szCs w:val="21"/>
                <w:highlight w:val="none"/>
              </w:rPr>
            </w:pPr>
          </w:p>
        </w:tc>
        <w:tc>
          <w:tcPr>
            <w:tcW w:w="1249" w:type="dxa"/>
            <w:vAlign w:val="center"/>
          </w:tcPr>
          <w:p w14:paraId="61E4789C">
            <w:pPr>
              <w:jc w:val="center"/>
              <w:rPr>
                <w:rFonts w:ascii="宋体" w:hAnsi="宋体" w:cs="宋体"/>
                <w:szCs w:val="21"/>
                <w:highlight w:val="none"/>
              </w:rPr>
            </w:pPr>
            <w:r>
              <w:rPr>
                <w:rFonts w:hint="eastAsia" w:ascii="宋体" w:hAnsi="宋体" w:cs="宋体"/>
                <w:szCs w:val="21"/>
                <w:highlight w:val="none"/>
              </w:rPr>
              <w:t>技术职称</w:t>
            </w:r>
          </w:p>
        </w:tc>
        <w:tc>
          <w:tcPr>
            <w:tcW w:w="1398" w:type="dxa"/>
            <w:vAlign w:val="center"/>
          </w:tcPr>
          <w:p w14:paraId="3961227B">
            <w:pPr>
              <w:jc w:val="center"/>
              <w:rPr>
                <w:rFonts w:ascii="宋体" w:hAnsi="宋体" w:cs="宋体"/>
                <w:szCs w:val="21"/>
                <w:highlight w:val="none"/>
              </w:rPr>
            </w:pPr>
          </w:p>
        </w:tc>
        <w:tc>
          <w:tcPr>
            <w:tcW w:w="850" w:type="dxa"/>
            <w:vAlign w:val="center"/>
          </w:tcPr>
          <w:p w14:paraId="74BFE3A2">
            <w:pPr>
              <w:jc w:val="center"/>
              <w:rPr>
                <w:rFonts w:ascii="宋体" w:hAnsi="宋体" w:cs="宋体"/>
                <w:szCs w:val="21"/>
                <w:highlight w:val="none"/>
              </w:rPr>
            </w:pPr>
            <w:r>
              <w:rPr>
                <w:rFonts w:hint="eastAsia" w:ascii="宋体" w:hAnsi="宋体" w:cs="宋体"/>
                <w:szCs w:val="21"/>
                <w:highlight w:val="none"/>
              </w:rPr>
              <w:t>电话</w:t>
            </w:r>
          </w:p>
        </w:tc>
        <w:tc>
          <w:tcPr>
            <w:tcW w:w="1133" w:type="dxa"/>
            <w:vAlign w:val="center"/>
          </w:tcPr>
          <w:p w14:paraId="296E2D1D">
            <w:pPr>
              <w:jc w:val="center"/>
              <w:rPr>
                <w:rFonts w:ascii="宋体" w:hAnsi="宋体" w:cs="宋体"/>
                <w:szCs w:val="21"/>
                <w:highlight w:val="none"/>
              </w:rPr>
            </w:pPr>
          </w:p>
        </w:tc>
      </w:tr>
      <w:tr w14:paraId="2020C4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5" w:type="dxa"/>
            <w:vAlign w:val="center"/>
          </w:tcPr>
          <w:p w14:paraId="32499775">
            <w:pPr>
              <w:jc w:val="center"/>
              <w:rPr>
                <w:rFonts w:ascii="宋体" w:hAnsi="宋体" w:cs="宋体"/>
                <w:szCs w:val="21"/>
                <w:highlight w:val="none"/>
              </w:rPr>
            </w:pPr>
            <w:r>
              <w:rPr>
                <w:rFonts w:hint="eastAsia" w:ascii="宋体" w:hAnsi="宋体" w:cs="宋体"/>
                <w:szCs w:val="21"/>
                <w:highlight w:val="none"/>
              </w:rPr>
              <w:t>成立时间</w:t>
            </w:r>
          </w:p>
        </w:tc>
        <w:tc>
          <w:tcPr>
            <w:tcW w:w="1798" w:type="dxa"/>
            <w:gridSpan w:val="3"/>
            <w:vAlign w:val="center"/>
          </w:tcPr>
          <w:p w14:paraId="0556FE27">
            <w:pPr>
              <w:jc w:val="center"/>
              <w:rPr>
                <w:rFonts w:ascii="宋体" w:hAnsi="宋体" w:cs="宋体"/>
                <w:szCs w:val="21"/>
                <w:highlight w:val="none"/>
              </w:rPr>
            </w:pPr>
          </w:p>
        </w:tc>
        <w:tc>
          <w:tcPr>
            <w:tcW w:w="4630" w:type="dxa"/>
            <w:gridSpan w:val="4"/>
            <w:vAlign w:val="center"/>
          </w:tcPr>
          <w:p w14:paraId="2D549674">
            <w:pPr>
              <w:rPr>
                <w:rFonts w:ascii="宋体" w:hAnsi="宋体" w:cs="宋体"/>
                <w:szCs w:val="21"/>
                <w:highlight w:val="none"/>
              </w:rPr>
            </w:pPr>
            <w:r>
              <w:rPr>
                <w:rFonts w:hint="eastAsia" w:ascii="宋体" w:hAnsi="宋体" w:cs="宋体"/>
                <w:szCs w:val="21"/>
                <w:highlight w:val="none"/>
              </w:rPr>
              <w:t>员工总人数：</w:t>
            </w:r>
          </w:p>
        </w:tc>
      </w:tr>
      <w:tr w14:paraId="5BE7F2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5" w:type="dxa"/>
            <w:vAlign w:val="center"/>
          </w:tcPr>
          <w:p w14:paraId="1D43BC84">
            <w:pPr>
              <w:jc w:val="center"/>
              <w:rPr>
                <w:rFonts w:ascii="宋体" w:hAnsi="宋体" w:cs="宋体"/>
                <w:szCs w:val="21"/>
                <w:highlight w:val="none"/>
              </w:rPr>
            </w:pPr>
            <w:r>
              <w:rPr>
                <w:rFonts w:hint="eastAsia" w:ascii="宋体" w:hAnsi="宋体" w:cs="宋体"/>
                <w:szCs w:val="21"/>
                <w:highlight w:val="none"/>
              </w:rPr>
              <w:t>资质证书</w:t>
            </w:r>
          </w:p>
        </w:tc>
        <w:tc>
          <w:tcPr>
            <w:tcW w:w="1798" w:type="dxa"/>
            <w:gridSpan w:val="3"/>
            <w:vAlign w:val="center"/>
          </w:tcPr>
          <w:p w14:paraId="1FBCC70E">
            <w:pPr>
              <w:jc w:val="center"/>
              <w:rPr>
                <w:rFonts w:ascii="宋体" w:hAnsi="宋体" w:cs="宋体"/>
                <w:szCs w:val="21"/>
                <w:highlight w:val="none"/>
              </w:rPr>
            </w:pPr>
          </w:p>
        </w:tc>
        <w:tc>
          <w:tcPr>
            <w:tcW w:w="4630" w:type="dxa"/>
            <w:gridSpan w:val="4"/>
            <w:vAlign w:val="center"/>
          </w:tcPr>
          <w:p w14:paraId="1B8033B3">
            <w:pPr>
              <w:jc w:val="center"/>
              <w:rPr>
                <w:rFonts w:ascii="宋体" w:hAnsi="宋体" w:cs="宋体"/>
                <w:szCs w:val="21"/>
                <w:highlight w:val="none"/>
              </w:rPr>
            </w:pPr>
          </w:p>
        </w:tc>
      </w:tr>
      <w:tr w14:paraId="337D39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895" w:type="dxa"/>
            <w:vAlign w:val="center"/>
          </w:tcPr>
          <w:p w14:paraId="5F9173AC">
            <w:pPr>
              <w:jc w:val="center"/>
              <w:rPr>
                <w:rFonts w:ascii="宋体" w:hAnsi="宋体" w:cs="宋体"/>
                <w:szCs w:val="21"/>
                <w:highlight w:val="none"/>
              </w:rPr>
            </w:pPr>
            <w:r>
              <w:rPr>
                <w:rFonts w:hint="eastAsia" w:ascii="宋体" w:hAnsi="宋体" w:cs="宋体"/>
                <w:szCs w:val="21"/>
                <w:highlight w:val="none"/>
              </w:rPr>
              <w:t>注册登记凭证号（营业执照、其他组织经营的合法凭证）</w:t>
            </w:r>
          </w:p>
        </w:tc>
        <w:tc>
          <w:tcPr>
            <w:tcW w:w="1798" w:type="dxa"/>
            <w:gridSpan w:val="3"/>
            <w:vAlign w:val="center"/>
          </w:tcPr>
          <w:p w14:paraId="628A5205">
            <w:pPr>
              <w:jc w:val="center"/>
              <w:rPr>
                <w:rFonts w:ascii="宋体" w:hAnsi="宋体" w:cs="宋体"/>
                <w:szCs w:val="21"/>
                <w:highlight w:val="none"/>
              </w:rPr>
            </w:pPr>
          </w:p>
        </w:tc>
        <w:tc>
          <w:tcPr>
            <w:tcW w:w="4630" w:type="dxa"/>
            <w:gridSpan w:val="4"/>
            <w:vAlign w:val="center"/>
          </w:tcPr>
          <w:p w14:paraId="7A7D94B8">
            <w:pPr>
              <w:jc w:val="center"/>
              <w:rPr>
                <w:rFonts w:ascii="宋体" w:hAnsi="宋体" w:cs="宋体"/>
                <w:szCs w:val="21"/>
                <w:highlight w:val="none"/>
              </w:rPr>
            </w:pPr>
          </w:p>
        </w:tc>
      </w:tr>
      <w:tr w14:paraId="7F5398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5" w:type="dxa"/>
            <w:vAlign w:val="center"/>
          </w:tcPr>
          <w:p w14:paraId="3D78E3A1">
            <w:pPr>
              <w:jc w:val="center"/>
              <w:rPr>
                <w:rFonts w:ascii="宋体" w:hAnsi="宋体" w:cs="宋体"/>
                <w:szCs w:val="21"/>
                <w:highlight w:val="none"/>
              </w:rPr>
            </w:pPr>
            <w:r>
              <w:rPr>
                <w:rFonts w:hint="eastAsia" w:ascii="宋体" w:hAnsi="宋体" w:cs="宋体"/>
                <w:szCs w:val="21"/>
                <w:highlight w:val="none"/>
              </w:rPr>
              <w:t>注册资金</w:t>
            </w:r>
          </w:p>
        </w:tc>
        <w:tc>
          <w:tcPr>
            <w:tcW w:w="1798" w:type="dxa"/>
            <w:gridSpan w:val="3"/>
            <w:vAlign w:val="center"/>
          </w:tcPr>
          <w:p w14:paraId="70D7DF24">
            <w:pPr>
              <w:jc w:val="center"/>
              <w:rPr>
                <w:rFonts w:ascii="宋体" w:hAnsi="宋体" w:cs="宋体"/>
                <w:szCs w:val="21"/>
                <w:highlight w:val="none"/>
              </w:rPr>
            </w:pPr>
          </w:p>
        </w:tc>
        <w:tc>
          <w:tcPr>
            <w:tcW w:w="4630" w:type="dxa"/>
            <w:gridSpan w:val="4"/>
            <w:vAlign w:val="center"/>
          </w:tcPr>
          <w:p w14:paraId="7E923920">
            <w:pPr>
              <w:jc w:val="center"/>
              <w:rPr>
                <w:rFonts w:ascii="宋体" w:hAnsi="宋体" w:cs="宋体"/>
                <w:szCs w:val="21"/>
                <w:highlight w:val="none"/>
              </w:rPr>
            </w:pPr>
          </w:p>
        </w:tc>
      </w:tr>
      <w:tr w14:paraId="107E42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895" w:type="dxa"/>
            <w:tcBorders>
              <w:bottom w:val="single" w:color="auto" w:sz="12" w:space="0"/>
            </w:tcBorders>
            <w:vAlign w:val="center"/>
          </w:tcPr>
          <w:p w14:paraId="7B8E0A91">
            <w:pPr>
              <w:jc w:val="center"/>
              <w:rPr>
                <w:rFonts w:ascii="宋体" w:hAnsi="宋体" w:cs="宋体"/>
                <w:szCs w:val="21"/>
                <w:highlight w:val="none"/>
              </w:rPr>
            </w:pPr>
            <w:r>
              <w:rPr>
                <w:rFonts w:hint="eastAsia" w:ascii="宋体" w:hAnsi="宋体" w:cs="宋体"/>
                <w:szCs w:val="21"/>
                <w:highlight w:val="none"/>
              </w:rPr>
              <w:t>经营范围备注</w:t>
            </w:r>
          </w:p>
        </w:tc>
        <w:tc>
          <w:tcPr>
            <w:tcW w:w="6428" w:type="dxa"/>
            <w:gridSpan w:val="7"/>
            <w:tcBorders>
              <w:bottom w:val="single" w:color="auto" w:sz="12" w:space="0"/>
            </w:tcBorders>
          </w:tcPr>
          <w:p w14:paraId="23D4099B">
            <w:pPr>
              <w:ind w:firstLine="420" w:firstLineChars="200"/>
              <w:rPr>
                <w:rFonts w:ascii="宋体" w:hAnsi="宋体" w:cs="宋体"/>
                <w:szCs w:val="21"/>
                <w:highlight w:val="none"/>
              </w:rPr>
            </w:pPr>
          </w:p>
        </w:tc>
      </w:tr>
    </w:tbl>
    <w:p w14:paraId="2CDE9D80">
      <w:pPr>
        <w:snapToGrid w:val="0"/>
        <w:spacing w:line="500" w:lineRule="exact"/>
        <w:outlineLvl w:val="0"/>
        <w:rPr>
          <w:rFonts w:ascii="宋体" w:hAnsi="宋体" w:cs="宋体"/>
          <w:szCs w:val="21"/>
          <w:highlight w:val="none"/>
          <w:u w:val="single"/>
        </w:rPr>
      </w:pPr>
      <w:bookmarkStart w:id="121" w:name="_Toc23367"/>
      <w:bookmarkStart w:id="122" w:name="_Toc30637"/>
      <w:bookmarkStart w:id="123" w:name="_Toc14618"/>
      <w:bookmarkStart w:id="124" w:name="_Toc9800"/>
      <w:bookmarkStart w:id="125" w:name="_Toc1277"/>
      <w:bookmarkStart w:id="126" w:name="_Toc42518143"/>
      <w:bookmarkStart w:id="127" w:name="_Toc21984"/>
      <w:bookmarkStart w:id="128" w:name="_Toc20377"/>
      <w:r>
        <w:rPr>
          <w:rFonts w:hint="eastAsia" w:ascii="宋体" w:hAnsi="宋体" w:cs="宋体"/>
          <w:b/>
          <w:bCs/>
          <w:szCs w:val="21"/>
          <w:highlight w:val="none"/>
        </w:rPr>
        <w:t>注：填写上表后，供应商如认为有必要也可附其他文字或表格补充描述</w:t>
      </w:r>
      <w:r>
        <w:rPr>
          <w:rFonts w:hint="eastAsia" w:ascii="宋体" w:hAnsi="宋体" w:cs="宋体"/>
          <w:szCs w:val="21"/>
          <w:highlight w:val="none"/>
        </w:rPr>
        <w:t>。</w:t>
      </w:r>
      <w:bookmarkEnd w:id="121"/>
      <w:bookmarkEnd w:id="122"/>
      <w:bookmarkEnd w:id="123"/>
      <w:bookmarkEnd w:id="124"/>
      <w:bookmarkEnd w:id="125"/>
      <w:bookmarkEnd w:id="126"/>
      <w:bookmarkEnd w:id="127"/>
      <w:bookmarkEnd w:id="128"/>
    </w:p>
    <w:p w14:paraId="6E2FED37">
      <w:pPr>
        <w:rPr>
          <w:rFonts w:ascii="宋体" w:hAnsi="宋体" w:cs="宋体"/>
          <w:szCs w:val="21"/>
          <w:highlight w:val="none"/>
        </w:rPr>
      </w:pPr>
      <w:r>
        <w:rPr>
          <w:rFonts w:hint="eastAsia" w:ascii="宋体" w:hAnsi="宋体" w:cs="宋体"/>
          <w:szCs w:val="21"/>
          <w:highlight w:val="none"/>
        </w:rPr>
        <w:br w:type="page"/>
      </w:r>
    </w:p>
    <w:p w14:paraId="34D3A24D">
      <w:pPr>
        <w:spacing w:line="360" w:lineRule="auto"/>
        <w:ind w:firstLine="422" w:firstLineChars="200"/>
        <w:outlineLvl w:val="1"/>
        <w:rPr>
          <w:rFonts w:ascii="宋体" w:cs="宋体"/>
          <w:b/>
          <w:highlight w:val="none"/>
        </w:rPr>
      </w:pPr>
      <w:bookmarkStart w:id="129" w:name="_Toc29968"/>
      <w:bookmarkStart w:id="130" w:name="_Toc3641"/>
      <w:r>
        <w:rPr>
          <w:rFonts w:hint="eastAsia" w:ascii="宋体" w:hAnsi="宋体" w:cs="宋体"/>
          <w:b/>
          <w:highlight w:val="none"/>
        </w:rPr>
        <w:t>（一）供应商基本信息</w:t>
      </w:r>
      <w:bookmarkEnd w:id="129"/>
      <w:bookmarkEnd w:id="130"/>
    </w:p>
    <w:p w14:paraId="3B8DEA41">
      <w:pPr>
        <w:spacing w:line="360" w:lineRule="auto"/>
        <w:ind w:firstLine="420" w:firstLineChars="200"/>
        <w:rPr>
          <w:rFonts w:ascii="宋体" w:cs="宋体"/>
          <w:highlight w:val="none"/>
        </w:rPr>
      </w:pPr>
      <w:r>
        <w:rPr>
          <w:rFonts w:hint="eastAsia" w:ascii="宋体" w:hAnsi="宋体" w:cs="宋体"/>
          <w:highlight w:val="none"/>
        </w:rPr>
        <w:t>如设立时间、隶属关系、经营范围、资质等级及单位人员情况。</w:t>
      </w:r>
    </w:p>
    <w:p w14:paraId="6E8BAD7D">
      <w:pPr>
        <w:spacing w:line="360" w:lineRule="auto"/>
        <w:ind w:firstLine="422" w:firstLineChars="200"/>
        <w:outlineLvl w:val="1"/>
        <w:rPr>
          <w:rFonts w:ascii="宋体" w:cs="宋体"/>
          <w:b/>
          <w:highlight w:val="none"/>
        </w:rPr>
      </w:pPr>
      <w:bookmarkStart w:id="131" w:name="_Toc4801"/>
      <w:bookmarkStart w:id="132" w:name="_Toc3539"/>
      <w:bookmarkStart w:id="133" w:name="_Toc23482"/>
      <w:bookmarkStart w:id="134" w:name="_Toc32517"/>
      <w:bookmarkStart w:id="135" w:name="_Toc14280"/>
      <w:bookmarkStart w:id="136" w:name="_Toc7771"/>
      <w:bookmarkStart w:id="137" w:name="_Toc31248"/>
      <w:bookmarkStart w:id="138" w:name="_Toc4465"/>
      <w:bookmarkStart w:id="139" w:name="_Toc13970"/>
      <w:bookmarkStart w:id="140" w:name="_Toc5916"/>
      <w:bookmarkStart w:id="141" w:name="_Toc12402"/>
      <w:bookmarkStart w:id="142" w:name="_Toc4255"/>
      <w:r>
        <w:rPr>
          <w:rFonts w:hint="eastAsia" w:ascii="宋体" w:hAnsi="宋体" w:cs="宋体"/>
          <w:b/>
          <w:highlight w:val="none"/>
        </w:rPr>
        <w:t>（二）供应商性质</w:t>
      </w:r>
      <w:bookmarkEnd w:id="131"/>
      <w:bookmarkEnd w:id="132"/>
      <w:bookmarkEnd w:id="133"/>
      <w:bookmarkEnd w:id="134"/>
      <w:bookmarkEnd w:id="135"/>
      <w:bookmarkEnd w:id="136"/>
      <w:bookmarkEnd w:id="137"/>
      <w:bookmarkEnd w:id="138"/>
      <w:bookmarkEnd w:id="139"/>
      <w:bookmarkEnd w:id="140"/>
      <w:bookmarkEnd w:id="141"/>
      <w:bookmarkEnd w:id="142"/>
    </w:p>
    <w:p w14:paraId="7D761A44">
      <w:pPr>
        <w:spacing w:line="360" w:lineRule="auto"/>
        <w:ind w:firstLine="420" w:firstLineChars="200"/>
        <w:rPr>
          <w:rFonts w:ascii="宋体" w:hAnsi="宋体" w:cs="宋体"/>
          <w:b/>
          <w:highlight w:val="none"/>
        </w:rPr>
      </w:pPr>
      <w:r>
        <w:rPr>
          <w:rFonts w:hint="eastAsia" w:ascii="宋体" w:hAnsi="宋体" w:cs="宋体"/>
          <w:bCs/>
          <w:highlight w:val="none"/>
        </w:rPr>
        <w:t>中小企业单位投标时，应提供《中小企业声明函》，</w:t>
      </w:r>
      <w:r>
        <w:rPr>
          <w:rFonts w:hint="eastAsia" w:ascii="宋体" w:hAnsi="宋体" w:cs="宋体"/>
          <w:b/>
          <w:highlight w:val="none"/>
        </w:rPr>
        <w:t>未提供的按无效投标处理。</w:t>
      </w:r>
    </w:p>
    <w:p w14:paraId="3626B9C2">
      <w:pPr>
        <w:widowControl/>
        <w:spacing w:line="360" w:lineRule="auto"/>
        <w:ind w:firstLine="420" w:firstLineChars="200"/>
        <w:rPr>
          <w:rFonts w:ascii="宋体" w:hAnsi="宋体" w:cs="宋体"/>
          <w:b/>
          <w:bCs/>
          <w:szCs w:val="21"/>
          <w:highlight w:val="none"/>
        </w:rPr>
      </w:pPr>
      <w:r>
        <w:rPr>
          <w:rFonts w:hint="eastAsia" w:ascii="宋体" w:hAnsi="宋体" w:cs="宋体"/>
          <w:bCs/>
          <w:highlight w:val="none"/>
        </w:rPr>
        <w:t>残疾人福利性单位投标时，应当提供《残疾人福利性单位声明函》并对声明的真实性负责。无需提供其他证明声明函内容的材料。</w:t>
      </w:r>
    </w:p>
    <w:p w14:paraId="7FF9972D">
      <w:pPr>
        <w:widowControl/>
        <w:spacing w:line="360" w:lineRule="auto"/>
        <w:ind w:firstLine="420" w:firstLineChars="200"/>
        <w:rPr>
          <w:rFonts w:ascii="宋体" w:hAnsi="宋体" w:cs="宋体"/>
          <w:szCs w:val="21"/>
          <w:highlight w:val="none"/>
        </w:rPr>
      </w:pPr>
      <w:r>
        <w:rPr>
          <w:rFonts w:hint="eastAsia" w:ascii="宋体" w:hAnsi="宋体" w:cs="宋体"/>
          <w:highlight w:val="none"/>
        </w:rPr>
        <w:t>监狱企业投标时，应当提供由省级以上监狱管理局、戒毒管理局（含新疆生产建设兵团）出具的属于监狱企业的</w:t>
      </w:r>
      <w:r>
        <w:rPr>
          <w:rFonts w:hint="eastAsia" w:ascii="宋体" w:hAnsi="宋体" w:cs="宋体"/>
          <w:b/>
          <w:bCs/>
          <w:highlight w:val="none"/>
        </w:rPr>
        <w:t>证明文件</w:t>
      </w:r>
      <w:r>
        <w:rPr>
          <w:rFonts w:hint="eastAsia" w:ascii="宋体" w:hAnsi="宋体" w:cs="宋体"/>
          <w:highlight w:val="none"/>
        </w:rPr>
        <w:t>（格式不做要求）。</w:t>
      </w:r>
    </w:p>
    <w:p w14:paraId="50F8DD18">
      <w:pPr>
        <w:spacing w:before="156" w:beforeLines="50" w:line="360" w:lineRule="auto"/>
        <w:ind w:firstLine="436" w:firstLineChars="200"/>
        <w:rPr>
          <w:rFonts w:ascii="宋体" w:hAnsi="宋体" w:cs="宋体"/>
          <w:b/>
          <w:bCs/>
          <w:highlight w:val="none"/>
        </w:rPr>
      </w:pPr>
      <w:r>
        <w:rPr>
          <w:rFonts w:hint="eastAsia" w:ascii="宋体" w:hAnsi="宋体" w:cs="宋体"/>
          <w:spacing w:val="4"/>
          <w:szCs w:val="21"/>
          <w:highlight w:val="none"/>
        </w:rPr>
        <w:t>残疾人福利性单位、</w:t>
      </w:r>
      <w:r>
        <w:rPr>
          <w:rFonts w:hint="eastAsia" w:ascii="宋体" w:hAnsi="宋体" w:cs="宋体"/>
          <w:highlight w:val="none"/>
        </w:rPr>
        <w:t>监狱企业</w:t>
      </w:r>
      <w:r>
        <w:rPr>
          <w:rFonts w:hint="eastAsia" w:ascii="宋体" w:hAnsi="宋体" w:cs="宋体"/>
          <w:spacing w:val="4"/>
          <w:szCs w:val="21"/>
          <w:highlight w:val="none"/>
        </w:rPr>
        <w:t>视同小型、微型企业，如残疾人福利性单位、</w:t>
      </w:r>
      <w:r>
        <w:rPr>
          <w:rFonts w:hint="eastAsia" w:ascii="宋体" w:hAnsi="宋体" w:cs="宋体"/>
          <w:highlight w:val="none"/>
        </w:rPr>
        <w:t>监狱企业参与，则仅需提供</w:t>
      </w:r>
      <w:r>
        <w:rPr>
          <w:rFonts w:hint="eastAsia" w:ascii="宋体" w:hAnsi="宋体" w:cs="宋体"/>
          <w:bCs/>
          <w:highlight w:val="none"/>
        </w:rPr>
        <w:t>《残疾人福利性单位声明函》或</w:t>
      </w:r>
      <w:r>
        <w:rPr>
          <w:rFonts w:hint="eastAsia" w:ascii="宋体" w:hAnsi="宋体" w:cs="宋体"/>
          <w:highlight w:val="none"/>
        </w:rPr>
        <w:t>属于监狱企业的证明文件即可</w:t>
      </w:r>
      <w:r>
        <w:rPr>
          <w:rFonts w:hint="eastAsia" w:ascii="宋体" w:hAnsi="宋体" w:cs="宋体"/>
          <w:b/>
          <w:bCs/>
          <w:szCs w:val="21"/>
          <w:highlight w:val="none"/>
        </w:rPr>
        <w:t>。</w:t>
      </w:r>
    </w:p>
    <w:p w14:paraId="1024A825">
      <w:pPr>
        <w:spacing w:before="156" w:beforeLines="50" w:line="360" w:lineRule="auto"/>
        <w:ind w:firstLine="422" w:firstLineChars="200"/>
        <w:rPr>
          <w:rFonts w:ascii="宋体" w:cs="宋体"/>
          <w:b/>
          <w:bCs/>
          <w:highlight w:val="none"/>
        </w:rPr>
      </w:pPr>
      <w:r>
        <w:rPr>
          <w:rFonts w:hint="eastAsia" w:ascii="宋体" w:hAnsi="宋体" w:cs="宋体"/>
          <w:b/>
          <w:bCs/>
          <w:highlight w:val="none"/>
        </w:rPr>
        <w:t>特别提醒：供应商性质（证明文件）将随成交公告一同公布。</w:t>
      </w:r>
    </w:p>
    <w:p w14:paraId="1AFB9349">
      <w:pPr>
        <w:spacing w:line="360" w:lineRule="auto"/>
        <w:ind w:firstLine="422" w:firstLineChars="200"/>
        <w:outlineLvl w:val="1"/>
        <w:rPr>
          <w:rFonts w:ascii="宋体" w:cs="宋体"/>
          <w:b/>
          <w:highlight w:val="none"/>
        </w:rPr>
      </w:pPr>
      <w:bookmarkStart w:id="143" w:name="_Toc12527"/>
      <w:bookmarkStart w:id="144" w:name="_Toc5857"/>
      <w:bookmarkStart w:id="145" w:name="_Toc29985"/>
      <w:bookmarkStart w:id="146" w:name="_Toc12072"/>
      <w:bookmarkStart w:id="147" w:name="_Toc12915"/>
      <w:bookmarkStart w:id="148" w:name="_Toc18609"/>
      <w:bookmarkStart w:id="149" w:name="_Toc28696"/>
      <w:bookmarkStart w:id="150" w:name="_Toc3637"/>
      <w:bookmarkStart w:id="151" w:name="_Toc23498"/>
      <w:bookmarkStart w:id="152" w:name="_Toc31550"/>
      <w:bookmarkStart w:id="153" w:name="_Toc12074"/>
      <w:bookmarkStart w:id="154" w:name="_Toc29341"/>
      <w:r>
        <w:rPr>
          <w:rFonts w:hint="eastAsia" w:ascii="宋体" w:hAnsi="宋体" w:cs="宋体"/>
          <w:b/>
          <w:highlight w:val="none"/>
        </w:rPr>
        <w:t>（三）其他</w:t>
      </w:r>
      <w:bookmarkEnd w:id="143"/>
      <w:bookmarkEnd w:id="144"/>
      <w:bookmarkEnd w:id="145"/>
      <w:bookmarkEnd w:id="146"/>
      <w:bookmarkEnd w:id="147"/>
      <w:bookmarkEnd w:id="148"/>
      <w:bookmarkEnd w:id="149"/>
      <w:bookmarkEnd w:id="150"/>
      <w:bookmarkEnd w:id="151"/>
      <w:bookmarkEnd w:id="152"/>
      <w:bookmarkEnd w:id="153"/>
      <w:bookmarkEnd w:id="154"/>
    </w:p>
    <w:p w14:paraId="0A3BE015">
      <w:pPr>
        <w:tabs>
          <w:tab w:val="right" w:pos="8364"/>
        </w:tabs>
        <w:spacing w:line="360" w:lineRule="auto"/>
        <w:ind w:firstLine="420" w:firstLineChars="200"/>
        <w:jc w:val="left"/>
        <w:rPr>
          <w:rFonts w:ascii="宋体" w:hAnsi="宋体" w:cs="宋体"/>
          <w:highlight w:val="none"/>
        </w:rPr>
      </w:pPr>
      <w:r>
        <w:rPr>
          <w:rFonts w:hint="eastAsia" w:ascii="宋体" w:hAnsi="宋体" w:cs="宋体"/>
          <w:highlight w:val="none"/>
        </w:rPr>
        <w:t>如：经营状况、用户评价等。</w:t>
      </w:r>
    </w:p>
    <w:p w14:paraId="294D9A7A">
      <w:pPr>
        <w:pStyle w:val="5"/>
        <w:keepNext w:val="0"/>
        <w:keepLines w:val="0"/>
        <w:spacing w:line="240" w:lineRule="auto"/>
        <w:rPr>
          <w:rFonts w:ascii="宋体" w:hAnsi="宋体" w:cs="宋体"/>
          <w:sz w:val="36"/>
          <w:szCs w:val="36"/>
          <w:highlight w:val="none"/>
        </w:rPr>
      </w:pPr>
      <w:r>
        <w:rPr>
          <w:rFonts w:hint="eastAsia" w:ascii="宋体" w:hAnsi="宋体" w:cs="宋体"/>
          <w:highlight w:val="none"/>
        </w:rPr>
        <w:br w:type="page"/>
      </w:r>
      <w:r>
        <w:rPr>
          <w:rFonts w:hint="eastAsia" w:ascii="宋体" w:hAnsi="宋体" w:cs="宋体"/>
          <w:sz w:val="24"/>
          <w:szCs w:val="24"/>
          <w:highlight w:val="none"/>
        </w:rPr>
        <w:t>附件：格式</w:t>
      </w:r>
    </w:p>
    <w:p w14:paraId="7B258614">
      <w:pPr>
        <w:spacing w:before="312" w:beforeLines="100" w:after="312" w:afterLines="100" w:line="360" w:lineRule="auto"/>
        <w:jc w:val="center"/>
        <w:outlineLvl w:val="0"/>
        <w:rPr>
          <w:rFonts w:ascii="宋体" w:hAnsi="宋体" w:cs="宋体"/>
          <w:b/>
          <w:bCs/>
          <w:highlight w:val="none"/>
        </w:rPr>
      </w:pPr>
      <w:bookmarkStart w:id="155" w:name="_Toc4630"/>
      <w:bookmarkStart w:id="156" w:name="_Toc23356"/>
      <w:bookmarkStart w:id="157" w:name="_Toc22664"/>
      <w:r>
        <w:rPr>
          <w:rFonts w:hint="eastAsia" w:ascii="宋体" w:hAnsi="宋体" w:cs="宋体"/>
          <w:b/>
          <w:bCs/>
          <w:sz w:val="32"/>
          <w:szCs w:val="32"/>
          <w:highlight w:val="none"/>
        </w:rPr>
        <w:t>供应商业绩一览表</w:t>
      </w:r>
      <w:bookmarkEnd w:id="155"/>
      <w:bookmarkEnd w:id="156"/>
      <w:bookmarkEnd w:id="157"/>
    </w:p>
    <w:tbl>
      <w:tblPr>
        <w:tblStyle w:val="12"/>
        <w:tblW w:w="0" w:type="auto"/>
        <w:tblInd w:w="9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6153"/>
      </w:tblGrid>
      <w:tr w14:paraId="4351D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24" w:hRule="atLeast"/>
        </w:trPr>
        <w:tc>
          <w:tcPr>
            <w:tcW w:w="2173" w:type="dxa"/>
            <w:tcBorders>
              <w:top w:val="single" w:color="auto" w:sz="12" w:space="0"/>
            </w:tcBorders>
            <w:vAlign w:val="center"/>
          </w:tcPr>
          <w:p w14:paraId="01F52542">
            <w:pPr>
              <w:topLinePunct/>
              <w:spacing w:line="440" w:lineRule="exact"/>
              <w:jc w:val="center"/>
              <w:rPr>
                <w:rFonts w:ascii="宋体" w:hAnsi="宋体" w:cs="宋体"/>
                <w:szCs w:val="21"/>
                <w:highlight w:val="none"/>
              </w:rPr>
            </w:pPr>
            <w:r>
              <w:rPr>
                <w:rFonts w:hint="eastAsia" w:ascii="宋体" w:hAnsi="宋体" w:cs="宋体"/>
                <w:szCs w:val="21"/>
                <w:highlight w:val="none"/>
              </w:rPr>
              <w:t>项目名称</w:t>
            </w:r>
          </w:p>
        </w:tc>
        <w:tc>
          <w:tcPr>
            <w:tcW w:w="6153" w:type="dxa"/>
            <w:tcBorders>
              <w:top w:val="single" w:color="auto" w:sz="12" w:space="0"/>
            </w:tcBorders>
          </w:tcPr>
          <w:p w14:paraId="537BE6F2">
            <w:pPr>
              <w:topLinePunct/>
              <w:spacing w:line="440" w:lineRule="exact"/>
              <w:rPr>
                <w:rFonts w:ascii="宋体" w:hAnsi="宋体" w:cs="宋体"/>
                <w:szCs w:val="21"/>
                <w:highlight w:val="none"/>
              </w:rPr>
            </w:pPr>
          </w:p>
        </w:tc>
      </w:tr>
      <w:tr w14:paraId="2F8C4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73" w:type="dxa"/>
            <w:vAlign w:val="center"/>
          </w:tcPr>
          <w:p w14:paraId="78B35187">
            <w:pPr>
              <w:topLinePunct/>
              <w:spacing w:line="440" w:lineRule="exact"/>
              <w:jc w:val="center"/>
              <w:rPr>
                <w:rFonts w:ascii="宋体" w:hAnsi="宋体" w:cs="宋体"/>
                <w:szCs w:val="21"/>
                <w:highlight w:val="none"/>
              </w:rPr>
            </w:pPr>
            <w:r>
              <w:rPr>
                <w:rFonts w:hint="eastAsia" w:ascii="宋体" w:hAnsi="宋体" w:cs="宋体"/>
                <w:szCs w:val="21"/>
                <w:highlight w:val="none"/>
              </w:rPr>
              <w:t>履行时间</w:t>
            </w:r>
          </w:p>
        </w:tc>
        <w:tc>
          <w:tcPr>
            <w:tcW w:w="6153" w:type="dxa"/>
          </w:tcPr>
          <w:p w14:paraId="076E1FE0">
            <w:pPr>
              <w:topLinePunct/>
              <w:spacing w:line="440" w:lineRule="exact"/>
              <w:rPr>
                <w:rFonts w:ascii="宋体" w:hAnsi="宋体" w:cs="宋体"/>
                <w:szCs w:val="21"/>
                <w:highlight w:val="none"/>
              </w:rPr>
            </w:pPr>
          </w:p>
        </w:tc>
      </w:tr>
      <w:tr w14:paraId="59953C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73" w:type="dxa"/>
            <w:vAlign w:val="center"/>
          </w:tcPr>
          <w:p w14:paraId="6E8484EC">
            <w:pPr>
              <w:topLinePunct/>
              <w:spacing w:line="440" w:lineRule="exact"/>
              <w:jc w:val="center"/>
              <w:rPr>
                <w:rFonts w:ascii="宋体" w:hAnsi="宋体" w:cs="宋体"/>
                <w:szCs w:val="21"/>
                <w:highlight w:val="none"/>
              </w:rPr>
            </w:pPr>
            <w:r>
              <w:rPr>
                <w:rFonts w:hint="eastAsia" w:ascii="宋体" w:hAnsi="宋体" w:cs="宋体"/>
                <w:szCs w:val="21"/>
                <w:highlight w:val="none"/>
              </w:rPr>
              <w:t>采购内容</w:t>
            </w:r>
          </w:p>
        </w:tc>
        <w:tc>
          <w:tcPr>
            <w:tcW w:w="6153" w:type="dxa"/>
          </w:tcPr>
          <w:p w14:paraId="325343C0">
            <w:pPr>
              <w:topLinePunct/>
              <w:spacing w:line="440" w:lineRule="exact"/>
              <w:rPr>
                <w:rFonts w:ascii="宋体" w:hAnsi="宋体" w:cs="宋体"/>
                <w:szCs w:val="21"/>
                <w:highlight w:val="none"/>
              </w:rPr>
            </w:pPr>
          </w:p>
        </w:tc>
      </w:tr>
      <w:tr w14:paraId="73243D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73" w:type="dxa"/>
            <w:vAlign w:val="center"/>
          </w:tcPr>
          <w:p w14:paraId="65778677">
            <w:pPr>
              <w:topLinePunct/>
              <w:spacing w:line="440" w:lineRule="exact"/>
              <w:jc w:val="center"/>
              <w:rPr>
                <w:rFonts w:ascii="宋体" w:hAnsi="宋体" w:cs="宋体"/>
                <w:szCs w:val="21"/>
                <w:highlight w:val="none"/>
              </w:rPr>
            </w:pPr>
            <w:r>
              <w:rPr>
                <w:rFonts w:hint="eastAsia" w:ascii="宋体" w:hAnsi="宋体" w:cs="宋体"/>
                <w:szCs w:val="21"/>
                <w:highlight w:val="none"/>
              </w:rPr>
              <w:t>甲方名称</w:t>
            </w:r>
          </w:p>
        </w:tc>
        <w:tc>
          <w:tcPr>
            <w:tcW w:w="6153" w:type="dxa"/>
          </w:tcPr>
          <w:p w14:paraId="298009F2">
            <w:pPr>
              <w:topLinePunct/>
              <w:spacing w:line="440" w:lineRule="exact"/>
              <w:rPr>
                <w:rFonts w:ascii="宋体" w:hAnsi="宋体" w:cs="宋体"/>
                <w:szCs w:val="21"/>
                <w:highlight w:val="none"/>
              </w:rPr>
            </w:pPr>
          </w:p>
        </w:tc>
      </w:tr>
      <w:tr w14:paraId="384BB7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73" w:type="dxa"/>
            <w:vAlign w:val="center"/>
          </w:tcPr>
          <w:p w14:paraId="7E597045">
            <w:pPr>
              <w:topLinePunct/>
              <w:spacing w:line="440" w:lineRule="exact"/>
              <w:jc w:val="center"/>
              <w:rPr>
                <w:rFonts w:ascii="宋体" w:hAnsi="宋体" w:cs="宋体"/>
                <w:szCs w:val="21"/>
                <w:highlight w:val="none"/>
              </w:rPr>
            </w:pPr>
            <w:r>
              <w:rPr>
                <w:rFonts w:hint="eastAsia" w:ascii="宋体" w:hAnsi="宋体" w:cs="宋体"/>
                <w:szCs w:val="21"/>
                <w:highlight w:val="none"/>
              </w:rPr>
              <w:t>甲方联系人及电话</w:t>
            </w:r>
          </w:p>
        </w:tc>
        <w:tc>
          <w:tcPr>
            <w:tcW w:w="6153" w:type="dxa"/>
          </w:tcPr>
          <w:p w14:paraId="6808801E">
            <w:pPr>
              <w:topLinePunct/>
              <w:spacing w:line="440" w:lineRule="exact"/>
              <w:rPr>
                <w:rFonts w:ascii="宋体" w:hAnsi="宋体" w:cs="宋体"/>
                <w:szCs w:val="21"/>
                <w:highlight w:val="none"/>
              </w:rPr>
            </w:pPr>
          </w:p>
        </w:tc>
      </w:tr>
      <w:tr w14:paraId="0F3BAA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73" w:type="dxa"/>
            <w:vAlign w:val="center"/>
          </w:tcPr>
          <w:p w14:paraId="3E0FE5A4">
            <w:pPr>
              <w:topLinePunct/>
              <w:spacing w:line="440" w:lineRule="exact"/>
              <w:jc w:val="center"/>
              <w:rPr>
                <w:rFonts w:ascii="宋体" w:hAnsi="宋体" w:cs="宋体"/>
                <w:szCs w:val="21"/>
                <w:highlight w:val="none"/>
              </w:rPr>
            </w:pPr>
            <w:r>
              <w:rPr>
                <w:rFonts w:hint="eastAsia" w:ascii="宋体" w:hAnsi="宋体" w:cs="宋体"/>
                <w:szCs w:val="21"/>
                <w:highlight w:val="none"/>
              </w:rPr>
              <w:t>合同价格</w:t>
            </w:r>
          </w:p>
        </w:tc>
        <w:tc>
          <w:tcPr>
            <w:tcW w:w="6153" w:type="dxa"/>
          </w:tcPr>
          <w:p w14:paraId="5C7E4346">
            <w:pPr>
              <w:topLinePunct/>
              <w:spacing w:line="440" w:lineRule="exact"/>
              <w:rPr>
                <w:rFonts w:ascii="宋体" w:hAnsi="宋体" w:cs="宋体"/>
                <w:szCs w:val="21"/>
                <w:highlight w:val="none"/>
              </w:rPr>
            </w:pPr>
          </w:p>
        </w:tc>
      </w:tr>
      <w:tr w14:paraId="4C69A8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2173" w:type="dxa"/>
            <w:vAlign w:val="center"/>
          </w:tcPr>
          <w:p w14:paraId="14A5F32F">
            <w:pPr>
              <w:topLinePunct/>
              <w:spacing w:line="440" w:lineRule="exact"/>
              <w:jc w:val="center"/>
              <w:rPr>
                <w:rFonts w:ascii="宋体" w:hAnsi="宋体" w:cs="宋体"/>
                <w:szCs w:val="21"/>
                <w:highlight w:val="none"/>
              </w:rPr>
            </w:pPr>
            <w:r>
              <w:rPr>
                <w:rFonts w:hint="eastAsia" w:ascii="宋体" w:hAnsi="宋体" w:cs="宋体"/>
                <w:szCs w:val="21"/>
                <w:highlight w:val="none"/>
              </w:rPr>
              <w:t>项目概况及供应商</w:t>
            </w:r>
          </w:p>
          <w:p w14:paraId="548EC850">
            <w:pPr>
              <w:topLinePunct/>
              <w:spacing w:line="440" w:lineRule="exact"/>
              <w:jc w:val="center"/>
              <w:rPr>
                <w:rFonts w:ascii="宋体" w:hAnsi="宋体" w:cs="宋体"/>
                <w:szCs w:val="21"/>
                <w:highlight w:val="none"/>
              </w:rPr>
            </w:pPr>
            <w:r>
              <w:rPr>
                <w:rFonts w:hint="eastAsia" w:ascii="宋体" w:hAnsi="宋体" w:cs="宋体"/>
                <w:szCs w:val="21"/>
                <w:highlight w:val="none"/>
              </w:rPr>
              <w:t>履约情况</w:t>
            </w:r>
          </w:p>
        </w:tc>
        <w:tc>
          <w:tcPr>
            <w:tcW w:w="6153" w:type="dxa"/>
          </w:tcPr>
          <w:p w14:paraId="49FB5525">
            <w:pPr>
              <w:topLinePunct/>
              <w:spacing w:line="440" w:lineRule="exact"/>
              <w:rPr>
                <w:rFonts w:ascii="宋体" w:hAnsi="宋体" w:cs="宋体"/>
                <w:szCs w:val="21"/>
                <w:highlight w:val="none"/>
              </w:rPr>
            </w:pPr>
          </w:p>
          <w:p w14:paraId="14937B49">
            <w:pPr>
              <w:topLinePunct/>
              <w:spacing w:line="440" w:lineRule="exact"/>
              <w:rPr>
                <w:rFonts w:ascii="宋体" w:hAnsi="宋体" w:cs="宋体"/>
                <w:szCs w:val="21"/>
                <w:highlight w:val="none"/>
              </w:rPr>
            </w:pPr>
          </w:p>
          <w:p w14:paraId="4D4213F4">
            <w:pPr>
              <w:topLinePunct/>
              <w:spacing w:line="440" w:lineRule="exact"/>
              <w:rPr>
                <w:rFonts w:ascii="宋体" w:hAnsi="宋体" w:cs="宋体"/>
                <w:szCs w:val="21"/>
                <w:highlight w:val="none"/>
              </w:rPr>
            </w:pPr>
          </w:p>
          <w:p w14:paraId="2A58BC1E">
            <w:pPr>
              <w:topLinePunct/>
              <w:spacing w:line="440" w:lineRule="exact"/>
              <w:rPr>
                <w:rFonts w:ascii="宋体" w:hAnsi="宋体" w:cs="宋体"/>
                <w:szCs w:val="21"/>
                <w:highlight w:val="none"/>
              </w:rPr>
            </w:pPr>
          </w:p>
          <w:p w14:paraId="7B5C4A26">
            <w:pPr>
              <w:topLinePunct/>
              <w:spacing w:line="440" w:lineRule="exact"/>
              <w:rPr>
                <w:rFonts w:ascii="宋体" w:hAnsi="宋体" w:cs="宋体"/>
                <w:szCs w:val="21"/>
                <w:highlight w:val="none"/>
              </w:rPr>
            </w:pPr>
          </w:p>
          <w:p w14:paraId="74C05C6B">
            <w:pPr>
              <w:topLinePunct/>
              <w:spacing w:line="440" w:lineRule="exact"/>
              <w:rPr>
                <w:rFonts w:ascii="宋体" w:hAnsi="宋体" w:cs="宋体"/>
                <w:szCs w:val="21"/>
                <w:highlight w:val="none"/>
              </w:rPr>
            </w:pPr>
          </w:p>
          <w:p w14:paraId="33FB673C">
            <w:pPr>
              <w:topLinePunct/>
              <w:spacing w:line="440" w:lineRule="exact"/>
              <w:rPr>
                <w:rFonts w:ascii="宋体" w:hAnsi="宋体" w:cs="宋体"/>
                <w:szCs w:val="21"/>
                <w:highlight w:val="none"/>
              </w:rPr>
            </w:pPr>
          </w:p>
        </w:tc>
      </w:tr>
      <w:tr w14:paraId="2F627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73" w:type="dxa"/>
            <w:tcBorders>
              <w:bottom w:val="single" w:color="auto" w:sz="12" w:space="0"/>
            </w:tcBorders>
            <w:vAlign w:val="center"/>
          </w:tcPr>
          <w:p w14:paraId="5D13229B">
            <w:pPr>
              <w:topLinePunct/>
              <w:spacing w:line="440" w:lineRule="exact"/>
              <w:jc w:val="center"/>
              <w:rPr>
                <w:rFonts w:ascii="宋体" w:hAnsi="宋体" w:cs="宋体"/>
                <w:szCs w:val="21"/>
                <w:highlight w:val="none"/>
              </w:rPr>
            </w:pPr>
            <w:r>
              <w:rPr>
                <w:rFonts w:hint="eastAsia" w:ascii="宋体" w:hAnsi="宋体" w:cs="宋体"/>
                <w:szCs w:val="21"/>
                <w:highlight w:val="none"/>
              </w:rPr>
              <w:t>备注</w:t>
            </w:r>
          </w:p>
        </w:tc>
        <w:tc>
          <w:tcPr>
            <w:tcW w:w="6153" w:type="dxa"/>
            <w:tcBorders>
              <w:bottom w:val="single" w:color="auto" w:sz="12" w:space="0"/>
            </w:tcBorders>
          </w:tcPr>
          <w:p w14:paraId="2E9EBA21">
            <w:pPr>
              <w:topLinePunct/>
              <w:spacing w:line="440" w:lineRule="exact"/>
              <w:rPr>
                <w:rFonts w:ascii="宋体" w:hAnsi="宋体" w:cs="宋体"/>
                <w:szCs w:val="21"/>
                <w:highlight w:val="none"/>
              </w:rPr>
            </w:pPr>
          </w:p>
        </w:tc>
      </w:tr>
    </w:tbl>
    <w:p w14:paraId="6974FC31">
      <w:pPr>
        <w:jc w:val="left"/>
        <w:rPr>
          <w:rFonts w:ascii="宋体" w:hAnsi="宋体" w:cs="宋体"/>
          <w:highlight w:val="none"/>
        </w:rPr>
      </w:pPr>
      <w:r>
        <w:rPr>
          <w:rFonts w:hint="eastAsia" w:ascii="宋体" w:hAnsi="宋体" w:cs="宋体"/>
          <w:b/>
          <w:bCs/>
          <w:szCs w:val="21"/>
          <w:highlight w:val="none"/>
        </w:rPr>
        <w:t>注：每份有效业绩单独填写上表，后附合同复印件为依据。</w:t>
      </w:r>
    </w:p>
    <w:p w14:paraId="6862D3C8">
      <w:pPr>
        <w:rPr>
          <w:highlight w:val="none"/>
        </w:rPr>
      </w:pPr>
      <w:r>
        <w:rPr>
          <w:highlight w:val="none"/>
        </w:rPr>
        <w:br w:type="page"/>
      </w:r>
    </w:p>
    <w:p w14:paraId="343CD69A">
      <w:pPr>
        <w:spacing w:line="360" w:lineRule="auto"/>
        <w:jc w:val="left"/>
        <w:rPr>
          <w:rFonts w:ascii="宋体" w:hAnsi="宋体" w:cs="宋体"/>
          <w:b/>
          <w:sz w:val="24"/>
          <w:szCs w:val="24"/>
          <w:highlight w:val="none"/>
        </w:rPr>
      </w:pPr>
      <w:r>
        <w:rPr>
          <w:rFonts w:hint="eastAsia" w:ascii="宋体" w:hAnsi="宋体" w:cs="宋体"/>
          <w:b/>
          <w:sz w:val="24"/>
          <w:szCs w:val="24"/>
          <w:highlight w:val="none"/>
        </w:rPr>
        <w:t>附件：格式</w:t>
      </w:r>
    </w:p>
    <w:p w14:paraId="2965F056">
      <w:pPr>
        <w:pStyle w:val="5"/>
        <w:keepNext w:val="0"/>
        <w:keepLines w:val="0"/>
        <w:widowControl/>
        <w:spacing w:before="312" w:beforeLines="100" w:after="312" w:afterLines="100" w:line="360" w:lineRule="auto"/>
        <w:jc w:val="center"/>
        <w:textAlignment w:val="baseline"/>
        <w:rPr>
          <w:rFonts w:ascii="宋体" w:hAnsi="宋体" w:cs="宋体"/>
          <w:sz w:val="36"/>
          <w:szCs w:val="36"/>
          <w:highlight w:val="none"/>
        </w:rPr>
      </w:pPr>
      <w:r>
        <w:rPr>
          <w:rFonts w:hint="eastAsia" w:ascii="宋体" w:hAnsi="宋体" w:cs="宋体"/>
          <w:sz w:val="36"/>
          <w:szCs w:val="36"/>
          <w:highlight w:val="none"/>
        </w:rPr>
        <w:t>中小企业声明函（服务）</w:t>
      </w:r>
    </w:p>
    <w:p w14:paraId="6A8D42B1">
      <w:pPr>
        <w:spacing w:line="360" w:lineRule="auto"/>
        <w:ind w:firstLine="436" w:firstLineChars="200"/>
        <w:jc w:val="left"/>
        <w:rPr>
          <w:rFonts w:ascii="宋体" w:hAnsi="宋体" w:cs="宋体"/>
          <w:spacing w:val="4"/>
          <w:szCs w:val="21"/>
          <w:highlight w:val="none"/>
        </w:rPr>
      </w:pPr>
      <w:r>
        <w:rPr>
          <w:rFonts w:hint="eastAsia" w:ascii="宋体" w:hAnsi="宋体" w:cs="宋体"/>
          <w:spacing w:val="4"/>
          <w:szCs w:val="21"/>
          <w:highlight w:val="none"/>
        </w:rPr>
        <w:t>本公司（联合体）郑重声明，根据《政府采购促进中小企业发展管理办法》（财库﹝2020﹞46号）的规定，本公司（联合体）参加</w:t>
      </w:r>
      <w:r>
        <w:rPr>
          <w:rFonts w:hint="eastAsia" w:ascii="宋体" w:hAnsi="宋体" w:cs="宋体"/>
          <w:i/>
          <w:spacing w:val="4"/>
          <w:szCs w:val="21"/>
          <w:highlight w:val="none"/>
          <w:u w:val="single"/>
        </w:rPr>
        <w:t>（单位名称）</w:t>
      </w:r>
      <w:r>
        <w:rPr>
          <w:rFonts w:hint="eastAsia" w:ascii="宋体" w:hAnsi="宋体" w:cs="宋体"/>
          <w:spacing w:val="4"/>
          <w:szCs w:val="21"/>
          <w:highlight w:val="none"/>
        </w:rPr>
        <w:t>的</w:t>
      </w:r>
      <w:r>
        <w:rPr>
          <w:rFonts w:hint="eastAsia" w:ascii="宋体" w:hAnsi="宋体" w:cs="宋体"/>
          <w:i/>
          <w:spacing w:val="4"/>
          <w:szCs w:val="21"/>
          <w:highlight w:val="none"/>
          <w:u w:val="single"/>
        </w:rPr>
        <w:t>（项目名称）</w:t>
      </w:r>
      <w:r>
        <w:rPr>
          <w:rFonts w:hint="eastAsia" w:ascii="宋体" w:hAnsi="宋体" w:cs="宋体"/>
          <w:spacing w:val="4"/>
          <w:szCs w:val="21"/>
          <w:highlight w:val="none"/>
        </w:rPr>
        <w:t xml:space="preserve">采购活动，服务全部由符合政策要求的中小企业承接）。相关企业（含联合体中的中小企业、签订分包意向协议的中小企业）的具体情况如下： </w:t>
      </w:r>
    </w:p>
    <w:p w14:paraId="49001C99">
      <w:pPr>
        <w:spacing w:line="360" w:lineRule="auto"/>
        <w:ind w:firstLine="436" w:firstLineChars="200"/>
        <w:jc w:val="left"/>
        <w:rPr>
          <w:rFonts w:ascii="宋体" w:hAnsi="宋体" w:cs="宋体"/>
          <w:spacing w:val="4"/>
          <w:szCs w:val="21"/>
          <w:highlight w:val="none"/>
        </w:rPr>
      </w:pPr>
      <w:r>
        <w:rPr>
          <w:rFonts w:hint="eastAsia" w:ascii="宋体" w:hAnsi="宋体" w:cs="宋体"/>
          <w:spacing w:val="4"/>
          <w:szCs w:val="21"/>
          <w:highlight w:val="none"/>
          <w:u w:val="single"/>
        </w:rPr>
        <w:t>（</w:t>
      </w:r>
      <w:r>
        <w:rPr>
          <w:rFonts w:hint="eastAsia" w:ascii="宋体" w:hAnsi="宋体" w:cs="宋体"/>
          <w:highlight w:val="none"/>
          <w:u w:val="single"/>
        </w:rPr>
        <w:t>2024年违法停放车辆拖移转运社会化服务</w:t>
      </w:r>
      <w:r>
        <w:rPr>
          <w:rFonts w:hint="eastAsia" w:ascii="宋体" w:hAnsi="宋体" w:cs="宋体"/>
          <w:spacing w:val="4"/>
          <w:szCs w:val="21"/>
          <w:highlight w:val="none"/>
          <w:u w:val="single"/>
        </w:rPr>
        <w:t>）</w:t>
      </w:r>
      <w:r>
        <w:rPr>
          <w:rFonts w:hint="eastAsia" w:ascii="宋体" w:hAnsi="宋体" w:cs="宋体"/>
          <w:spacing w:val="4"/>
          <w:szCs w:val="21"/>
          <w:highlight w:val="none"/>
        </w:rPr>
        <w:t>，属于</w:t>
      </w:r>
      <w:r>
        <w:rPr>
          <w:rFonts w:hint="eastAsia" w:ascii="宋体" w:hAnsi="宋体" w:cs="宋体"/>
          <w:spacing w:val="4"/>
          <w:szCs w:val="21"/>
          <w:highlight w:val="none"/>
          <w:u w:val="single"/>
        </w:rPr>
        <w:t>（其他未列明）</w:t>
      </w:r>
      <w:r>
        <w:rPr>
          <w:rFonts w:hint="eastAsia" w:ascii="宋体" w:hAnsi="宋体" w:cs="宋体"/>
          <w:spacing w:val="4"/>
          <w:szCs w:val="21"/>
          <w:highlight w:val="none"/>
        </w:rPr>
        <w:t>；承建（承接）企业为</w:t>
      </w:r>
      <w:r>
        <w:rPr>
          <w:rFonts w:hint="eastAsia" w:ascii="宋体" w:hAnsi="宋体" w:cs="宋体"/>
          <w:spacing w:val="4"/>
          <w:szCs w:val="21"/>
          <w:highlight w:val="none"/>
          <w:u w:val="single"/>
        </w:rPr>
        <w:t>（此处填写供应商名称）</w:t>
      </w:r>
      <w:r>
        <w:rPr>
          <w:rFonts w:hint="eastAsia" w:ascii="宋体" w:hAnsi="宋体" w:cs="宋体"/>
          <w:spacing w:val="4"/>
          <w:szCs w:val="21"/>
          <w:highlight w:val="none"/>
        </w:rPr>
        <w:t>，从业人员</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人，营业收入为</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万元，资产总额为</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万元，属于</w:t>
      </w:r>
      <w:r>
        <w:rPr>
          <w:rFonts w:hint="eastAsia" w:ascii="宋体" w:hAnsi="宋体" w:cs="宋体"/>
          <w:spacing w:val="4"/>
          <w:szCs w:val="21"/>
          <w:highlight w:val="none"/>
          <w:u w:val="single"/>
        </w:rPr>
        <w:t>（中型企业、小型企业、微型企业，此处企业类型根据下表标准三选其一）</w:t>
      </w:r>
      <w:r>
        <w:rPr>
          <w:rFonts w:hint="eastAsia" w:ascii="宋体" w:hAnsi="宋体" w:cs="宋体"/>
          <w:spacing w:val="4"/>
          <w:szCs w:val="21"/>
          <w:highlight w:val="none"/>
        </w:rPr>
        <w:t xml:space="preserve">； </w:t>
      </w:r>
    </w:p>
    <w:p w14:paraId="397C7246">
      <w:pPr>
        <w:spacing w:line="360" w:lineRule="auto"/>
        <w:ind w:firstLine="496" w:firstLineChars="200"/>
        <w:jc w:val="left"/>
        <w:rPr>
          <w:rFonts w:ascii="宋体" w:hAnsi="宋体" w:cs="宋体"/>
          <w:spacing w:val="4"/>
          <w:szCs w:val="21"/>
          <w:highlight w:val="none"/>
        </w:rPr>
      </w:pPr>
      <w:r>
        <w:rPr>
          <w:rFonts w:hint="eastAsia" w:ascii="宋体" w:hAnsi="宋体" w:cs="宋体"/>
          <w:spacing w:val="4"/>
          <w:sz w:val="24"/>
          <w:szCs w:val="24"/>
          <w:highlight w:val="none"/>
        </w:rPr>
        <w:t>……</w:t>
      </w:r>
    </w:p>
    <w:p w14:paraId="7F1E4227">
      <w:pPr>
        <w:spacing w:line="360" w:lineRule="auto"/>
        <w:ind w:firstLine="436" w:firstLineChars="200"/>
        <w:jc w:val="left"/>
        <w:rPr>
          <w:rFonts w:ascii="宋体" w:hAnsi="宋体" w:cs="宋体"/>
          <w:spacing w:val="4"/>
          <w:szCs w:val="21"/>
          <w:highlight w:val="none"/>
        </w:rPr>
      </w:pPr>
      <w:r>
        <w:rPr>
          <w:rFonts w:hint="eastAsia" w:ascii="宋体" w:hAnsi="宋体" w:cs="宋体"/>
          <w:spacing w:val="4"/>
          <w:szCs w:val="21"/>
          <w:highlight w:val="none"/>
        </w:rPr>
        <w:t>以上企业，不属于大企业的分支机构，不存在控股股东为大企业的情形，也不存在与大企业的负责人为同一人的情形。</w:t>
      </w:r>
    </w:p>
    <w:p w14:paraId="66ADBE2E">
      <w:pPr>
        <w:spacing w:line="360" w:lineRule="auto"/>
        <w:ind w:firstLine="436" w:firstLineChars="200"/>
        <w:jc w:val="left"/>
        <w:rPr>
          <w:rFonts w:ascii="宋体" w:hAnsi="宋体" w:cs="宋体"/>
          <w:spacing w:val="4"/>
          <w:szCs w:val="21"/>
          <w:highlight w:val="none"/>
        </w:rPr>
      </w:pPr>
      <w:r>
        <w:rPr>
          <w:rFonts w:hint="eastAsia" w:ascii="宋体" w:hAnsi="宋体" w:cs="宋体"/>
          <w:spacing w:val="4"/>
          <w:szCs w:val="21"/>
          <w:highlight w:val="none"/>
        </w:rPr>
        <w:t>本企业对上述声明内容的真实性负责。如有虚假，将依法承担相应责任。</w:t>
      </w:r>
    </w:p>
    <w:p w14:paraId="74B0C7BA">
      <w:pPr>
        <w:spacing w:line="360" w:lineRule="auto"/>
        <w:rPr>
          <w:rFonts w:ascii="宋体" w:hAnsi="宋体" w:cs="宋体"/>
          <w:spacing w:val="4"/>
          <w:szCs w:val="21"/>
          <w:highlight w:val="none"/>
        </w:rPr>
      </w:pPr>
    </w:p>
    <w:p w14:paraId="4232BB26">
      <w:pPr>
        <w:pStyle w:val="9"/>
        <w:rPr>
          <w:rFonts w:ascii="宋体" w:hAnsi="宋体" w:cs="宋体"/>
          <w:spacing w:val="4"/>
          <w:szCs w:val="21"/>
          <w:highlight w:val="none"/>
        </w:rPr>
      </w:pPr>
    </w:p>
    <w:p w14:paraId="13CDC439">
      <w:pPr>
        <w:rPr>
          <w:rFonts w:ascii="宋体" w:hAnsi="宋体" w:cs="宋体"/>
          <w:spacing w:val="4"/>
          <w:szCs w:val="21"/>
          <w:highlight w:val="none"/>
        </w:rPr>
      </w:pPr>
    </w:p>
    <w:p w14:paraId="4D65D62B">
      <w:pPr>
        <w:spacing w:before="156" w:beforeLines="50" w:after="156" w:afterLines="50" w:line="360" w:lineRule="auto"/>
        <w:ind w:firstLine="2243" w:firstLineChars="1029"/>
        <w:jc w:val="left"/>
        <w:rPr>
          <w:rFonts w:ascii="宋体" w:hAnsi="宋体" w:cs="宋体"/>
          <w:spacing w:val="14"/>
          <w:kern w:val="0"/>
          <w:szCs w:val="21"/>
          <w:highlight w:val="none"/>
        </w:rPr>
      </w:pPr>
      <w:r>
        <w:rPr>
          <w:rFonts w:hint="eastAsia" w:ascii="宋体" w:hAnsi="宋体" w:cs="宋体"/>
          <w:spacing w:val="4"/>
          <w:szCs w:val="21"/>
          <w:highlight w:val="none"/>
        </w:rPr>
        <w:t>供应商名称：</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（加盖公章）</w:t>
      </w:r>
    </w:p>
    <w:p w14:paraId="3563D5F5">
      <w:pPr>
        <w:spacing w:before="156" w:beforeLines="50" w:after="156" w:afterLines="50" w:line="360" w:lineRule="auto"/>
        <w:jc w:val="left"/>
        <w:rPr>
          <w:rFonts w:ascii="宋体" w:hAnsi="宋体" w:cs="宋体"/>
          <w:spacing w:val="4"/>
          <w:szCs w:val="21"/>
          <w:highlight w:val="none"/>
        </w:rPr>
      </w:pPr>
      <w:r>
        <w:rPr>
          <w:rFonts w:hint="eastAsia" w:ascii="宋体" w:hAnsi="宋体" w:cs="宋体"/>
          <w:spacing w:val="4"/>
          <w:szCs w:val="21"/>
          <w:highlight w:val="none"/>
        </w:rPr>
        <w:t xml:space="preserve">                                                 日期：</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年</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月</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日</w:t>
      </w:r>
    </w:p>
    <w:p w14:paraId="7977BBDD">
      <w:pPr>
        <w:spacing w:before="156" w:beforeLines="50" w:after="156" w:afterLines="50" w:line="360" w:lineRule="auto"/>
        <w:jc w:val="left"/>
        <w:rPr>
          <w:rFonts w:ascii="宋体" w:hAnsi="宋体"/>
          <w:sz w:val="18"/>
          <w:szCs w:val="18"/>
          <w:highlight w:val="none"/>
        </w:rPr>
      </w:pPr>
    </w:p>
    <w:p w14:paraId="63B9F437">
      <w:pPr>
        <w:spacing w:before="156" w:beforeLines="50" w:after="156" w:afterLines="50" w:line="360" w:lineRule="auto"/>
        <w:jc w:val="left"/>
        <w:rPr>
          <w:rFonts w:ascii="宋体" w:hAnsi="宋体"/>
          <w:sz w:val="18"/>
          <w:szCs w:val="18"/>
          <w:highlight w:val="none"/>
        </w:rPr>
      </w:pPr>
    </w:p>
    <w:p w14:paraId="0ECC6257">
      <w:pPr>
        <w:spacing w:before="156" w:beforeLines="50" w:after="156" w:afterLines="50" w:line="360" w:lineRule="auto"/>
        <w:jc w:val="left"/>
        <w:rPr>
          <w:rFonts w:ascii="宋体" w:hAnsi="宋体"/>
          <w:sz w:val="18"/>
          <w:szCs w:val="18"/>
          <w:highlight w:val="none"/>
        </w:rPr>
      </w:pPr>
      <w:r>
        <w:rPr>
          <w:rFonts w:hint="eastAsia" w:ascii="宋体" w:hAnsi="宋体"/>
          <w:sz w:val="18"/>
          <w:szCs w:val="18"/>
          <w:highlight w:val="none"/>
        </w:rPr>
        <w:t>从业人员、营业收入、资产总额填报上一年度数据，无上一年度数据的新成立企业可不填报。</w:t>
      </w:r>
    </w:p>
    <w:p w14:paraId="26189EEB">
      <w:pPr>
        <w:rPr>
          <w:rFonts w:ascii="宋体" w:hAnsi="宋体"/>
          <w:sz w:val="18"/>
          <w:szCs w:val="18"/>
          <w:highlight w:val="none"/>
        </w:rPr>
      </w:pPr>
      <w:r>
        <w:rPr>
          <w:rFonts w:hint="eastAsia" w:ascii="宋体" w:hAnsi="宋体"/>
          <w:sz w:val="18"/>
          <w:szCs w:val="18"/>
          <w:highlight w:val="none"/>
        </w:rPr>
        <w:br w:type="page"/>
      </w:r>
    </w:p>
    <w:tbl>
      <w:tblPr>
        <w:tblStyle w:val="12"/>
        <w:tblW w:w="5000" w:type="pct"/>
        <w:tblInd w:w="0" w:type="dxa"/>
        <w:shd w:val="clear" w:color="auto" w:fill="FFFFFF"/>
        <w:tblLayout w:type="autofit"/>
        <w:tblCellMar>
          <w:top w:w="0" w:type="dxa"/>
          <w:left w:w="0" w:type="dxa"/>
          <w:bottom w:w="0" w:type="dxa"/>
          <w:right w:w="0" w:type="dxa"/>
        </w:tblCellMar>
      </w:tblPr>
      <w:tblGrid>
        <w:gridCol w:w="719"/>
        <w:gridCol w:w="840"/>
        <w:gridCol w:w="481"/>
        <w:gridCol w:w="2233"/>
        <w:gridCol w:w="2248"/>
        <w:gridCol w:w="2025"/>
      </w:tblGrid>
      <w:tr w14:paraId="6A916A3F">
        <w:tblPrEx>
          <w:shd w:val="clear" w:color="auto" w:fill="FFFFFF"/>
          <w:tblCellMar>
            <w:top w:w="0" w:type="dxa"/>
            <w:left w:w="0" w:type="dxa"/>
            <w:bottom w:w="0" w:type="dxa"/>
            <w:right w:w="0" w:type="dxa"/>
          </w:tblCellMar>
        </w:tblPrEx>
        <w:trPr>
          <w:trHeight w:val="500" w:hRule="atLeast"/>
        </w:trPr>
        <w:tc>
          <w:tcPr>
            <w:tcW w:w="5000" w:type="pct"/>
            <w:gridSpan w:val="6"/>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0FE3F52">
            <w:pPr>
              <w:widowControl/>
              <w:spacing w:line="375" w:lineRule="atLeast"/>
              <w:jc w:val="left"/>
              <w:rPr>
                <w:rFonts w:ascii="宋体" w:hAnsi="宋体" w:cs="宋体"/>
                <w:b/>
                <w:bCs/>
                <w:color w:val="666666"/>
                <w:sz w:val="24"/>
                <w:szCs w:val="24"/>
                <w:highlight w:val="none"/>
              </w:rPr>
            </w:pPr>
            <w:r>
              <w:rPr>
                <w:rFonts w:hint="eastAsia" w:ascii="宋体" w:hAnsi="宋体" w:cs="宋体"/>
                <w:b/>
                <w:bCs/>
                <w:color w:val="666666"/>
                <w:kern w:val="0"/>
                <w:sz w:val="24"/>
                <w:szCs w:val="24"/>
                <w:highlight w:val="none"/>
                <w:lang w:bidi="ar"/>
              </w:rPr>
              <w:t>中小微企业划型标准如下：</w:t>
            </w:r>
          </w:p>
        </w:tc>
      </w:tr>
      <w:tr w14:paraId="449EFC72">
        <w:tblPrEx>
          <w:shd w:val="clear" w:color="auto" w:fill="FFFFFF"/>
          <w:tblCellMar>
            <w:top w:w="0" w:type="dxa"/>
            <w:left w:w="0" w:type="dxa"/>
            <w:bottom w:w="0" w:type="dxa"/>
            <w:right w:w="0" w:type="dxa"/>
          </w:tblCellMar>
        </w:tblPrEx>
        <w:trPr>
          <w:trHeight w:val="760" w:hRule="atLeast"/>
        </w:trPr>
        <w:tc>
          <w:tcPr>
            <w:tcW w:w="421"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D91C389">
            <w:pPr>
              <w:widowControl/>
              <w:spacing w:line="375" w:lineRule="atLeast"/>
              <w:jc w:val="center"/>
              <w:rPr>
                <w:rFonts w:ascii="宋体" w:hAnsi="宋体" w:cs="宋体"/>
                <w:b/>
                <w:bCs/>
                <w:color w:val="666666"/>
                <w:sz w:val="24"/>
                <w:szCs w:val="24"/>
                <w:highlight w:val="none"/>
              </w:rPr>
            </w:pPr>
            <w:r>
              <w:rPr>
                <w:rFonts w:hint="eastAsia" w:ascii="宋体" w:hAnsi="宋体" w:cs="宋体"/>
                <w:b/>
                <w:bCs/>
                <w:color w:val="666666"/>
                <w:kern w:val="0"/>
                <w:sz w:val="24"/>
                <w:szCs w:val="24"/>
                <w:highlight w:val="none"/>
                <w:lang w:bidi="ar"/>
              </w:rPr>
              <w:t>行业名称</w:t>
            </w:r>
          </w:p>
        </w:tc>
        <w:tc>
          <w:tcPr>
            <w:tcW w:w="491"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4B9ECD7">
            <w:pPr>
              <w:widowControl/>
              <w:spacing w:line="375" w:lineRule="atLeast"/>
              <w:jc w:val="center"/>
              <w:rPr>
                <w:rFonts w:ascii="宋体" w:hAnsi="宋体" w:cs="宋体"/>
                <w:b/>
                <w:bCs/>
                <w:color w:val="666666"/>
                <w:sz w:val="24"/>
                <w:szCs w:val="24"/>
                <w:highlight w:val="none"/>
              </w:rPr>
            </w:pPr>
            <w:r>
              <w:rPr>
                <w:rFonts w:hint="eastAsia" w:ascii="宋体" w:hAnsi="宋体" w:cs="宋体"/>
                <w:b/>
                <w:bCs/>
                <w:color w:val="666666"/>
                <w:kern w:val="0"/>
                <w:sz w:val="24"/>
                <w:szCs w:val="24"/>
                <w:highlight w:val="none"/>
                <w:lang w:bidi="ar"/>
              </w:rPr>
              <w:t>指标名称</w:t>
            </w:r>
          </w:p>
        </w:tc>
        <w:tc>
          <w:tcPr>
            <w:tcW w:w="281"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8C45931">
            <w:pPr>
              <w:widowControl/>
              <w:spacing w:line="375" w:lineRule="atLeast"/>
              <w:jc w:val="center"/>
              <w:rPr>
                <w:rFonts w:ascii="宋体" w:hAnsi="宋体" w:cs="宋体"/>
                <w:b/>
                <w:bCs/>
                <w:color w:val="666666"/>
                <w:sz w:val="24"/>
                <w:szCs w:val="24"/>
                <w:highlight w:val="none"/>
              </w:rPr>
            </w:pPr>
            <w:r>
              <w:rPr>
                <w:rFonts w:hint="eastAsia" w:ascii="宋体" w:hAnsi="宋体" w:cs="宋体"/>
                <w:b/>
                <w:bCs/>
                <w:color w:val="666666"/>
                <w:kern w:val="0"/>
                <w:sz w:val="24"/>
                <w:szCs w:val="24"/>
                <w:highlight w:val="none"/>
                <w:lang w:bidi="ar"/>
              </w:rPr>
              <w:t>计量单位</w:t>
            </w:r>
          </w:p>
        </w:tc>
        <w:tc>
          <w:tcPr>
            <w:tcW w:w="130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B181492">
            <w:pPr>
              <w:widowControl/>
              <w:spacing w:line="375" w:lineRule="atLeast"/>
              <w:jc w:val="center"/>
              <w:rPr>
                <w:rFonts w:ascii="宋体" w:hAnsi="宋体" w:cs="宋体"/>
                <w:b/>
                <w:bCs/>
                <w:color w:val="666666"/>
                <w:sz w:val="24"/>
                <w:szCs w:val="24"/>
                <w:highlight w:val="none"/>
              </w:rPr>
            </w:pPr>
            <w:r>
              <w:rPr>
                <w:rFonts w:hint="eastAsia" w:ascii="宋体" w:hAnsi="宋体" w:cs="宋体"/>
                <w:b/>
                <w:bCs/>
                <w:color w:val="666666"/>
                <w:kern w:val="0"/>
                <w:sz w:val="24"/>
                <w:szCs w:val="24"/>
                <w:highlight w:val="none"/>
                <w:lang w:bidi="ar"/>
              </w:rPr>
              <w:t>中型</w:t>
            </w:r>
          </w:p>
        </w:tc>
        <w:tc>
          <w:tcPr>
            <w:tcW w:w="1315"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CDBBB25">
            <w:pPr>
              <w:widowControl/>
              <w:spacing w:line="375" w:lineRule="atLeast"/>
              <w:jc w:val="center"/>
              <w:rPr>
                <w:rFonts w:ascii="宋体" w:hAnsi="宋体" w:cs="宋体"/>
                <w:b/>
                <w:bCs/>
                <w:color w:val="666666"/>
                <w:sz w:val="24"/>
                <w:szCs w:val="24"/>
                <w:highlight w:val="none"/>
              </w:rPr>
            </w:pPr>
            <w:r>
              <w:rPr>
                <w:rFonts w:hint="eastAsia" w:ascii="宋体" w:hAnsi="宋体" w:cs="宋体"/>
                <w:b/>
                <w:bCs/>
                <w:color w:val="666666"/>
                <w:kern w:val="0"/>
                <w:sz w:val="24"/>
                <w:szCs w:val="24"/>
                <w:highlight w:val="none"/>
                <w:lang w:bidi="ar"/>
              </w:rPr>
              <w:t>小型</w:t>
            </w:r>
          </w:p>
        </w:tc>
        <w:tc>
          <w:tcPr>
            <w:tcW w:w="118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9BD8DB4">
            <w:pPr>
              <w:widowControl/>
              <w:spacing w:line="375" w:lineRule="atLeast"/>
              <w:jc w:val="center"/>
              <w:rPr>
                <w:rFonts w:ascii="宋体" w:hAnsi="宋体" w:cs="宋体"/>
                <w:b/>
                <w:bCs/>
                <w:color w:val="666666"/>
                <w:sz w:val="24"/>
                <w:szCs w:val="24"/>
                <w:highlight w:val="none"/>
              </w:rPr>
            </w:pPr>
            <w:r>
              <w:rPr>
                <w:rFonts w:hint="eastAsia" w:ascii="宋体" w:hAnsi="宋体" w:cs="宋体"/>
                <w:b/>
                <w:bCs/>
                <w:color w:val="666666"/>
                <w:kern w:val="0"/>
                <w:sz w:val="24"/>
                <w:szCs w:val="24"/>
                <w:highlight w:val="none"/>
                <w:lang w:bidi="ar"/>
              </w:rPr>
              <w:t>微型</w:t>
            </w:r>
          </w:p>
        </w:tc>
      </w:tr>
      <w:tr w14:paraId="787C0919">
        <w:tblPrEx>
          <w:shd w:val="clear" w:color="auto" w:fill="FFFFFF"/>
          <w:tblCellMar>
            <w:top w:w="0" w:type="dxa"/>
            <w:left w:w="0" w:type="dxa"/>
            <w:bottom w:w="0" w:type="dxa"/>
            <w:right w:w="0" w:type="dxa"/>
          </w:tblCellMar>
        </w:tblPrEx>
        <w:trPr>
          <w:trHeight w:val="660" w:hRule="atLeast"/>
        </w:trPr>
        <w:tc>
          <w:tcPr>
            <w:tcW w:w="421"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6A0BCA2">
            <w:pPr>
              <w:widowControl/>
              <w:spacing w:line="375" w:lineRule="atLeast"/>
              <w:jc w:val="center"/>
              <w:rPr>
                <w:rFonts w:ascii="宋体" w:hAnsi="宋体" w:cs="宋体"/>
                <w:color w:val="666666"/>
                <w:sz w:val="24"/>
                <w:szCs w:val="24"/>
                <w:highlight w:val="none"/>
              </w:rPr>
            </w:pPr>
            <w:r>
              <w:rPr>
                <w:rFonts w:hint="eastAsia" w:ascii="宋体" w:hAnsi="宋体" w:cs="宋体"/>
                <w:color w:val="666666"/>
                <w:kern w:val="0"/>
                <w:sz w:val="24"/>
                <w:szCs w:val="24"/>
                <w:highlight w:val="none"/>
                <w:lang w:bidi="ar"/>
              </w:rPr>
              <w:t>其他未列明行业</w:t>
            </w:r>
          </w:p>
        </w:tc>
        <w:tc>
          <w:tcPr>
            <w:tcW w:w="491"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E811152">
            <w:pPr>
              <w:widowControl/>
              <w:spacing w:line="375" w:lineRule="atLeast"/>
              <w:jc w:val="center"/>
              <w:rPr>
                <w:rFonts w:ascii="宋体" w:hAnsi="宋体" w:cs="宋体"/>
                <w:color w:val="666666"/>
                <w:sz w:val="24"/>
                <w:szCs w:val="24"/>
                <w:highlight w:val="none"/>
              </w:rPr>
            </w:pPr>
            <w:r>
              <w:rPr>
                <w:rFonts w:hint="eastAsia" w:ascii="宋体" w:hAnsi="宋体" w:cs="宋体"/>
                <w:color w:val="666666"/>
                <w:kern w:val="0"/>
                <w:sz w:val="24"/>
                <w:szCs w:val="24"/>
                <w:highlight w:val="none"/>
                <w:lang w:bidi="ar"/>
              </w:rPr>
              <w:t>从业人员（X）</w:t>
            </w:r>
          </w:p>
        </w:tc>
        <w:tc>
          <w:tcPr>
            <w:tcW w:w="281"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2A57E5B">
            <w:pPr>
              <w:widowControl/>
              <w:spacing w:line="375" w:lineRule="atLeast"/>
              <w:jc w:val="center"/>
              <w:rPr>
                <w:rFonts w:ascii="宋体" w:hAnsi="宋体" w:cs="宋体"/>
                <w:color w:val="666666"/>
                <w:sz w:val="24"/>
                <w:szCs w:val="24"/>
                <w:highlight w:val="none"/>
              </w:rPr>
            </w:pPr>
            <w:r>
              <w:rPr>
                <w:rFonts w:hint="eastAsia" w:ascii="宋体" w:hAnsi="宋体" w:cs="宋体"/>
                <w:color w:val="666666"/>
                <w:kern w:val="0"/>
                <w:sz w:val="24"/>
                <w:szCs w:val="24"/>
                <w:highlight w:val="none"/>
                <w:lang w:bidi="ar"/>
              </w:rPr>
              <w:t>人</w:t>
            </w:r>
          </w:p>
        </w:tc>
        <w:tc>
          <w:tcPr>
            <w:tcW w:w="130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0362BD4">
            <w:pPr>
              <w:widowControl/>
              <w:spacing w:line="375" w:lineRule="atLeast"/>
              <w:jc w:val="center"/>
              <w:rPr>
                <w:rFonts w:ascii="宋体" w:hAnsi="宋体" w:cs="宋体"/>
                <w:color w:val="666666"/>
                <w:sz w:val="24"/>
                <w:szCs w:val="24"/>
                <w:highlight w:val="none"/>
              </w:rPr>
            </w:pPr>
            <w:r>
              <w:rPr>
                <w:rFonts w:hint="eastAsia" w:ascii="宋体" w:hAnsi="宋体" w:cs="宋体"/>
                <w:color w:val="666666"/>
                <w:kern w:val="0"/>
                <w:sz w:val="24"/>
                <w:szCs w:val="24"/>
                <w:highlight w:val="none"/>
                <w:lang w:bidi="ar"/>
              </w:rPr>
              <w:t>100≤X＜300</w:t>
            </w:r>
          </w:p>
        </w:tc>
        <w:tc>
          <w:tcPr>
            <w:tcW w:w="1315"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997D18C">
            <w:pPr>
              <w:widowControl/>
              <w:spacing w:line="375" w:lineRule="atLeast"/>
              <w:jc w:val="center"/>
              <w:rPr>
                <w:rFonts w:ascii="宋体" w:hAnsi="宋体" w:cs="宋体"/>
                <w:color w:val="666666"/>
                <w:sz w:val="24"/>
                <w:szCs w:val="24"/>
                <w:highlight w:val="none"/>
              </w:rPr>
            </w:pPr>
            <w:r>
              <w:rPr>
                <w:rFonts w:hint="eastAsia" w:ascii="宋体" w:hAnsi="宋体" w:cs="宋体"/>
                <w:color w:val="666666"/>
                <w:kern w:val="0"/>
                <w:sz w:val="24"/>
                <w:szCs w:val="24"/>
                <w:highlight w:val="none"/>
                <w:lang w:bidi="ar"/>
              </w:rPr>
              <w:t>10≤X＜100</w:t>
            </w:r>
          </w:p>
        </w:tc>
        <w:tc>
          <w:tcPr>
            <w:tcW w:w="118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F23411F">
            <w:pPr>
              <w:widowControl/>
              <w:spacing w:line="375" w:lineRule="atLeast"/>
              <w:jc w:val="center"/>
              <w:rPr>
                <w:rFonts w:ascii="宋体" w:hAnsi="宋体" w:cs="宋体"/>
                <w:color w:val="666666"/>
                <w:sz w:val="24"/>
                <w:szCs w:val="24"/>
                <w:highlight w:val="none"/>
              </w:rPr>
            </w:pPr>
            <w:r>
              <w:rPr>
                <w:rFonts w:hint="eastAsia" w:ascii="宋体" w:hAnsi="宋体" w:cs="宋体"/>
                <w:color w:val="666666"/>
                <w:kern w:val="0"/>
                <w:sz w:val="24"/>
                <w:szCs w:val="24"/>
                <w:highlight w:val="none"/>
                <w:lang w:bidi="ar"/>
              </w:rPr>
              <w:t>X＜10</w:t>
            </w:r>
          </w:p>
        </w:tc>
      </w:tr>
      <w:tr w14:paraId="3BAC3D8C">
        <w:tblPrEx>
          <w:shd w:val="clear" w:color="auto" w:fill="FFFFFF"/>
          <w:tblCellMar>
            <w:top w:w="0" w:type="dxa"/>
            <w:left w:w="0" w:type="dxa"/>
            <w:bottom w:w="0" w:type="dxa"/>
            <w:right w:w="0" w:type="dxa"/>
          </w:tblCellMar>
        </w:tblPrEx>
        <w:trPr>
          <w:trHeight w:val="400" w:hRule="atLeast"/>
        </w:trPr>
        <w:tc>
          <w:tcPr>
            <w:tcW w:w="5000" w:type="pct"/>
            <w:gridSpan w:val="6"/>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4770327">
            <w:pPr>
              <w:widowControl/>
              <w:spacing w:line="375" w:lineRule="atLeast"/>
              <w:jc w:val="left"/>
              <w:rPr>
                <w:rFonts w:ascii="宋体" w:hAnsi="宋体" w:cs="宋体"/>
                <w:color w:val="666666"/>
                <w:sz w:val="24"/>
                <w:szCs w:val="24"/>
                <w:highlight w:val="none"/>
              </w:rPr>
            </w:pPr>
            <w:r>
              <w:rPr>
                <w:rFonts w:hint="eastAsia" w:ascii="宋体" w:hAnsi="宋体" w:cs="宋体"/>
                <w:color w:val="666666"/>
                <w:kern w:val="0"/>
                <w:sz w:val="24"/>
                <w:szCs w:val="24"/>
                <w:highlight w:val="none"/>
                <w:lang w:bidi="ar"/>
              </w:rPr>
              <w:t>说明：上述标准参照《关于印发中小企业划型标准规定的通知》（工信部联企业〔2011〕300号），大型、中型和小型企业须同时满足所列指标的下限，否则下划一档；微型企业只须满足所列指标中的一项即可。</w:t>
            </w:r>
          </w:p>
        </w:tc>
      </w:tr>
      <w:tr w14:paraId="46F7D5F1">
        <w:tblPrEx>
          <w:shd w:val="clear" w:color="auto" w:fill="FFFFFF"/>
          <w:tblCellMar>
            <w:top w:w="0" w:type="dxa"/>
            <w:left w:w="0" w:type="dxa"/>
            <w:bottom w:w="0" w:type="dxa"/>
            <w:right w:w="0" w:type="dxa"/>
          </w:tblCellMar>
        </w:tblPrEx>
        <w:trPr>
          <w:trHeight w:val="400" w:hRule="atLeast"/>
        </w:trPr>
        <w:tc>
          <w:tcPr>
            <w:tcW w:w="5000" w:type="pct"/>
            <w:gridSpan w:val="6"/>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3A52926">
            <w:pPr>
              <w:jc w:val="left"/>
              <w:rPr>
                <w:rFonts w:ascii="宋体" w:hAnsi="宋体" w:cs="宋体"/>
                <w:color w:val="666666"/>
                <w:sz w:val="24"/>
                <w:szCs w:val="24"/>
                <w:highlight w:val="none"/>
              </w:rPr>
            </w:pPr>
          </w:p>
        </w:tc>
      </w:tr>
    </w:tbl>
    <w:p w14:paraId="48BC6D1E">
      <w:pPr>
        <w:spacing w:before="156" w:beforeLines="50" w:after="156" w:afterLines="50" w:line="360" w:lineRule="auto"/>
        <w:jc w:val="left"/>
        <w:rPr>
          <w:rFonts w:ascii="宋体" w:hAnsi="宋体"/>
          <w:sz w:val="18"/>
          <w:szCs w:val="18"/>
          <w:highlight w:val="none"/>
        </w:rPr>
      </w:pPr>
    </w:p>
    <w:p w14:paraId="10AF7F7E">
      <w:pPr>
        <w:pStyle w:val="9"/>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77297">
    <w:pPr>
      <w:pStyle w:val="7"/>
      <w:framePr w:w="361" w:wrap="around" w:vAnchor="text" w:hAnchor="page" w:x="5761" w:y="-5"/>
      <w:rPr>
        <w:rStyle w:val="16"/>
      </w:rPr>
    </w:pPr>
  </w:p>
  <w:p w14:paraId="6416528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A0D5B">
    <w:pPr>
      <w:pStyle w:val="7"/>
      <w:framePr w:w="361" w:wrap="around" w:vAnchor="text" w:hAnchor="page" w:x="5761" w:y="-5"/>
      <w:rPr>
        <w:rStyle w:val="16"/>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D5C817">
                          <w:pPr>
                            <w:pStyle w:val="7"/>
                            <w:rPr>
                              <w:rStyle w:val="16"/>
                            </w:rPr>
                          </w:pPr>
                          <w:r>
                            <w:fldChar w:fldCharType="begin"/>
                          </w:r>
                          <w:r>
                            <w:rPr>
                              <w:rStyle w:val="16"/>
                            </w:rPr>
                            <w:instrText xml:space="preserve">PAGE  </w:instrText>
                          </w:r>
                          <w:r>
                            <w:fldChar w:fldCharType="separate"/>
                          </w:r>
                          <w:r>
                            <w:rPr>
                              <w:rStyle w:val="16"/>
                            </w:rPr>
                            <w:t>81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36D5C817">
                    <w:pPr>
                      <w:pStyle w:val="7"/>
                      <w:rPr>
                        <w:rStyle w:val="16"/>
                      </w:rPr>
                    </w:pPr>
                    <w:r>
                      <w:fldChar w:fldCharType="begin"/>
                    </w:r>
                    <w:r>
                      <w:rPr>
                        <w:rStyle w:val="16"/>
                      </w:rPr>
                      <w:instrText xml:space="preserve">PAGE  </w:instrText>
                    </w:r>
                    <w:r>
                      <w:fldChar w:fldCharType="separate"/>
                    </w:r>
                    <w:r>
                      <w:rPr>
                        <w:rStyle w:val="16"/>
                      </w:rPr>
                      <w:t>81</w:t>
                    </w:r>
                    <w:r>
                      <w:fldChar w:fldCharType="end"/>
                    </w:r>
                  </w:p>
                </w:txbxContent>
              </v:textbox>
            </v:shape>
          </w:pict>
        </mc:Fallback>
      </mc:AlternateContent>
    </w:r>
  </w:p>
  <w:p w14:paraId="16D6EB02">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4CAF0">
    <w:pPr>
      <w:pStyle w:val="8"/>
      <w:pBdr>
        <w:bottom w:val="none" w:color="auto" w:sz="0" w:space="0"/>
      </w:pBdr>
    </w:pPr>
    <w:r>
      <w:rPr>
        <w:rFonts w:hint="eastAsia"/>
      </w:rPr>
      <w:t>西安市公安局交通警</w:t>
    </w:r>
    <w:r>
      <w:rPr>
        <w:rFonts w:hint="eastAsia" w:ascii="宋体" w:hAnsi="宋体" w:cs="宋体"/>
      </w:rPr>
      <w:t>察支队</w:t>
    </w: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147955</wp:posOffset>
              </wp:positionV>
              <wp:extent cx="52578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1.65pt;height:0pt;width:414pt;z-index:251659264;mso-width-relative:page;mso-height-relative:page;" filled="f" stroked="t" coordsize="21600,21600" o:gfxdata="UEsDBAoAAAAAAIdO4kAAAAAAAAAAAAAAAAAEAAAAZHJzL1BLAwQUAAAACACHTuJAtREvy9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REvy9MA&#10;AAAGAQAADwAAAAAAAAABACAAAAAiAAAAZHJzL2Rvd25yZXYueG1sUEsBAhQAFAAAAAgAh07iQOH8&#10;zNbrAQAA2AMAAA4AAAAAAAAAAQAgAAAAIgEAAGRycy9lMm9Eb2MueG1sUEsFBgAAAAAGAAYAWQEA&#10;AH8FAAAAAA==&#10;">
              <v:fill on="f" focussize="0,0"/>
              <v:stroke color="#000000" joinstyle="round"/>
              <v:imagedata o:title=""/>
              <o:lock v:ext="edit" aspectratio="f"/>
            </v:line>
          </w:pict>
        </mc:Fallback>
      </mc:AlternateContent>
    </w:r>
    <w:r>
      <w:rPr>
        <w:rFonts w:hint="eastAsia" w:ascii="宋体" w:hAnsi="宋体" w:cs="宋体"/>
      </w:rPr>
      <w:t>2024年违法停放车辆拖移转运社会化服务</w:t>
    </w:r>
    <w:r>
      <w:rPr>
        <w:rFonts w:hint="eastAsia" w:ascii="宋体" w:hAnsi="宋体" w:cs="宋体"/>
        <w:lang w:eastAsia="zh-CN"/>
      </w:rPr>
      <w:t>（</w:t>
    </w:r>
    <w:r>
      <w:rPr>
        <w:rFonts w:hint="eastAsia" w:ascii="宋体" w:hAnsi="宋体" w:cs="宋体"/>
        <w:lang w:val="en-US" w:eastAsia="zh-CN"/>
      </w:rPr>
      <w:t>二次）</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0000002"/>
    <w:multiLevelType w:val="multilevel"/>
    <w:tmpl w:val="00000002"/>
    <w:lvl w:ilvl="0" w:tentative="0">
      <w:start w:val="1"/>
      <w:numFmt w:val="japaneseCounting"/>
      <w:lvlText w:val="（%1）"/>
      <w:lvlJc w:val="left"/>
      <w:pPr>
        <w:ind w:left="3599" w:hanging="1080"/>
      </w:pPr>
      <w:rPr>
        <w:rFonts w:hint="default"/>
      </w:rPr>
    </w:lvl>
    <w:lvl w:ilvl="1" w:tentative="0">
      <w:start w:val="1"/>
      <w:numFmt w:val="lowerLetter"/>
      <w:lvlText w:val="%2)"/>
      <w:lvlJc w:val="left"/>
      <w:pPr>
        <w:ind w:left="3359" w:hanging="420"/>
      </w:pPr>
    </w:lvl>
    <w:lvl w:ilvl="2" w:tentative="0">
      <w:start w:val="1"/>
      <w:numFmt w:val="lowerRoman"/>
      <w:lvlText w:val="%3."/>
      <w:lvlJc w:val="right"/>
      <w:pPr>
        <w:ind w:left="3779" w:hanging="420"/>
      </w:pPr>
    </w:lvl>
    <w:lvl w:ilvl="3" w:tentative="0">
      <w:start w:val="1"/>
      <w:numFmt w:val="decimal"/>
      <w:lvlText w:val="%4."/>
      <w:lvlJc w:val="left"/>
      <w:pPr>
        <w:ind w:left="4199" w:hanging="420"/>
      </w:pPr>
    </w:lvl>
    <w:lvl w:ilvl="4" w:tentative="0">
      <w:start w:val="1"/>
      <w:numFmt w:val="lowerLetter"/>
      <w:lvlText w:val="%5)"/>
      <w:lvlJc w:val="left"/>
      <w:pPr>
        <w:ind w:left="4619" w:hanging="420"/>
      </w:pPr>
    </w:lvl>
    <w:lvl w:ilvl="5" w:tentative="0">
      <w:start w:val="1"/>
      <w:numFmt w:val="lowerRoman"/>
      <w:lvlText w:val="%6."/>
      <w:lvlJc w:val="right"/>
      <w:pPr>
        <w:ind w:left="5039" w:hanging="420"/>
      </w:pPr>
    </w:lvl>
    <w:lvl w:ilvl="6" w:tentative="0">
      <w:start w:val="1"/>
      <w:numFmt w:val="decimal"/>
      <w:lvlText w:val="%7."/>
      <w:lvlJc w:val="left"/>
      <w:pPr>
        <w:ind w:left="5459" w:hanging="420"/>
      </w:pPr>
    </w:lvl>
    <w:lvl w:ilvl="7" w:tentative="0">
      <w:start w:val="1"/>
      <w:numFmt w:val="lowerLetter"/>
      <w:lvlText w:val="%8)"/>
      <w:lvlJc w:val="left"/>
      <w:pPr>
        <w:ind w:left="5879" w:hanging="420"/>
      </w:pPr>
    </w:lvl>
    <w:lvl w:ilvl="8" w:tentative="0">
      <w:start w:val="1"/>
      <w:numFmt w:val="lowerRoman"/>
      <w:lvlText w:val="%9."/>
      <w:lvlJc w:val="right"/>
      <w:pPr>
        <w:ind w:left="6299" w:hanging="420"/>
      </w:pPr>
    </w:lvl>
  </w:abstractNum>
  <w:abstractNum w:abstractNumId="2">
    <w:nsid w:val="00000003"/>
    <w:multiLevelType w:val="multilevel"/>
    <w:tmpl w:val="00000003"/>
    <w:lvl w:ilvl="0" w:tentative="0">
      <w:start w:val="1"/>
      <w:numFmt w:val="japaneseCounting"/>
      <w:lvlText w:val="（%1）"/>
      <w:lvlJc w:val="left"/>
      <w:pPr>
        <w:ind w:left="1960" w:hanging="720"/>
      </w:pPr>
      <w:rPr>
        <w:rFonts w:hint="default"/>
        <w:sz w:val="24"/>
      </w:rPr>
    </w:lvl>
    <w:lvl w:ilvl="1" w:tentative="0">
      <w:start w:val="1"/>
      <w:numFmt w:val="lowerLetter"/>
      <w:lvlText w:val="%2)"/>
      <w:lvlJc w:val="left"/>
      <w:pPr>
        <w:ind w:left="2080" w:hanging="420"/>
      </w:pPr>
    </w:lvl>
    <w:lvl w:ilvl="2" w:tentative="0">
      <w:start w:val="1"/>
      <w:numFmt w:val="lowerRoman"/>
      <w:lvlText w:val="%3."/>
      <w:lvlJc w:val="right"/>
      <w:pPr>
        <w:ind w:left="2500" w:hanging="420"/>
      </w:pPr>
    </w:lvl>
    <w:lvl w:ilvl="3" w:tentative="0">
      <w:start w:val="1"/>
      <w:numFmt w:val="decimal"/>
      <w:lvlText w:val="%4."/>
      <w:lvlJc w:val="left"/>
      <w:pPr>
        <w:ind w:left="2920" w:hanging="420"/>
      </w:pPr>
    </w:lvl>
    <w:lvl w:ilvl="4" w:tentative="0">
      <w:start w:val="1"/>
      <w:numFmt w:val="lowerLetter"/>
      <w:lvlText w:val="%5)"/>
      <w:lvlJc w:val="left"/>
      <w:pPr>
        <w:ind w:left="3340" w:hanging="420"/>
      </w:pPr>
    </w:lvl>
    <w:lvl w:ilvl="5" w:tentative="0">
      <w:start w:val="1"/>
      <w:numFmt w:val="lowerRoman"/>
      <w:lvlText w:val="%6."/>
      <w:lvlJc w:val="right"/>
      <w:pPr>
        <w:ind w:left="3760" w:hanging="420"/>
      </w:pPr>
    </w:lvl>
    <w:lvl w:ilvl="6" w:tentative="0">
      <w:start w:val="1"/>
      <w:numFmt w:val="decimal"/>
      <w:lvlText w:val="%7."/>
      <w:lvlJc w:val="left"/>
      <w:pPr>
        <w:ind w:left="4180" w:hanging="420"/>
      </w:pPr>
    </w:lvl>
    <w:lvl w:ilvl="7" w:tentative="0">
      <w:start w:val="1"/>
      <w:numFmt w:val="lowerLetter"/>
      <w:lvlText w:val="%8)"/>
      <w:lvlJc w:val="left"/>
      <w:pPr>
        <w:ind w:left="4600" w:hanging="420"/>
      </w:pPr>
    </w:lvl>
    <w:lvl w:ilvl="8" w:tentative="0">
      <w:start w:val="1"/>
      <w:numFmt w:val="lowerRoman"/>
      <w:lvlText w:val="%9."/>
      <w:lvlJc w:val="right"/>
      <w:pPr>
        <w:ind w:left="5020" w:hanging="420"/>
      </w:pPr>
    </w:lvl>
  </w:abstractNum>
  <w:abstractNum w:abstractNumId="3">
    <w:nsid w:val="00000004"/>
    <w:multiLevelType w:val="singleLevel"/>
    <w:tmpl w:val="00000004"/>
    <w:lvl w:ilvl="0" w:tentative="0">
      <w:start w:val="32"/>
      <w:numFmt w:val="decimal"/>
      <w:lvlText w:val="%1."/>
      <w:lvlJc w:val="left"/>
      <w:pPr>
        <w:tabs>
          <w:tab w:val="left" w:pos="312"/>
        </w:tabs>
      </w:pPr>
    </w:lvl>
  </w:abstractNum>
  <w:abstractNum w:abstractNumId="4">
    <w:nsid w:val="00000005"/>
    <w:multiLevelType w:val="singleLevel"/>
    <w:tmpl w:val="00000005"/>
    <w:lvl w:ilvl="0" w:tentative="0">
      <w:start w:val="1"/>
      <w:numFmt w:val="decimal"/>
      <w:lvlText w:val="（%1）"/>
      <w:lvlJc w:val="left"/>
      <w:pPr>
        <w:tabs>
          <w:tab w:val="left" w:pos="720"/>
        </w:tabs>
        <w:ind w:left="720" w:hanging="720"/>
      </w:pPr>
      <w:rPr>
        <w:rFonts w:hint="eastAsia"/>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iMTBhMjMwMjg0ZDJkMjdhNTA2ZGIyZTAwZWIxODQifQ=="/>
  </w:docVars>
  <w:rsids>
    <w:rsidRoot w:val="77C206CC"/>
    <w:rsid w:val="00267090"/>
    <w:rsid w:val="002E078F"/>
    <w:rsid w:val="0030578F"/>
    <w:rsid w:val="00337586"/>
    <w:rsid w:val="003606B1"/>
    <w:rsid w:val="003C4839"/>
    <w:rsid w:val="005A09A2"/>
    <w:rsid w:val="00754243"/>
    <w:rsid w:val="008F2F64"/>
    <w:rsid w:val="0091015F"/>
    <w:rsid w:val="00C02B66"/>
    <w:rsid w:val="00EB4F87"/>
    <w:rsid w:val="045437FD"/>
    <w:rsid w:val="046E0E27"/>
    <w:rsid w:val="04B87FFF"/>
    <w:rsid w:val="05E82BC0"/>
    <w:rsid w:val="08124796"/>
    <w:rsid w:val="092D31FC"/>
    <w:rsid w:val="0B32767B"/>
    <w:rsid w:val="0BDE61E9"/>
    <w:rsid w:val="0DFE7425"/>
    <w:rsid w:val="117012AD"/>
    <w:rsid w:val="12B84C98"/>
    <w:rsid w:val="16A512F5"/>
    <w:rsid w:val="171E4694"/>
    <w:rsid w:val="19BB327C"/>
    <w:rsid w:val="1AE041D3"/>
    <w:rsid w:val="1C6E47E3"/>
    <w:rsid w:val="1D156256"/>
    <w:rsid w:val="1F871CB8"/>
    <w:rsid w:val="22976906"/>
    <w:rsid w:val="23033682"/>
    <w:rsid w:val="24543E36"/>
    <w:rsid w:val="2BE710A1"/>
    <w:rsid w:val="2DAB0850"/>
    <w:rsid w:val="2E277E7A"/>
    <w:rsid w:val="2E563A36"/>
    <w:rsid w:val="2F7B047E"/>
    <w:rsid w:val="2F8C2399"/>
    <w:rsid w:val="301234CF"/>
    <w:rsid w:val="33447E28"/>
    <w:rsid w:val="35290F0F"/>
    <w:rsid w:val="370406B8"/>
    <w:rsid w:val="3A7463E9"/>
    <w:rsid w:val="3AE54AB1"/>
    <w:rsid w:val="3BFC2946"/>
    <w:rsid w:val="41200F40"/>
    <w:rsid w:val="44B629D2"/>
    <w:rsid w:val="45660FB2"/>
    <w:rsid w:val="47575F54"/>
    <w:rsid w:val="4BA1250B"/>
    <w:rsid w:val="4BDF4B6A"/>
    <w:rsid w:val="4C542AFF"/>
    <w:rsid w:val="4C8C0910"/>
    <w:rsid w:val="4CE0596C"/>
    <w:rsid w:val="4E2313F5"/>
    <w:rsid w:val="4EDE5811"/>
    <w:rsid w:val="4F4014B6"/>
    <w:rsid w:val="518F57BA"/>
    <w:rsid w:val="525E7A5F"/>
    <w:rsid w:val="5A7122F9"/>
    <w:rsid w:val="5B2335F4"/>
    <w:rsid w:val="5B9522B5"/>
    <w:rsid w:val="5C3D25E3"/>
    <w:rsid w:val="5CDB60F3"/>
    <w:rsid w:val="5D6B3030"/>
    <w:rsid w:val="5DAA4D75"/>
    <w:rsid w:val="5FB5035F"/>
    <w:rsid w:val="60B74074"/>
    <w:rsid w:val="60CF2422"/>
    <w:rsid w:val="62CD0B1C"/>
    <w:rsid w:val="65614B68"/>
    <w:rsid w:val="679733D9"/>
    <w:rsid w:val="67E73027"/>
    <w:rsid w:val="685017A0"/>
    <w:rsid w:val="6A1D1E0A"/>
    <w:rsid w:val="6C1325D3"/>
    <w:rsid w:val="6C6639CC"/>
    <w:rsid w:val="6EBC62A3"/>
    <w:rsid w:val="70001CFE"/>
    <w:rsid w:val="70713EB4"/>
    <w:rsid w:val="710B37BD"/>
    <w:rsid w:val="727C5111"/>
    <w:rsid w:val="73275952"/>
    <w:rsid w:val="75541C25"/>
    <w:rsid w:val="77C206CC"/>
    <w:rsid w:val="78580517"/>
    <w:rsid w:val="7A6F3D08"/>
    <w:rsid w:val="7B4A2BC5"/>
    <w:rsid w:val="7BB463A5"/>
    <w:rsid w:val="7C3E7E36"/>
    <w:rsid w:val="7CCE2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8"/>
    <w:qFormat/>
    <w:uiPriority w:val="0"/>
    <w:pPr>
      <w:keepNext/>
      <w:jc w:val="center"/>
      <w:outlineLvl w:val="0"/>
    </w:pPr>
    <w:rPr>
      <w:kern w:val="0"/>
      <w:sz w:val="28"/>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4"/>
    <w:basedOn w:val="1"/>
    <w:next w:val="1"/>
    <w:qFormat/>
    <w:uiPriority w:val="0"/>
    <w:pPr>
      <w:keepNext/>
      <w:keepLines/>
      <w:spacing w:before="280" w:after="290" w:line="374" w:lineRule="auto"/>
      <w:outlineLvl w:val="3"/>
    </w:pPr>
    <w:rPr>
      <w:rFonts w:ascii="Cambria" w:hAnsi="Cambria"/>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rPr>
      <w:sz w:val="28"/>
    </w:rPr>
  </w:style>
  <w:style w:type="paragraph" w:styleId="6">
    <w:name w:val="Balloon Text"/>
    <w:basedOn w:val="1"/>
    <w:link w:val="31"/>
    <w:qFormat/>
    <w:uiPriority w:val="0"/>
    <w:rPr>
      <w:sz w:val="18"/>
      <w:szCs w:val="18"/>
    </w:rPr>
  </w:style>
  <w:style w:type="paragraph" w:styleId="7">
    <w:name w:val="footer"/>
    <w:basedOn w:val="1"/>
    <w:qFormat/>
    <w:uiPriority w:val="0"/>
    <w:pPr>
      <w:tabs>
        <w:tab w:val="center" w:pos="4153"/>
        <w:tab w:val="right" w:pos="8306"/>
      </w:tabs>
      <w:adjustRightInd w:val="0"/>
      <w:spacing w:line="240" w:lineRule="atLeast"/>
      <w:jc w:val="left"/>
      <w:textAlignment w:val="baseline"/>
    </w:pPr>
    <w:rPr>
      <w:kern w:val="0"/>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styleId="16">
    <w:name w:val="page number"/>
    <w:qFormat/>
    <w:uiPriority w:val="0"/>
    <w:rPr>
      <w:rFonts w:ascii="Times New Roman" w:hAnsi="Times New Roman" w:eastAsia="宋体" w:cs="Times New Roman"/>
    </w:rPr>
  </w:style>
  <w:style w:type="character" w:styleId="17">
    <w:name w:val="FollowedHyperlink"/>
    <w:basedOn w:val="14"/>
    <w:qFormat/>
    <w:uiPriority w:val="0"/>
    <w:rPr>
      <w:color w:val="800080"/>
      <w:u w:val="none"/>
    </w:rPr>
  </w:style>
  <w:style w:type="character" w:styleId="18">
    <w:name w:val="Emphasis"/>
    <w:basedOn w:val="14"/>
    <w:qFormat/>
    <w:uiPriority w:val="0"/>
    <w:rPr>
      <w:b/>
      <w:bCs/>
    </w:rPr>
  </w:style>
  <w:style w:type="character" w:styleId="19">
    <w:name w:val="HTML Definition"/>
    <w:basedOn w:val="14"/>
    <w:qFormat/>
    <w:uiPriority w:val="0"/>
  </w:style>
  <w:style w:type="character" w:styleId="20">
    <w:name w:val="HTML Typewriter"/>
    <w:basedOn w:val="14"/>
    <w:qFormat/>
    <w:uiPriority w:val="0"/>
    <w:rPr>
      <w:rFonts w:hint="default" w:ascii="monospace" w:hAnsi="monospace" w:eastAsia="monospace" w:cs="monospace"/>
      <w:sz w:val="20"/>
    </w:rPr>
  </w:style>
  <w:style w:type="character" w:styleId="21">
    <w:name w:val="HTML Acronym"/>
    <w:basedOn w:val="14"/>
    <w:qFormat/>
    <w:uiPriority w:val="0"/>
  </w:style>
  <w:style w:type="character" w:styleId="22">
    <w:name w:val="HTML Variable"/>
    <w:basedOn w:val="14"/>
    <w:qFormat/>
    <w:uiPriority w:val="0"/>
  </w:style>
  <w:style w:type="character" w:styleId="23">
    <w:name w:val="Hyperlink"/>
    <w:basedOn w:val="14"/>
    <w:qFormat/>
    <w:uiPriority w:val="0"/>
    <w:rPr>
      <w:color w:val="0000FF"/>
      <w:u w:val="none"/>
    </w:rPr>
  </w:style>
  <w:style w:type="character" w:styleId="24">
    <w:name w:val="HTML Code"/>
    <w:basedOn w:val="14"/>
    <w:qFormat/>
    <w:uiPriority w:val="0"/>
    <w:rPr>
      <w:rFonts w:hint="default" w:ascii="monospace" w:hAnsi="monospace" w:eastAsia="monospace" w:cs="monospace"/>
      <w:sz w:val="20"/>
    </w:rPr>
  </w:style>
  <w:style w:type="character" w:styleId="25">
    <w:name w:val="HTML Cite"/>
    <w:basedOn w:val="14"/>
    <w:qFormat/>
    <w:uiPriority w:val="0"/>
  </w:style>
  <w:style w:type="character" w:styleId="26">
    <w:name w:val="HTML Keyboard"/>
    <w:basedOn w:val="14"/>
    <w:qFormat/>
    <w:uiPriority w:val="0"/>
    <w:rPr>
      <w:rFonts w:ascii="monospace" w:hAnsi="monospace" w:eastAsia="monospace" w:cs="monospace"/>
      <w:sz w:val="20"/>
    </w:rPr>
  </w:style>
  <w:style w:type="character" w:styleId="27">
    <w:name w:val="HTML Sample"/>
    <w:basedOn w:val="14"/>
    <w:qFormat/>
    <w:uiPriority w:val="0"/>
    <w:rPr>
      <w:rFonts w:hint="default" w:ascii="monospace" w:hAnsi="monospace" w:eastAsia="monospace" w:cs="monospace"/>
    </w:rPr>
  </w:style>
  <w:style w:type="character" w:customStyle="1" w:styleId="28">
    <w:name w:val="标题 1 Char"/>
    <w:link w:val="3"/>
    <w:qFormat/>
    <w:uiPriority w:val="0"/>
    <w:rPr>
      <w:rFonts w:ascii="Times New Roman" w:hAnsi="Times New Roman" w:eastAsia="宋体" w:cs="Times New Roman"/>
      <w:kern w:val="0"/>
      <w:sz w:val="28"/>
    </w:rPr>
  </w:style>
  <w:style w:type="character" w:customStyle="1" w:styleId="29">
    <w:name w:val="标题 2 Char"/>
    <w:link w:val="4"/>
    <w:qFormat/>
    <w:uiPriority w:val="0"/>
    <w:rPr>
      <w:rFonts w:ascii="Arial" w:hAnsi="Arial" w:eastAsia="黑体" w:cs="Times New Roman"/>
      <w:b/>
      <w:bCs/>
      <w:kern w:val="0"/>
      <w:sz w:val="32"/>
      <w:szCs w:val="32"/>
    </w:rPr>
  </w:style>
  <w:style w:type="character" w:customStyle="1" w:styleId="30">
    <w:name w:val="NormalCharacter"/>
    <w:qFormat/>
    <w:uiPriority w:val="0"/>
    <w:rPr>
      <w:rFonts w:ascii="Times New Roman" w:hAnsi="Times New Roman" w:eastAsia="宋体" w:cs="Times New Roman"/>
      <w:sz w:val="24"/>
      <w:szCs w:val="24"/>
    </w:rPr>
  </w:style>
  <w:style w:type="character" w:customStyle="1" w:styleId="31">
    <w:name w:val="批注框文本 Char"/>
    <w:basedOn w:val="14"/>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36744</Words>
  <Characters>39604</Characters>
  <Lines>329</Lines>
  <Paragraphs>92</Paragraphs>
  <TotalTime>9</TotalTime>
  <ScaleCrop>false</ScaleCrop>
  <LinksUpToDate>false</LinksUpToDate>
  <CharactersWithSpaces>41263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2024-06-26T07:15:00Z</dcterms:created>
  <dc:creator>Administrator</dc:creator>
  <cp:lastModifiedBy>Administrator</cp:lastModifiedBy>
  <cp:lastPrinted>2024-06-17T08:27:00Z</cp:lastPrinted>
  <dcterms:modified xsi:type="dcterms:W3CDTF">2024-07-24T06:22:29Z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E18F83520212455C95885915D66DC561_11</vt:lpwstr>
  </property>
</Properties>
</file>