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可视化运维管理系统二期(二次)</w:t>
      </w:r>
    </w:p>
    <w:p>
      <w:pPr>
        <w:pStyle w:val="null3"/>
        <w:jc w:val="center"/>
        <w:outlineLvl w:val="2"/>
      </w:pPr>
      <w:r>
        <w:rPr>
          <w:sz w:val="28"/>
          <w:b/>
        </w:rPr>
        <w:t>采购项目编号：</w:t>
      </w:r>
      <w:r>
        <w:rPr>
          <w:sz w:val="28"/>
          <w:b/>
        </w:rPr>
        <w:t>0617-2422HZ2057</w:t>
      </w:r>
      <w:r>
        <w:br/>
      </w:r>
      <w:r>
        <w:br/>
      </w:r>
      <w:r>
        <w:br/>
      </w:r>
    </w:p>
    <w:p>
      <w:pPr>
        <w:pStyle w:val="null3"/>
        <w:jc w:val="center"/>
        <w:outlineLvl w:val="2"/>
      </w:pPr>
      <w:r>
        <w:rPr>
          <w:sz w:val="28"/>
          <w:b/>
        </w:rPr>
        <w:t>西安市第三医院</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2024年08月01日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西北(陕西)国际招标有限公司</w:t>
      </w:r>
      <w:r>
        <w:rPr/>
        <w:t>（以下简称“代理机构”）受</w:t>
      </w:r>
      <w:r>
        <w:rPr/>
        <w:t>西安市第三医院</w:t>
      </w:r>
      <w:r>
        <w:rPr/>
        <w:t>委托，拟对</w:t>
      </w:r>
      <w:r>
        <w:rPr/>
        <w:t>可视化运维管理系统二期(二次)</w:t>
      </w:r>
      <w:r>
        <w:rPr/>
        <w:t>采用竞争性磋商采购方式进行采购，兹邀请供应商参加本项目的竞争性磋商。</w:t>
      </w:r>
    </w:p>
    <w:p>
      <w:pPr>
        <w:pStyle w:val="null3"/>
        <w:outlineLvl w:val="2"/>
      </w:pPr>
      <w:r>
        <w:rPr>
          <w:sz w:val="28"/>
          <w:b/>
        </w:rPr>
        <w:t>一、项目编号：</w:t>
      </w:r>
      <w:r>
        <w:rPr>
          <w:sz w:val="28"/>
          <w:b/>
        </w:rPr>
        <w:t>0617-2422HZ2057</w:t>
      </w:r>
    </w:p>
    <w:p>
      <w:pPr>
        <w:pStyle w:val="null3"/>
        <w:outlineLvl w:val="2"/>
      </w:pPr>
      <w:r>
        <w:rPr>
          <w:sz w:val="28"/>
          <w:b/>
        </w:rPr>
        <w:t>二、项目名称：</w:t>
      </w:r>
      <w:r>
        <w:rPr>
          <w:sz w:val="28"/>
          <w:b/>
        </w:rPr>
        <w:t>可视化运维管理系统二期(二次)</w:t>
      </w:r>
    </w:p>
    <w:p>
      <w:pPr>
        <w:pStyle w:val="null3"/>
        <w:outlineLvl w:val="2"/>
      </w:pPr>
      <w:r>
        <w:rPr>
          <w:sz w:val="28"/>
          <w:b/>
        </w:rPr>
        <w:t>三、磋商项目简介</w:t>
      </w:r>
    </w:p>
    <w:p>
      <w:pPr>
        <w:pStyle w:val="null3"/>
        <w:ind w:firstLine="480"/>
      </w:pPr>
      <w:r>
        <w:rPr/>
        <w:t>西安市第三医院可视化运维管理系统。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或法定代表人证明书：供应商应授权合法的人员参加磋商，其中法定代表人直接参加的须出具法人身份证并与营业执照上信息一致，法定代表人授权代表参加的须出具法定代表人授权书及被授权人本单位证明 (社保)。</w:t>
      </w:r>
    </w:p>
    <w:p>
      <w:pPr>
        <w:pStyle w:val="null3"/>
      </w:pPr>
      <w:r>
        <w:rPr/>
        <w:t>2、其他要求：供应商非采购人单位职工及家属投资开办，其法人、股东和经营管理人员非采购人单位职工及家属。提供声明函。</w:t>
      </w:r>
    </w:p>
    <w:p>
      <w:pPr>
        <w:pStyle w:val="null3"/>
      </w:pPr>
      <w:r>
        <w:rPr/>
        <w:t>3、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西安市第三医院</w:t>
      </w:r>
    </w:p>
    <w:p>
      <w:pPr>
        <w:pStyle w:val="null3"/>
      </w:pPr>
      <w:r>
        <w:rPr/>
        <w:t xml:space="preserve"> 地址： </w:t>
      </w:r>
      <w:r>
        <w:rPr/>
        <w:t>陕西省西安市未央区凤城三路东路十号</w:t>
      </w:r>
    </w:p>
    <w:p>
      <w:pPr>
        <w:pStyle w:val="null3"/>
      </w:pPr>
      <w:r>
        <w:rPr/>
        <w:t xml:space="preserve"> 邮编： </w:t>
      </w:r>
      <w:r>
        <w:rPr/>
        <w:t>710000</w:t>
      </w:r>
    </w:p>
    <w:p>
      <w:pPr>
        <w:pStyle w:val="null3"/>
      </w:pPr>
      <w:r>
        <w:rPr/>
        <w:t xml:space="preserve"> 联系人： </w:t>
      </w:r>
      <w:r>
        <w:rPr/>
        <w:t>肖老师</w:t>
      </w:r>
    </w:p>
    <w:p>
      <w:pPr>
        <w:pStyle w:val="null3"/>
      </w:pPr>
      <w:r>
        <w:rPr/>
        <w:t xml:space="preserve"> 联系电话： </w:t>
      </w:r>
      <w:r>
        <w:rPr/>
        <w:t>029-6181611</w:t>
      </w:r>
    </w:p>
    <w:p>
      <w:pPr>
        <w:pStyle w:val="null3"/>
        <w:outlineLvl w:val="3"/>
      </w:pPr>
      <w:r>
        <w:rPr>
          <w:sz w:val="24"/>
          <w:b/>
        </w:rPr>
        <w:t>代理机构：</w:t>
      </w:r>
      <w:r>
        <w:rPr>
          <w:sz w:val="24"/>
          <w:b/>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710075</w:t>
      </w:r>
    </w:p>
    <w:p>
      <w:pPr>
        <w:pStyle w:val="null3"/>
      </w:pPr>
      <w:r>
        <w:rPr/>
        <w:t xml:space="preserve"> 联系人： </w:t>
      </w:r>
      <w:r>
        <w:rPr/>
        <w:t>杨凡、程佳、王炳淇、张勃</w:t>
      </w:r>
    </w:p>
    <w:p>
      <w:pPr>
        <w:pStyle w:val="null3"/>
      </w:pPr>
      <w:r>
        <w:rPr/>
        <w:t xml:space="preserve"> 联系电话： </w:t>
      </w:r>
      <w:r>
        <w:rPr/>
        <w:t>029-85592868</w:t>
      </w:r>
    </w:p>
    <w:p>
      <w:pPr>
        <w:pStyle w:val="null3"/>
        <w:outlineLvl w:val="3"/>
      </w:pPr>
      <w:r>
        <w:rPr>
          <w:sz w:val="24"/>
          <w:b/>
        </w:rPr>
        <w:t>采购监督机构：</w:t>
      </w:r>
      <w:r>
        <w:rPr>
          <w:sz w:val="24"/>
          <w:b/>
        </w:rPr>
        <w:t>西安市财政局政府采购管理处</w:t>
      </w:r>
    </w:p>
    <w:p>
      <w:pPr>
        <w:pStyle w:val="null3"/>
        <w:ind w:firstLine="480"/>
      </w:pPr>
      <w:r>
        <w:rPr/>
        <w:t>联系人：</w:t>
      </w:r>
      <w:r>
        <w:rPr/>
        <w:t>/</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标准下浮20%计算，向中标（成交）供应商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西安市第三医院</w:t>
      </w:r>
      <w:r>
        <w:rPr/>
        <w:t>和</w:t>
      </w:r>
      <w:r>
        <w:rPr/>
        <w:t>西北(陕西)国际招标有限公司</w:t>
      </w:r>
      <w:r>
        <w:rPr/>
        <w:t>享有。对磋商文件中供应商参加本次政府采购活动应当具备的条件，磋商项目技术、服务、商务及其他要求，评审细则及标准由</w:t>
      </w:r>
      <w:r>
        <w:rPr/>
        <w:t>西安市第三医院</w:t>
      </w:r>
      <w:r>
        <w:rPr/>
        <w:t>负责解释。除上述磋商文件内容，其他内容由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西安市第三医院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按采购文件、响应文件及合同要求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地址：陕西省西安市南二环西段58号成长大厦12楼1203室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rPr>
        <w:t>西安市第三医院在一期建设中，实现了信息中心机房的动力环境基础监控以及信息资源的运行情况监控的基础目标。主要内容包括：</w:t>
      </w:r>
    </w:p>
    <w:p>
      <w:pPr>
        <w:pStyle w:val="null3"/>
        <w:ind w:firstLine="480"/>
      </w:pPr>
      <w:r>
        <w:rPr>
          <w:rFonts w:ascii="calibri" w:hAnsi="calibri" w:cs="calibri" w:eastAsia="calibri"/>
        </w:rPr>
        <w:t>1</w:t>
      </w:r>
      <w:r>
        <w:rPr>
          <w:rFonts w:ascii="宋体" w:hAnsi="宋体" w:cs="宋体" w:eastAsia="宋体"/>
        </w:rPr>
        <w:t>、资源管理：融合所有资源类型，以树形结构为逻辑导航，实现资源的统一化管理和监控，支持全局的资源搜索与展示，即可在一张表同时展现网络设备、服务器、存储、数据库、应用资源，包括资源的</w:t>
      </w:r>
      <w:r>
        <w:rPr>
          <w:rFonts w:ascii="calibri" w:hAnsi="calibri" w:cs="calibri" w:eastAsia="calibri"/>
        </w:rPr>
        <w:t>IP</w:t>
      </w:r>
      <w:r>
        <w:rPr>
          <w:rFonts w:ascii="宋体" w:hAnsi="宋体" w:cs="宋体" w:eastAsia="宋体"/>
        </w:rPr>
        <w:t>、名称、类型、状态、数据域、描述信息等，并能够基于关键字搜索，也能按照列进行排序，便于运维人员对全局资源的快速查看以定位，方便运维人员操作。自动记录系统中对设备的操作日志，设备的预警信息能够基于时间轴表达，直观展示资源预警信息</w:t>
      </w:r>
      <w:r>
        <w:rPr>
          <w:rFonts w:ascii="宋体" w:hAnsi="宋体" w:cs="宋体" w:eastAsia="宋体"/>
        </w:rPr>
        <w:t>。</w:t>
      </w:r>
    </w:p>
    <w:p>
      <w:pPr>
        <w:pStyle w:val="null3"/>
        <w:ind w:firstLine="480"/>
      </w:pPr>
      <w:r>
        <w:rPr>
          <w:rFonts w:ascii="calibri" w:hAnsi="calibri" w:cs="calibri" w:eastAsia="calibri"/>
        </w:rPr>
        <w:t>2</w:t>
      </w:r>
      <w:r>
        <w:rPr>
          <w:rFonts w:ascii="宋体" w:hAnsi="宋体" w:cs="宋体" w:eastAsia="宋体"/>
        </w:rPr>
        <w:t>、对于信息中心整体设备运营状况的台账式管理，包括：网络设备管理、服务器管理、应用管理、虚拟化管理和存储管理</w:t>
      </w:r>
      <w:r>
        <w:rPr>
          <w:rFonts w:ascii="宋体" w:hAnsi="宋体" w:cs="宋体" w:eastAsia="宋体"/>
        </w:rPr>
        <w:t>。</w:t>
      </w:r>
    </w:p>
    <w:p>
      <w:pPr>
        <w:pStyle w:val="null3"/>
        <w:ind w:firstLine="480"/>
      </w:pPr>
      <w:r>
        <w:rPr>
          <w:rFonts w:ascii="calibri" w:hAnsi="calibri" w:cs="calibri" w:eastAsia="calibri"/>
        </w:rPr>
        <w:t>3</w:t>
      </w:r>
      <w:r>
        <w:rPr>
          <w:rFonts w:ascii="宋体" w:hAnsi="宋体" w:cs="宋体" w:eastAsia="宋体"/>
        </w:rPr>
        <w:t>、业务管理：将业务应用及承载业务的</w:t>
      </w:r>
      <w:r>
        <w:rPr>
          <w:rFonts w:ascii="calibri" w:hAnsi="calibri" w:cs="calibri" w:eastAsia="calibri"/>
        </w:rPr>
        <w:t>IT</w:t>
      </w:r>
      <w:r>
        <w:rPr>
          <w:rFonts w:ascii="宋体" w:hAnsi="宋体" w:cs="宋体" w:eastAsia="宋体"/>
        </w:rPr>
        <w:t>基础设施构建成真实的业务模型；立体化监控与分析下属资源运行状态。支持将监控到所有资源进行业务建模，根据相应的业务模型和相关的算法计算业务的健康度和繁忙度，算法权重可人为干预，可定义资源以及指标的权重。能够定义设备接口速率与数据库访问量到业务详情，以图形化方式展现。能够自动、手动构建业务拓扑图，直观反映业务模型与状态，并可集成到业务详情页面显示。通过业务详情可直观展现运行情况，面向业务服务管理层面，立体化监控与分析以用户业务为导向，从</w:t>
      </w:r>
      <w:r>
        <w:rPr>
          <w:rFonts w:ascii="calibri" w:hAnsi="calibri" w:cs="calibri" w:eastAsia="calibri"/>
        </w:rPr>
        <w:t>IT</w:t>
      </w:r>
      <w:r>
        <w:rPr>
          <w:rFonts w:ascii="宋体" w:hAnsi="宋体" w:cs="宋体" w:eastAsia="宋体"/>
        </w:rPr>
        <w:t>管理更高的水平高度上，以直观、便捷的方式帮助用户实现对业务监控，辅助用户执行高效率、高质量的业务管理。</w:t>
      </w:r>
    </w:p>
    <w:p>
      <w:pPr>
        <w:pStyle w:val="null3"/>
        <w:ind w:firstLine="480"/>
      </w:pPr>
      <w:r>
        <w:rPr>
          <w:rFonts w:ascii="calibri" w:hAnsi="calibri" w:cs="calibri" w:eastAsia="calibri"/>
        </w:rPr>
        <w:t>4</w:t>
      </w:r>
      <w:r>
        <w:rPr>
          <w:rFonts w:ascii="宋体" w:hAnsi="宋体" w:cs="宋体" w:eastAsia="宋体"/>
        </w:rPr>
        <w:t>、将信息中心机房的动力环境基础监控与上述资源管理平台打通，实现信息中心在统一入口下的综合性一体化监控管理运维平台。</w:t>
      </w:r>
    </w:p>
    <w:p>
      <w:pPr>
        <w:pStyle w:val="null3"/>
        <w:ind w:firstLine="480"/>
      </w:pPr>
      <w:r>
        <w:rPr>
          <w:rFonts w:ascii="宋体" w:hAnsi="宋体" w:cs="宋体" w:eastAsia="宋体"/>
        </w:rPr>
        <w:t>医院整体园区二期建设过程中，信息化建设的发展以及对于医院整体运营、借助新的信息化技术促进推动医院信息化管理及数字化转型升级的需要，融合一期建设内容，使已有技术方案在智慧医院建设中，采用数字孪生技术实现虚拟建模技术还原物理场景，更有效的发挥作用，促进医院信息化发展进程，推进医院运营的数智化。</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可视化运维管理项目</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标的名称：可视化运维管理项目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simsun" w:hAnsi="simsun" w:cs="simsun" w:eastAsia="simsun"/>
                <w:sz w:val="21"/>
              </w:rPr>
              <w:t>建设内容：</w:t>
            </w:r>
          </w:p>
          <w:p>
            <w:pPr>
              <w:pStyle w:val="null3"/>
            </w:pPr>
            <w:r>
              <w:rPr>
                <w:rFonts w:ascii="simsun" w:hAnsi="simsun" w:cs="simsun" w:eastAsia="simsun"/>
                <w:sz w:val="21"/>
              </w:rPr>
              <w:t>一、医院物理空间基础数据的采集处理</w:t>
            </w:r>
          </w:p>
          <w:p>
            <w:pPr>
              <w:pStyle w:val="null3"/>
            </w:pPr>
            <w:r>
              <w:rPr>
                <w:rFonts w:ascii="simsun" w:hAnsi="simsun" w:cs="simsun" w:eastAsia="simsun"/>
                <w:sz w:val="21"/>
              </w:rPr>
              <w:t xml:space="preserve">  采用高清影像图反映医院院区的周边真实景象</w:t>
            </w:r>
          </w:p>
          <w:p>
            <w:pPr>
              <w:pStyle w:val="null3"/>
            </w:pPr>
            <w:r>
              <w:rPr>
                <w:rFonts w:ascii="simsun" w:hAnsi="simsun" w:cs="simsun" w:eastAsia="simsun"/>
                <w:sz w:val="21"/>
              </w:rPr>
              <w:t xml:space="preserve">  采用GIS地图反映医院真实地理信息坐标</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simsun" w:hAnsi="simsun" w:cs="simsun" w:eastAsia="simsun"/>
                <w:sz w:val="21"/>
              </w:rPr>
              <w:t>建设内容：</w:t>
            </w:r>
          </w:p>
          <w:p>
            <w:pPr>
              <w:pStyle w:val="null3"/>
            </w:pPr>
            <w:r>
              <w:rPr>
                <w:rFonts w:ascii="simsun" w:hAnsi="simsun" w:cs="simsun" w:eastAsia="simsun"/>
                <w:sz w:val="21"/>
              </w:rPr>
              <w:t>一、建筑</w:t>
            </w:r>
            <w:r>
              <w:rPr>
                <w:rFonts w:ascii="simsun" w:hAnsi="simsun" w:cs="simsun" w:eastAsia="simsun"/>
                <w:sz w:val="21"/>
              </w:rPr>
              <w:t>精细建模</w:t>
            </w:r>
          </w:p>
          <w:p>
            <w:pPr>
              <w:pStyle w:val="null3"/>
            </w:pPr>
            <w:r>
              <w:rPr>
                <w:rFonts w:ascii="simsun" w:hAnsi="simsun" w:cs="simsun" w:eastAsia="simsun"/>
                <w:sz w:val="21"/>
              </w:rPr>
              <w:t xml:space="preserve">  （1）采集重点</w:t>
            </w:r>
            <w:r>
              <w:rPr>
                <w:rFonts w:ascii="simsun" w:hAnsi="simsun" w:cs="simsun" w:eastAsia="simsun"/>
                <w:sz w:val="21"/>
              </w:rPr>
              <w:t>建筑物的高清照片，从不同角度确保建筑细节的完整捕捉。</w:t>
            </w:r>
          </w:p>
          <w:p>
            <w:pPr>
              <w:pStyle w:val="null3"/>
            </w:pPr>
            <w:r>
              <w:rPr>
                <w:rFonts w:ascii="simsun" w:hAnsi="simsun" w:cs="simsun" w:eastAsia="simsun"/>
                <w:sz w:val="21"/>
              </w:rPr>
              <w:t xml:space="preserve">  （2）采用3Dmax等软件建模，建设高精度模型。</w:t>
            </w:r>
          </w:p>
          <w:p>
            <w:pPr>
              <w:pStyle w:val="null3"/>
            </w:pPr>
            <w:r>
              <w:rPr>
                <w:rFonts w:ascii="simsun" w:hAnsi="simsun" w:cs="simsun" w:eastAsia="simsun"/>
                <w:sz w:val="21"/>
              </w:rPr>
              <w:t xml:space="preserve">  （3）使用建筑物真实照片提取贴图，对建筑物模型的外观进行高质量的纹理映射。</w:t>
            </w:r>
          </w:p>
          <w:p>
            <w:pPr>
              <w:pStyle w:val="null3"/>
            </w:pPr>
            <w:r>
              <w:rPr>
                <w:rFonts w:ascii="simsun" w:hAnsi="simsun" w:cs="simsun" w:eastAsia="simsun"/>
                <w:sz w:val="21"/>
              </w:rPr>
              <w:t xml:space="preserve">  （4）精确模拟建筑物的</w:t>
            </w:r>
            <w:r>
              <w:rPr>
                <w:rFonts w:ascii="simsun" w:hAnsi="simsun" w:cs="simsun" w:eastAsia="simsun"/>
                <w:sz w:val="21"/>
              </w:rPr>
              <w:t>结构造型，包括立面、屋顶、门窗、装饰等，并确保与实物一致。</w:t>
            </w:r>
          </w:p>
          <w:p>
            <w:pPr>
              <w:pStyle w:val="null3"/>
            </w:pPr>
            <w:r>
              <w:rPr>
                <w:rFonts w:ascii="simsun" w:hAnsi="simsun" w:cs="simsun" w:eastAsia="simsun"/>
                <w:sz w:val="21"/>
              </w:rPr>
              <w:t xml:space="preserve">  （5）模型需在孪生场景中，确保无缝对接，视觉效果自然流畅。</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simsun" w:hAnsi="simsun" w:cs="simsun" w:eastAsia="simsun"/>
                <w:sz w:val="21"/>
              </w:rPr>
              <w:t>建设内容：</w:t>
            </w:r>
          </w:p>
          <w:p>
            <w:pPr>
              <w:pStyle w:val="null3"/>
            </w:pPr>
            <w:r>
              <w:rPr>
                <w:rFonts w:ascii="simsun" w:hAnsi="simsun" w:cs="simsun" w:eastAsia="simsun"/>
                <w:sz w:val="21"/>
              </w:rPr>
              <w:t>一、室内设施精细建模</w:t>
            </w:r>
          </w:p>
          <w:p>
            <w:pPr>
              <w:pStyle w:val="null3"/>
            </w:pPr>
            <w:r>
              <w:rPr>
                <w:rFonts w:ascii="simsun" w:hAnsi="simsun" w:cs="simsun" w:eastAsia="simsun"/>
                <w:sz w:val="21"/>
              </w:rPr>
              <w:t xml:space="preserve">  （1）对室内关键区域，如生产机房、备份机房、弱电井等进行精细化建模，纳入重点建模范围。</w:t>
            </w:r>
          </w:p>
          <w:p>
            <w:pPr>
              <w:pStyle w:val="null3"/>
            </w:pPr>
            <w:r>
              <w:rPr>
                <w:rFonts w:ascii="simsun" w:hAnsi="simsun" w:cs="simsun" w:eastAsia="simsun"/>
                <w:sz w:val="21"/>
              </w:rPr>
              <w:t xml:space="preserve">  （2）采集室内设施和部件的精细照片，获取真实的纹理信息。</w:t>
            </w:r>
          </w:p>
          <w:p>
            <w:pPr>
              <w:pStyle w:val="null3"/>
            </w:pPr>
            <w:r>
              <w:rPr>
                <w:rFonts w:ascii="simsun" w:hAnsi="simsun" w:cs="simsun" w:eastAsia="simsun"/>
                <w:sz w:val="21"/>
              </w:rPr>
              <w:t xml:space="preserve">  （3）精确模拟室内的基础设施构件，包括空间布局、机械设备、电缆走线等。</w:t>
            </w:r>
          </w:p>
          <w:p>
            <w:pPr>
              <w:pStyle w:val="null3"/>
            </w:pPr>
            <w:r>
              <w:rPr>
                <w:rFonts w:ascii="simsun" w:hAnsi="simsun" w:cs="simsun" w:eastAsia="simsun"/>
                <w:sz w:val="21"/>
              </w:rPr>
              <w:t xml:space="preserve">  （4）确保室内模型的精确度和清晰度，可用于设施管理和维修计划优化。</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simsun" w:hAnsi="simsun" w:cs="simsun" w:eastAsia="simsun"/>
                <w:sz w:val="21"/>
              </w:rPr>
              <w:t>建设内容：</w:t>
            </w:r>
          </w:p>
          <w:p>
            <w:pPr>
              <w:pStyle w:val="null3"/>
            </w:pPr>
            <w:r>
              <w:rPr>
                <w:rFonts w:ascii="simsun" w:hAnsi="simsun" w:cs="simsun" w:eastAsia="simsun"/>
                <w:sz w:val="21"/>
              </w:rPr>
              <w:t>二、数据的汇聚&amp;接入</w:t>
            </w:r>
          </w:p>
          <w:p>
            <w:pPr>
              <w:pStyle w:val="null3"/>
              <w:ind w:firstLine="400"/>
            </w:pPr>
            <w:r>
              <w:rPr>
                <w:rFonts w:ascii="simsun" w:hAnsi="simsun" w:cs="simsun" w:eastAsia="simsun"/>
                <w:sz w:val="21"/>
              </w:rPr>
              <w:t>数据的汇聚&amp;接入主要包括：数据接入和数据处理2部分</w:t>
            </w:r>
          </w:p>
          <w:p>
            <w:pPr>
              <w:pStyle w:val="null3"/>
              <w:ind w:firstLine="400"/>
            </w:pPr>
            <w:r>
              <w:rPr>
                <w:rFonts w:ascii="simsun" w:hAnsi="simsun" w:cs="simsun" w:eastAsia="simsun"/>
                <w:sz w:val="21"/>
              </w:rPr>
              <w:t>（一）数据接入</w:t>
            </w:r>
          </w:p>
          <w:p>
            <w:pPr>
              <w:pStyle w:val="null3"/>
              <w:ind w:firstLine="400"/>
            </w:pPr>
            <w:r>
              <w:rPr>
                <w:rFonts w:ascii="simsun" w:hAnsi="simsun" w:cs="simsun" w:eastAsia="simsun"/>
                <w:sz w:val="21"/>
              </w:rPr>
              <w:t>数据针对信息中心机房的网管系统和动环系统相关数据进行接入，在起始阶段定义数据获取、处理、治理、组织、服务各环节的流程、方法和流转机制，并根据数据探查和定义将数据接入运营中心，完成与数据提供方的数据对帐。</w:t>
            </w:r>
          </w:p>
          <w:p>
            <w:pPr>
              <w:pStyle w:val="null3"/>
              <w:ind w:firstLine="400"/>
            </w:pPr>
            <w:r>
              <w:rPr>
                <w:rFonts w:ascii="simsun" w:hAnsi="simsun" w:cs="simsun" w:eastAsia="simsun"/>
                <w:sz w:val="21"/>
              </w:rPr>
              <w:t>（二）数据处理</w:t>
            </w:r>
          </w:p>
          <w:p>
            <w:pPr>
              <w:pStyle w:val="null3"/>
              <w:jc w:val="both"/>
            </w:pPr>
            <w:r>
              <w:rPr>
                <w:rFonts w:ascii="simsun" w:hAnsi="simsun" w:cs="simsun" w:eastAsia="simsun"/>
                <w:sz w:val="21"/>
              </w:rPr>
              <w:t xml:space="preserve">   数据处理主要对接入的数据进行标准化处理。通过对接入的源数据按照数据标准的约定进行提取、清洗、比对、关联、打标等规范化流程处理，以过滤掉业务不关心的数据，提高数据关联度和业务紧密度，进而提升数据价值密度，实现数据增值。</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simsun" w:hAnsi="simsun" w:cs="simsun" w:eastAsia="simsun"/>
                <w:sz w:val="21"/>
              </w:rPr>
              <w:t>建设内容：</w:t>
            </w:r>
          </w:p>
          <w:p>
            <w:pPr>
              <w:pStyle w:val="null3"/>
            </w:pPr>
            <w:r>
              <w:rPr>
                <w:rFonts w:ascii="simsun" w:hAnsi="simsun" w:cs="simsun" w:eastAsia="simsun"/>
                <w:sz w:val="21"/>
              </w:rPr>
              <w:t>三、数字孪生可视化基础平台部署</w:t>
            </w:r>
          </w:p>
          <w:p>
            <w:pPr>
              <w:pStyle w:val="null3"/>
            </w:pPr>
            <w:r>
              <w:rPr>
                <w:rFonts w:ascii="simsun" w:hAnsi="simsun" w:cs="simsun" w:eastAsia="simsun"/>
                <w:sz w:val="21"/>
              </w:rPr>
              <w:t xml:space="preserve">  数字孪生可视化基础平台基于平台的接入能力，提供包含面向数字孪生的全域3D地图场景搭建服务、超真实感渲染引擎、三维特效组件库、数字孪生引擎开发主件，提供嵌入式页面（C/S架构）和云渲染服务系统（B/S架构）两种业务集成方式，满足各种业务场景与应用和部署需求。</w:t>
            </w:r>
          </w:p>
          <w:p>
            <w:pPr>
              <w:pStyle w:val="null3"/>
              <w:jc w:val="both"/>
            </w:pPr>
          </w:p>
        </w:tc>
      </w:tr>
      <w:tr>
        <w:tc>
          <w:tcPr>
            <w:tcW w:type="dxa" w:w="2769"/>
          </w:tcPr>
          <w:p>
            <w:pPr>
              <w:pStyle w:val="null3"/>
            </w:pPr>
            <w:r>
              <w:rPr/>
              <w:t>★</w:t>
            </w:r>
          </w:p>
        </w:tc>
        <w:tc>
          <w:tcPr>
            <w:tcW w:type="dxa" w:w="2769"/>
          </w:tcPr>
          <w:p>
            <w:pPr>
              <w:pStyle w:val="null3"/>
            </w:pPr>
            <w:r>
              <w:rPr/>
              <w:t>6</w:t>
            </w:r>
          </w:p>
        </w:tc>
        <w:tc>
          <w:tcPr>
            <w:tcW w:type="dxa" w:w="2769"/>
          </w:tcPr>
          <w:p>
            <w:pPr>
              <w:pStyle w:val="null3"/>
            </w:pPr>
            <w:r>
              <w:rPr>
                <w:rFonts w:ascii="simsun" w:hAnsi="simsun" w:cs="simsun" w:eastAsia="simsun"/>
                <w:sz w:val="21"/>
              </w:rPr>
              <w:t>建设内容：</w:t>
            </w:r>
          </w:p>
          <w:p>
            <w:pPr>
              <w:pStyle w:val="null3"/>
            </w:pPr>
            <w:r>
              <w:rPr>
                <w:rFonts w:ascii="simsun" w:hAnsi="simsun" w:cs="simsun" w:eastAsia="simsun"/>
                <w:sz w:val="21"/>
              </w:rPr>
              <w:t>四、医院可视化场景</w:t>
            </w:r>
          </w:p>
          <w:p>
            <w:pPr>
              <w:pStyle w:val="null3"/>
              <w:ind w:firstLine="400"/>
            </w:pPr>
            <w:r>
              <w:rPr>
                <w:rFonts w:ascii="simsun" w:hAnsi="simsun" w:cs="simsun" w:eastAsia="simsun"/>
                <w:sz w:val="21"/>
              </w:rPr>
              <w:t>面向智慧医院管理者、全景呈现整个医院全局概貌。快速定位医院环控等设备在医院各个建筑的位置，并展示医院机房运行动态情况、医院相关静态数据的统计分析展示。</w:t>
            </w:r>
          </w:p>
          <w:p>
            <w:pPr>
              <w:pStyle w:val="null3"/>
              <w:ind w:firstLine="400"/>
            </w:pPr>
            <w:r>
              <w:rPr>
                <w:rFonts w:ascii="simsun" w:hAnsi="simsun" w:cs="simsun" w:eastAsia="simsun"/>
                <w:sz w:val="21"/>
              </w:rPr>
              <w:t>(一)智慧机房动环系统监控管理</w:t>
            </w:r>
          </w:p>
          <w:p>
            <w:pPr>
              <w:pStyle w:val="null3"/>
              <w:ind w:firstLine="400"/>
            </w:pPr>
            <w:r>
              <w:rPr>
                <w:rFonts w:ascii="simsun" w:hAnsi="simsun" w:cs="simsun" w:eastAsia="simsun"/>
                <w:sz w:val="21"/>
              </w:rPr>
              <w:t>与动环监控系统进行集成，通过3D视图展示环境设备运行信息、展示温湿度监测点位置，能实时查看温湿度等动环数据，能实时查看动环系统中相关设备运行数据、告警数据。</w:t>
            </w:r>
          </w:p>
          <w:p>
            <w:pPr>
              <w:pStyle w:val="null3"/>
              <w:ind w:firstLine="400"/>
            </w:pPr>
            <w:r>
              <w:rPr>
                <w:rFonts w:ascii="simsun" w:hAnsi="simsun" w:cs="simsun" w:eastAsia="simsun"/>
                <w:sz w:val="21"/>
              </w:rPr>
              <w:t>（二）网管系统展示</w:t>
            </w:r>
          </w:p>
          <w:p>
            <w:pPr>
              <w:pStyle w:val="null3"/>
              <w:jc w:val="both"/>
            </w:pPr>
            <w:r>
              <w:rPr>
                <w:rFonts w:ascii="simsun" w:hAnsi="simsun" w:cs="simsun" w:eastAsia="simsun"/>
                <w:sz w:val="21"/>
              </w:rPr>
              <w:t>与网管系统进行集成，通过可视化方式展示网管相关数据。</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rFonts w:ascii="simsun" w:hAnsi="simsun" w:cs="simsun" w:eastAsia="simsun"/>
                <w:sz w:val="21"/>
              </w:rPr>
              <w:t>建设内容：</w:t>
            </w:r>
          </w:p>
          <w:p>
            <w:pPr>
              <w:pStyle w:val="null3"/>
            </w:pPr>
            <w:r>
              <w:rPr>
                <w:rFonts w:ascii="宋体" w:hAnsi="宋体" w:cs="宋体" w:eastAsia="宋体"/>
                <w:sz w:val="21"/>
              </w:rPr>
              <w:t>五、数据接口</w:t>
            </w:r>
          </w:p>
          <w:p>
            <w:pPr>
              <w:pStyle w:val="null3"/>
              <w:jc w:val="both"/>
            </w:pPr>
            <w:r>
              <w:rPr>
                <w:rFonts w:ascii="宋体" w:hAnsi="宋体" w:cs="宋体" w:eastAsia="宋体"/>
                <w:sz w:val="21"/>
              </w:rPr>
              <w:t xml:space="preserve">  实施需要与多个第三方管理子系统对接，第三方系统接口协议规范能够支持</w:t>
            </w:r>
            <w:r>
              <w:rPr>
                <w:rFonts w:ascii="宋体" w:hAnsi="宋体" w:cs="宋体" w:eastAsia="宋体"/>
                <w:sz w:val="21"/>
              </w:rPr>
              <w:t>ActiveMQ、Socket, Syslog, HTTP, Web Service, JDBC, SNMP、JSON等数据格式，并且第三方系统能够提供接口说明文档。</w:t>
            </w:r>
          </w:p>
          <w:p>
            <w:pPr>
              <w:pStyle w:val="null3"/>
              <w:jc w:val="both"/>
            </w:pPr>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simsun" w:hAnsi="simsun" w:cs="simsun" w:eastAsia="simsun"/>
                <w:sz w:val="21"/>
              </w:rPr>
              <w:t>技术要求：</w:t>
            </w:r>
          </w:p>
          <w:p>
            <w:pPr>
              <w:pStyle w:val="null3"/>
              <w:jc w:val="both"/>
            </w:pPr>
            <w:r>
              <w:rPr>
                <w:rFonts w:ascii="simsun" w:hAnsi="simsun" w:cs="simsun" w:eastAsia="simsun"/>
                <w:sz w:val="21"/>
              </w:rPr>
              <w:t>一、模型应具备良好的扩展性和兼容性，支持后续的智慧医院信息系统集成。支持二次开发，包含云渲染SDK和WebGL SDK，拥有丰富的开发者资源，支持75+种三维数据格式兼容，由模型建设平台提供技术承诺或证明文件。</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simsun" w:hAnsi="simsun" w:cs="simsun" w:eastAsia="simsun"/>
                <w:sz w:val="21"/>
              </w:rPr>
              <w:t>技术要求：</w:t>
            </w:r>
          </w:p>
          <w:p>
            <w:pPr>
              <w:pStyle w:val="null3"/>
              <w:jc w:val="both"/>
            </w:pPr>
            <w:r>
              <w:rPr>
                <w:rFonts w:ascii="simsun" w:hAnsi="simsun" w:cs="simsun" w:eastAsia="simsun"/>
                <w:sz w:val="21"/>
              </w:rPr>
              <w:t>二、建模过程中需遵守有关隐私和信息安全的法律法规，确保、医院建设情况、病患和员工的个人信息不被泄露。</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rFonts w:ascii="simsun" w:hAnsi="simsun" w:cs="simsun" w:eastAsia="simsun"/>
                <w:sz w:val="21"/>
              </w:rPr>
              <w:t>技术要求：</w:t>
            </w:r>
          </w:p>
          <w:p>
            <w:pPr>
              <w:pStyle w:val="null3"/>
            </w:pPr>
            <w:r>
              <w:rPr>
                <w:rFonts w:ascii="simsun" w:hAnsi="simsun" w:cs="simsun" w:eastAsia="simsun"/>
                <w:sz w:val="21"/>
              </w:rPr>
              <w:t>三、建模平台软件功能方面：</w:t>
            </w:r>
          </w:p>
          <w:p>
            <w:pPr>
              <w:pStyle w:val="null3"/>
              <w:jc w:val="both"/>
            </w:pPr>
            <w:r>
              <w:rPr>
                <w:rFonts w:ascii="simsun" w:hAnsi="simsun" w:cs="simsun" w:eastAsia="simsun"/>
                <w:sz w:val="21"/>
              </w:rPr>
              <w:t xml:space="preserve">  支持大气雾、高度雾以及最新的图形效果，支持全局动态光照，可以动态的烘培场景中众多采样点的球谐光照信息，这些信息将赋予它周围动态、静态物体丰富的全局光照信息。支持从任意角度、距离观察场景中的建筑，道路建设情况，支持实时光照渲染，可以查看不同时间段光照效果。采用实时光线追踪，并且内置丰富的材质，达到影视级效果</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rFonts w:ascii="simsun" w:hAnsi="simsun" w:cs="simsun" w:eastAsia="simsun"/>
                <w:sz w:val="21"/>
              </w:rPr>
              <w:t>技术要求：</w:t>
            </w:r>
          </w:p>
          <w:p>
            <w:pPr>
              <w:pStyle w:val="null3"/>
            </w:pPr>
            <w:r>
              <w:rPr>
                <w:rFonts w:ascii="simsun" w:hAnsi="simsun" w:cs="simsun" w:eastAsia="simsun"/>
                <w:sz w:val="21"/>
              </w:rPr>
              <w:t>四、建模平台软件功能方面：</w:t>
            </w:r>
          </w:p>
          <w:p>
            <w:pPr>
              <w:pStyle w:val="null3"/>
              <w:jc w:val="both"/>
            </w:pPr>
            <w:r>
              <w:rPr>
                <w:rFonts w:ascii="simsun" w:hAnsi="simsun" w:cs="simsun" w:eastAsia="simsun"/>
                <w:sz w:val="21"/>
              </w:rPr>
              <w:t xml:space="preserve">  支持海量CIM数据与服务接入，将高精度地图、BIM、实景三维模型、建筑精模/白模、IoT等三维数据融合到全球统一地理空间坐标系下。</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rFonts w:ascii="simsun" w:hAnsi="simsun" w:cs="simsun" w:eastAsia="simsun"/>
                <w:sz w:val="21"/>
              </w:rPr>
              <w:t>技术要求：</w:t>
            </w:r>
          </w:p>
          <w:p>
            <w:pPr>
              <w:pStyle w:val="null3"/>
            </w:pPr>
            <w:r>
              <w:rPr>
                <w:rFonts w:ascii="simsun" w:hAnsi="simsun" w:cs="simsun" w:eastAsia="simsun"/>
                <w:sz w:val="21"/>
              </w:rPr>
              <w:t>五、建模平台软件功能方面：</w:t>
            </w:r>
          </w:p>
          <w:p>
            <w:pPr>
              <w:pStyle w:val="null3"/>
              <w:jc w:val="both"/>
            </w:pPr>
            <w:r>
              <w:rPr>
                <w:rFonts w:ascii="simsun" w:hAnsi="simsun" w:cs="simsun" w:eastAsia="simsun"/>
                <w:sz w:val="21"/>
              </w:rPr>
              <w:t xml:space="preserve">  支持园区机房内设备的上下架，并通过可视化界面能够快速绑定设备数据接口，实现数据互通，无代码实现设备的多维度管理，帮助运维、运营部门降低人工成本，提升管理效率。</w:t>
            </w:r>
          </w:p>
        </w:tc>
      </w:tr>
      <w:tr>
        <w:tc>
          <w:tcPr>
            <w:tcW w:type="dxa" w:w="2769"/>
          </w:tcPr>
          <w:p>
            <w:pPr>
              <w:pStyle w:val="null3"/>
            </w:pPr>
            <w:r>
              <w:rPr/>
              <w:t>▲</w:t>
            </w:r>
          </w:p>
        </w:tc>
        <w:tc>
          <w:tcPr>
            <w:tcW w:type="dxa" w:w="2769"/>
          </w:tcPr>
          <w:p>
            <w:pPr>
              <w:pStyle w:val="null3"/>
            </w:pPr>
            <w:r>
              <w:rPr/>
              <w:t>13</w:t>
            </w:r>
          </w:p>
        </w:tc>
        <w:tc>
          <w:tcPr>
            <w:tcW w:type="dxa" w:w="2769"/>
          </w:tcPr>
          <w:p>
            <w:pPr>
              <w:pStyle w:val="null3"/>
            </w:pPr>
            <w:r>
              <w:rPr>
                <w:rFonts w:ascii="simsun" w:hAnsi="simsun" w:cs="simsun" w:eastAsia="simsun"/>
                <w:sz w:val="21"/>
              </w:rPr>
              <w:t>技术要求：</w:t>
            </w:r>
          </w:p>
          <w:p>
            <w:pPr>
              <w:pStyle w:val="null3"/>
            </w:pPr>
            <w:r>
              <w:rPr>
                <w:rFonts w:ascii="simsun" w:hAnsi="simsun" w:cs="simsun" w:eastAsia="simsun"/>
                <w:sz w:val="21"/>
              </w:rPr>
              <w:t>六、建模平台软件功能方面：</w:t>
            </w:r>
          </w:p>
          <w:p>
            <w:pPr>
              <w:pStyle w:val="null3"/>
              <w:jc w:val="both"/>
            </w:pPr>
            <w:r>
              <w:rPr>
                <w:rFonts w:ascii="simsun" w:hAnsi="simsun" w:cs="simsun" w:eastAsia="simsun"/>
                <w:sz w:val="21"/>
              </w:rPr>
              <w:t xml:space="preserve">  提供一套负责交涉Web页面和三维场景服务的编程接口（for JavaScript），支持二次开发，便于后续院方新的业务场景升级。API兼容当前主流的前端框架，为前端开发人员提供快速便捷的开发接口。</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rFonts w:ascii="simsun" w:hAnsi="simsun" w:cs="simsun" w:eastAsia="simsun"/>
                <w:sz w:val="21"/>
              </w:rPr>
              <w:t>技术要求：</w:t>
            </w:r>
          </w:p>
          <w:p>
            <w:pPr>
              <w:pStyle w:val="null3"/>
            </w:pPr>
            <w:r>
              <w:rPr>
                <w:rFonts w:ascii="simsun" w:hAnsi="simsun" w:cs="simsun" w:eastAsia="simsun"/>
                <w:sz w:val="21"/>
              </w:rPr>
              <w:t>七、建模平台软件功能方面：</w:t>
            </w:r>
          </w:p>
          <w:p>
            <w:pPr>
              <w:pStyle w:val="null3"/>
              <w:jc w:val="both"/>
            </w:pPr>
            <w:r>
              <w:rPr>
                <w:rFonts w:ascii="simsun" w:hAnsi="simsun" w:cs="simsun" w:eastAsia="simsun"/>
                <w:sz w:val="21"/>
              </w:rPr>
              <w:t xml:space="preserve">  支持基础地理数据接入，包括矢量数据、影像数据、瓦片数据、地形数据、白模数据等符合OGC标准的数据。</w:t>
            </w:r>
          </w:p>
        </w:tc>
      </w:tr>
      <w:tr>
        <w:tc>
          <w:tcPr>
            <w:tcW w:type="dxa" w:w="2769"/>
          </w:tcPr>
          <w:p>
            <w:pPr>
              <w:pStyle w:val="null3"/>
            </w:pPr>
            <w:r>
              <w:rPr/>
              <w:t>★</w:t>
            </w:r>
          </w:p>
        </w:tc>
        <w:tc>
          <w:tcPr>
            <w:tcW w:type="dxa" w:w="2769"/>
          </w:tcPr>
          <w:p>
            <w:pPr>
              <w:pStyle w:val="null3"/>
            </w:pPr>
            <w:r>
              <w:rPr/>
              <w:t>15</w:t>
            </w:r>
          </w:p>
        </w:tc>
        <w:tc>
          <w:tcPr>
            <w:tcW w:type="dxa" w:w="2769"/>
          </w:tcPr>
          <w:p>
            <w:pPr>
              <w:pStyle w:val="null3"/>
            </w:pPr>
            <w:r>
              <w:rPr>
                <w:rFonts w:ascii="simsun" w:hAnsi="simsun" w:cs="simsun" w:eastAsia="simsun"/>
                <w:sz w:val="21"/>
              </w:rPr>
              <w:t>技术要求：</w:t>
            </w:r>
          </w:p>
          <w:p>
            <w:pPr>
              <w:pStyle w:val="null3"/>
            </w:pPr>
            <w:r>
              <w:rPr>
                <w:rFonts w:ascii="simsun" w:hAnsi="simsun" w:cs="simsun" w:eastAsia="simsun"/>
                <w:sz w:val="21"/>
              </w:rPr>
              <w:t>八、建模平台软件功能方面：</w:t>
            </w:r>
          </w:p>
          <w:p>
            <w:pPr>
              <w:pStyle w:val="null3"/>
              <w:jc w:val="both"/>
            </w:pPr>
            <w:r>
              <w:rPr>
                <w:rFonts w:ascii="simsun" w:hAnsi="simsun" w:cs="simsun" w:eastAsia="simsun"/>
                <w:sz w:val="21"/>
              </w:rPr>
              <w:t xml:space="preserve">  提供空间分析能力，支持超视距、高精度、分布式分析计算，分析结果可量化、可导出、支持二次分析。</w:t>
            </w:r>
          </w:p>
        </w:tc>
      </w:tr>
      <w:tr>
        <w:tc>
          <w:tcPr>
            <w:tcW w:type="dxa" w:w="2769"/>
          </w:tcPr>
          <w:p>
            <w:pPr>
              <w:pStyle w:val="null3"/>
            </w:pPr>
            <w:r>
              <w:rPr/>
              <w:t>▲</w:t>
            </w:r>
          </w:p>
        </w:tc>
        <w:tc>
          <w:tcPr>
            <w:tcW w:type="dxa" w:w="2769"/>
          </w:tcPr>
          <w:p>
            <w:pPr>
              <w:pStyle w:val="null3"/>
            </w:pPr>
            <w:r>
              <w:rPr/>
              <w:t>16</w:t>
            </w:r>
          </w:p>
        </w:tc>
        <w:tc>
          <w:tcPr>
            <w:tcW w:type="dxa" w:w="2769"/>
          </w:tcPr>
          <w:p>
            <w:pPr>
              <w:pStyle w:val="null3"/>
            </w:pPr>
            <w:r>
              <w:rPr>
                <w:rFonts w:ascii="simsun" w:hAnsi="simsun" w:cs="simsun" w:eastAsia="simsun"/>
                <w:sz w:val="21"/>
              </w:rPr>
              <w:t>技术要求：</w:t>
            </w:r>
          </w:p>
          <w:p>
            <w:pPr>
              <w:pStyle w:val="null3"/>
            </w:pPr>
            <w:r>
              <w:rPr>
                <w:rFonts w:ascii="simsun" w:hAnsi="simsun" w:cs="simsun" w:eastAsia="simsun"/>
                <w:sz w:val="21"/>
              </w:rPr>
              <w:t>九、建模平台软件功能方面：</w:t>
            </w:r>
          </w:p>
          <w:p>
            <w:pPr>
              <w:pStyle w:val="null3"/>
              <w:jc w:val="both"/>
            </w:pPr>
            <w:r>
              <w:rPr>
                <w:rFonts w:ascii="simsun" w:hAnsi="simsun" w:cs="simsun" w:eastAsia="simsun"/>
                <w:sz w:val="21"/>
              </w:rPr>
              <w:t xml:space="preserve">  支持动态IOT数据的实时接入，并在统一的地理空间坐标系下与三维数据底座精准叠加匹配。</w:t>
            </w:r>
          </w:p>
        </w:tc>
      </w:tr>
      <w:tr>
        <w:tc>
          <w:tcPr>
            <w:tcW w:type="dxa" w:w="2769"/>
          </w:tcPr>
          <w:p>
            <w:pPr>
              <w:pStyle w:val="null3"/>
            </w:pPr>
            <w:r>
              <w:rPr/>
              <w:t>▲</w:t>
            </w:r>
          </w:p>
        </w:tc>
        <w:tc>
          <w:tcPr>
            <w:tcW w:type="dxa" w:w="2769"/>
          </w:tcPr>
          <w:p>
            <w:pPr>
              <w:pStyle w:val="null3"/>
            </w:pPr>
            <w:r>
              <w:rPr/>
              <w:t>17</w:t>
            </w:r>
          </w:p>
        </w:tc>
        <w:tc>
          <w:tcPr>
            <w:tcW w:type="dxa" w:w="2769"/>
          </w:tcPr>
          <w:p>
            <w:pPr>
              <w:pStyle w:val="null3"/>
            </w:pPr>
            <w:r>
              <w:rPr>
                <w:rFonts w:ascii="simsun" w:hAnsi="simsun" w:cs="simsun" w:eastAsia="simsun"/>
                <w:sz w:val="21"/>
              </w:rPr>
              <w:t>技术要求：</w:t>
            </w:r>
          </w:p>
          <w:p>
            <w:pPr>
              <w:pStyle w:val="null3"/>
              <w:jc w:val="both"/>
            </w:pPr>
            <w:r>
              <w:rPr>
                <w:rFonts w:ascii="simsun" w:hAnsi="simsun" w:cs="simsun" w:eastAsia="simsun"/>
                <w:sz w:val="21"/>
              </w:rPr>
              <w:t>十、支持多平台发布，PC端、云渲染、WebGL网页端</w:t>
            </w:r>
          </w:p>
        </w:tc>
      </w:tr>
      <w:tr>
        <w:tc>
          <w:tcPr>
            <w:tcW w:type="dxa" w:w="2769"/>
          </w:tcPr>
          <w:p>
            <w:pPr>
              <w:pStyle w:val="null3"/>
            </w:pPr>
            <w:r>
              <w:rPr/>
              <w:t>▲</w:t>
            </w:r>
          </w:p>
        </w:tc>
        <w:tc>
          <w:tcPr>
            <w:tcW w:type="dxa" w:w="2769"/>
          </w:tcPr>
          <w:p>
            <w:pPr>
              <w:pStyle w:val="null3"/>
            </w:pPr>
            <w:r>
              <w:rPr/>
              <w:t>18</w:t>
            </w:r>
          </w:p>
        </w:tc>
        <w:tc>
          <w:tcPr>
            <w:tcW w:type="dxa" w:w="2769"/>
          </w:tcPr>
          <w:p>
            <w:pPr>
              <w:pStyle w:val="null3"/>
            </w:pPr>
            <w:r>
              <w:rPr>
                <w:rFonts w:ascii="simsun" w:hAnsi="simsun" w:cs="simsun" w:eastAsia="simsun"/>
                <w:sz w:val="21"/>
              </w:rPr>
              <w:t>技术要求 ：</w:t>
            </w:r>
          </w:p>
          <w:p>
            <w:pPr>
              <w:pStyle w:val="null3"/>
              <w:jc w:val="both"/>
            </w:pPr>
            <w:r>
              <w:rPr>
                <w:rFonts w:ascii="simsun" w:hAnsi="simsun" w:cs="simsun" w:eastAsia="simsun"/>
                <w:sz w:val="21"/>
              </w:rPr>
              <w:t>十一、支持国产信创环境，包括银河麒麟系统、达梦数据库、国产GPU等。由平台厂商提供证明材料。</w:t>
            </w:r>
          </w:p>
        </w:tc>
      </w:tr>
    </w:tbl>
    <w:p>
      <w:pPr>
        <w:pStyle w:val="null3"/>
        <w:outlineLvl w:val="2"/>
      </w:pPr>
      <w:r>
        <w:rPr>
          <w:sz w:val="28"/>
          <w:b/>
        </w:rPr>
        <w:t>3.2.3人员配置要求</w:t>
      </w:r>
    </w:p>
    <w:p>
      <w:pPr>
        <w:pStyle w:val="null3"/>
      </w:pPr>
      <w:r>
        <w:rPr/>
        <w:t>采购包1：</w:t>
      </w:r>
    </w:p>
    <w:p>
      <w:pPr>
        <w:pStyle w:val="null3"/>
      </w:pPr>
      <w:r>
        <w:rPr/>
        <w:t>供应商在响应文件中明确项目人员配置。</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 xml:space="preserve"> 自合同签订之日起180天</w:t>
      </w:r>
    </w:p>
    <w:p>
      <w:pPr>
        <w:pStyle w:val="null3"/>
        <w:outlineLvl w:val="3"/>
      </w:pPr>
      <w:r>
        <w:rPr>
          <w:sz w:val="24"/>
          <w:b/>
        </w:rPr>
        <w:t>3.3.2服务地点</w:t>
      </w:r>
    </w:p>
    <w:p>
      <w:pPr>
        <w:pStyle w:val="null3"/>
      </w:pPr>
      <w:r>
        <w:rPr/>
        <w:t>采购包1：</w:t>
      </w:r>
    </w:p>
    <w:p>
      <w:pPr>
        <w:pStyle w:val="null3"/>
      </w:pPr>
      <w:r>
        <w:rPr/>
        <w:t>西安市第三医院指定地点</w:t>
      </w:r>
    </w:p>
    <w:p>
      <w:pPr>
        <w:pStyle w:val="null3"/>
        <w:outlineLvl w:val="3"/>
      </w:pPr>
      <w:r>
        <w:rPr>
          <w:sz w:val="24"/>
          <w:b/>
        </w:rPr>
        <w:t>3.3.3考核（验收）标准和方法</w:t>
      </w:r>
    </w:p>
    <w:p>
      <w:pPr>
        <w:pStyle w:val="null3"/>
      </w:pPr>
      <w:r>
        <w:rPr/>
        <w:t>采购包1：</w:t>
      </w:r>
    </w:p>
    <w:p>
      <w:pPr>
        <w:pStyle w:val="null3"/>
      </w:pPr>
      <w:r>
        <w:rPr/>
        <w:t>（一）安装调试：供货商应配合采购人的时限要求，负责在现场对产品进行安装、调试和试运行，直至验收合格。供货商应提供全部安装、调试过程中的资料。试运行应当在采购人的监督下进行。供货商须向采购人提供管理人员及现场施工人员身份证复印件备案。 （二）验收：货物到达采购人指定地点后，采购人根据合同要求，进行外观验收，确认产地、规格、型号和数量。货物安装、调试并正常运行后，由供货商进行自检，合格后，准备验收文件，并书面通知采购人。采购人确认供货商的自检内容后，组织进行系统验收，验收合格后，填写项目验收单作为对货物的最终认可。 （三）验收依据 1、磋商文件、响应文件、澄清表（函）； 2、本合同及附件文本； 3、合同签订时国家及行业现行的标准和技术规范。 （四）供货商应向采购人提交项目实施过程中的所有资料，以便采购人人员日后管理和维护。</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项目建设完成并验收合格，同时提供全额增值税发票</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（一）按《政府采购法》、《民法典》中的相关条款执行。 （二）未按合同要求提供货物或质量不能满足技术要求，在约定的条件下，供货商必须无条件更换，提高技术，完善质量，否则，采购人有权解除合同，解除合同书面通知书到达供货商之日视为合同已解除。</w:t>
      </w:r>
    </w:p>
    <w:p>
      <w:pPr>
        <w:pStyle w:val="null3"/>
        <w:outlineLvl w:val="2"/>
      </w:pPr>
      <w:r>
        <w:rPr>
          <w:sz w:val="28"/>
          <w:b/>
        </w:rPr>
        <w:t>3.4其他要求</w:t>
      </w:r>
    </w:p>
    <w:p>
      <w:pPr>
        <w:pStyle w:val="null3"/>
      </w:pPr>
      <w:r>
        <w:rPr/>
        <w:t>本项目非专门面向中小企业采购。所投产品全部为中小企业生产时付款方式参照陕财办采〔2023〕3号执行。 本项目采购活动执行下列政府采购政策（具体办法详见磋商文件）：（1）《国务院办公厅关于建立政府强制采购节能产品制度的通知》（国办发〔2007〕51号）； （2）《关于印发环境标志产品政府采购品目清单的通知》（财库〔2019〕18号） （3）《关于印发节能产品政府采购品目清单的通知》（财库〔2019〕19号） （4）《财政部 司法部关于政府采购支持监狱企业发展有关问题的通知》（财库〔2014〕68号）； （5）《关于促进残疾人就业政府采购政策的通知》（财库〔2017〕141号）； （6）《关于调整优化节能产品、环境标志产品政府采购执行机制的通知》（财库〔2019〕9号）；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（一）提供注册登记凭证（营业执照、其他组织经营的合法凭证，自然人的提供身份证明文件）。 （二）具有良好的商业信誉和健全的财务会计制度。提供2022年度或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三）具有履行合同所必需的设备和专业技术能力。提供声明文件。（四）具有依法缴纳税收的良好记录。提供缴费2023年1月1日以来已缴纳任意一个月份（磋商截止时间当月不计入）的增值税（或所得税）缴费凭据或税务机关出具的完税证明/在法规范围内不需提供的应出具书面说明和证明文件/或具有依法缴纳税收的诚信声明。（五）具有依法缴纳社会保障资金的良好记录。提供缴费2023年1月1日以来已缴纳任意一个月份（磋商截止时间当月不计入）的缴费凭据或社保机关出具的缴费证明/在法规范围内不需提供的应出具书面说明和证明文件/或具有依法缴纳社会保障资金的缴纳记录的诚信声明。 （六）参加政府采购活动前3年内在经营活动中没有重大违法记录的书面声明。 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法定代表人授权委托书或法定代表人证明书</w:t>
            </w:r>
          </w:p>
        </w:tc>
        <w:tc>
          <w:tcPr>
            <w:tcW w:type="dxa" w:w="3322"/>
          </w:tcPr>
          <w:p>
            <w:pPr>
              <w:pStyle w:val="null3"/>
            </w:pPr>
            <w:r>
              <w:rPr/>
              <w:t>供应商应授权合法的人员参加磋商，其中法定代表人直接参加的须出具法人身份证并与营业执照上信息一致，法定代表人授权代表参加的须出具法定代表人授权书及被授权人本单位证明 (社保)。</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其他要求</w:t>
            </w:r>
          </w:p>
        </w:tc>
        <w:tc>
          <w:tcPr>
            <w:tcW w:type="dxa" w:w="3322"/>
          </w:tcPr>
          <w:p>
            <w:pPr>
              <w:pStyle w:val="null3"/>
            </w:pPr>
            <w:r>
              <w:rPr/>
              <w:t>供应商非采购人单位职工及家属投资开办，其法人、股东和经营管理人员非采购人单位职工及家属。提供声明函。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信用信息</w:t>
            </w:r>
          </w:p>
        </w:tc>
        <w:tc>
          <w:tcPr>
            <w:tcW w:type="dxa" w:w="3322"/>
          </w:tcPr>
          <w:p>
            <w:pPr>
              <w:pStyle w:val="null3"/>
            </w:pPr>
            <w:r>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成本，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磋商响应文件的完整性审查</w:t>
            </w:r>
          </w:p>
        </w:tc>
        <w:tc>
          <w:tcPr>
            <w:tcW w:type="dxa" w:w="3322"/>
          </w:tcPr>
          <w:p>
            <w:pPr>
              <w:pStyle w:val="null3"/>
            </w:pPr>
            <w:r>
              <w:rPr/>
              <w:t>磋商响应文件是否按照磋商文件要求的格式编写。</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磋商响应文件的有效性审查</w:t>
            </w:r>
          </w:p>
        </w:tc>
        <w:tc>
          <w:tcPr>
            <w:tcW w:type="dxa" w:w="3322"/>
          </w:tcPr>
          <w:p>
            <w:pPr>
              <w:pStyle w:val="null3"/>
            </w:pPr>
            <w:r>
              <w:rPr/>
              <w:t>磋商响应文件的签署、加盖印章是否有效；提供的各种证明文件、数据、资料是否有效。</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磋商响应文件的响应性审查</w:t>
            </w:r>
          </w:p>
        </w:tc>
        <w:tc>
          <w:tcPr>
            <w:tcW w:type="dxa" w:w="3322"/>
          </w:tcPr>
          <w:p>
            <w:pPr>
              <w:pStyle w:val="null3"/>
            </w:pPr>
            <w:r>
              <w:rPr/>
              <w:t>磋商报价是否超过采购预算；磋商报价有效期是否符合磋商文件的要求；是否响应实质性条款。</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提供针对本项目建设的整体方案。全面分析、深入理解本次采购内容，准确把握项目建设目标、内容和范围。总体架构设计合理可行，技术路线明确，功能满足实际工作需要，业务表述正确。 方案内容合理、完整、科学，并具备可行性、前瞻性，可操作性强，得8-10分； 方案内容较合理、完整、科学，并具备一定的可行性、前瞻性，可操作性较强，得5-7.9分； 方案内容整体描述一般得1-4.9分； 未提供方案得0分。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响应方案说明书1</w:t>
            </w:r>
          </w:p>
        </w:tc>
      </w:tr>
      <w:tr>
        <w:tc>
          <w:tcPr>
            <w:tcW w:type="dxa" w:w="831"/>
            <w:vMerge/>
          </w:tcPr>
          <w:p/>
        </w:tc>
        <w:tc>
          <w:tcPr>
            <w:tcW w:type="dxa" w:w="1661"/>
          </w:tcPr>
          <w:p>
            <w:pPr>
              <w:pStyle w:val="null3"/>
            </w:pPr>
            <w:r>
              <w:rPr/>
              <w:t>技术要求响应</w:t>
            </w:r>
          </w:p>
        </w:tc>
        <w:tc>
          <w:tcPr>
            <w:tcW w:type="dxa" w:w="2492"/>
          </w:tcPr>
          <w:p>
            <w:pPr>
              <w:pStyle w:val="null3"/>
            </w:pPr>
            <w:r>
              <w:rPr/>
              <w:t>供应商对磋商文件中的技术参数与性能指标进行响应说明，全部满足得24分；其中标注▲项，每有1项负偏离扣2分，扣完为止。</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响应方案说明书1</w:t>
            </w:r>
          </w:p>
        </w:tc>
      </w:tr>
      <w:tr>
        <w:tc>
          <w:tcPr>
            <w:tcW w:type="dxa" w:w="831"/>
            <w:vMerge/>
          </w:tcPr>
          <w:p/>
        </w:tc>
        <w:tc>
          <w:tcPr>
            <w:tcW w:type="dxa" w:w="1661"/>
          </w:tcPr>
          <w:p>
            <w:pPr>
              <w:pStyle w:val="null3"/>
            </w:pPr>
            <w:r>
              <w:rPr/>
              <w:t>实施方案</w:t>
            </w:r>
          </w:p>
        </w:tc>
        <w:tc>
          <w:tcPr>
            <w:tcW w:type="dxa" w:w="2492"/>
          </w:tcPr>
          <w:p>
            <w:pPr>
              <w:pStyle w:val="null3"/>
            </w:pPr>
            <w:r>
              <w:rPr/>
              <w:t>实施方案完善，安排合理，思路清晰。施工工期及施工计划完善、承诺保质保量完工。 内容详细具体，条理清晰，与项目特点匹配，得6-9分； 内容详细，条理清晰，基本与项目特点匹配，得3-5.9分； 内容不具体、条理不清晰、描述过于简单、与项目特点不匹配，得1-2.9分； 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响应方案说明书1</w:t>
            </w:r>
          </w:p>
        </w:tc>
      </w:tr>
      <w:tr>
        <w:tc>
          <w:tcPr>
            <w:tcW w:type="dxa" w:w="831"/>
            <w:vMerge/>
          </w:tcPr>
          <w:p/>
        </w:tc>
        <w:tc>
          <w:tcPr>
            <w:tcW w:type="dxa" w:w="1661"/>
          </w:tcPr>
          <w:p>
            <w:pPr>
              <w:pStyle w:val="null3"/>
            </w:pPr>
            <w:r>
              <w:rPr/>
              <w:t>质量保证</w:t>
            </w:r>
          </w:p>
        </w:tc>
        <w:tc>
          <w:tcPr>
            <w:tcW w:type="dxa" w:w="2492"/>
          </w:tcPr>
          <w:p>
            <w:pPr>
              <w:pStyle w:val="null3"/>
            </w:pPr>
            <w:r>
              <w:rPr/>
              <w:t>供应商具有可靠的质量保证措施，产品来源渠道可靠，符合相关标准及行业要求。 内容详细具体，条理清晰，与项目特点匹配，得4-6分； 内容详细，条理清晰，基本与项目特点匹配，得2-3.9分； 内容不具体、条理不清晰、描述过于简单、与项目特点不匹配，得1-1.9分；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响应方案说明书1</w:t>
            </w:r>
          </w:p>
        </w:tc>
      </w:tr>
      <w:tr>
        <w:tc>
          <w:tcPr>
            <w:tcW w:type="dxa" w:w="831"/>
            <w:vMerge/>
          </w:tcPr>
          <w:p/>
        </w:tc>
        <w:tc>
          <w:tcPr>
            <w:tcW w:type="dxa" w:w="1661"/>
          </w:tcPr>
          <w:p>
            <w:pPr>
              <w:pStyle w:val="null3"/>
            </w:pPr>
            <w:r>
              <w:rPr/>
              <w:t>人员配备</w:t>
            </w:r>
          </w:p>
        </w:tc>
        <w:tc>
          <w:tcPr>
            <w:tcW w:type="dxa" w:w="2492"/>
          </w:tcPr>
          <w:p>
            <w:pPr>
              <w:pStyle w:val="null3"/>
            </w:pPr>
            <w:r>
              <w:rPr/>
              <w:t>供应商在响应文件中明确了项目人员配置、项目人员职责描述，分工详细、具体，得7-10分； 人员配置或项目人员职责分工信息不明确或缺项的得3-6.9分； 人员配置或项目人员职责分工信息混乱得1-2.9分；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响应方案说明书1</w:t>
            </w:r>
          </w:p>
        </w:tc>
      </w:tr>
      <w:tr>
        <w:tc>
          <w:tcPr>
            <w:tcW w:type="dxa" w:w="831"/>
            <w:vMerge/>
          </w:tcPr>
          <w:p/>
        </w:tc>
        <w:tc>
          <w:tcPr>
            <w:tcW w:type="dxa" w:w="1661"/>
          </w:tcPr>
          <w:p>
            <w:pPr>
              <w:pStyle w:val="null3"/>
            </w:pPr>
            <w:r>
              <w:rPr/>
              <w:t>售后服务</w:t>
            </w:r>
          </w:p>
        </w:tc>
        <w:tc>
          <w:tcPr>
            <w:tcW w:type="dxa" w:w="2492"/>
          </w:tcPr>
          <w:p>
            <w:pPr>
              <w:pStyle w:val="null3"/>
            </w:pPr>
            <w:r>
              <w:rPr/>
              <w:t>供应商具有健全的售后服务体系，内容不限于售后服务承诺、服务人员配备、提供免费保修电话、发生故障后的响应时间及补救措施等、具备厂家授权的技术支撑承诺函等。 售后服务方案科学合理，可行性强，得5-6分； 售后服务方案基本为完备，实施性一般得2-4.9分； 方案描述不完整或实施性较差得1-1.9分；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响应方案说明书1</w:t>
            </w:r>
          </w:p>
        </w:tc>
      </w:tr>
      <w:tr>
        <w:tc>
          <w:tcPr>
            <w:tcW w:type="dxa" w:w="831"/>
            <w:vMerge/>
          </w:tcPr>
          <w:p/>
        </w:tc>
        <w:tc>
          <w:tcPr>
            <w:tcW w:type="dxa" w:w="1661"/>
          </w:tcPr>
          <w:p>
            <w:pPr>
              <w:pStyle w:val="null3"/>
            </w:pPr>
            <w:r>
              <w:rPr/>
              <w:t>培训方案</w:t>
            </w:r>
          </w:p>
        </w:tc>
        <w:tc>
          <w:tcPr>
            <w:tcW w:type="dxa" w:w="2492"/>
          </w:tcPr>
          <w:p>
            <w:pPr>
              <w:pStyle w:val="null3"/>
            </w:pPr>
            <w:r>
              <w:rPr/>
              <w:t>制定完整培训方案并负责为采购人培训操作维护人员，确保使用人员能够独立熟练操作、维护和正常使用，根据方案的合理性、全面性、可行性进行综合评审赋分。 内容详细具体，条理清晰，与项目特点匹配，得4-5分； 内容详细，条理清晰，基本与项目特点匹配，得2-3.9分； 内容不详细具体、条理不清晰、描述过于简单、与项目特点不匹配，得1-1.9分；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响应方案说明书1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最后报价）为基准价，其价格分为满分（30分）。其他供应商的价格分统一按照下列公式计算：响应报价得分=(基准价／响应报价（最后报价）)×30分。 注：1、计算分数时四舍五入取小数点后两位；2、落实政府采购政策：详见文件。</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详见附件：响应方案说明书1</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