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1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费用组成明细表</w:t>
      </w:r>
    </w:p>
    <w:p>
      <w:pPr>
        <w:rPr>
          <w:rFonts w:hint="eastAsia" w:ascii="宋体" w:hAnsi="宋体" w:eastAsia="宋体" w:cs="宋体"/>
        </w:rPr>
      </w:pPr>
    </w:p>
    <w:tbl>
      <w:tblPr>
        <w:tblStyle w:val="14"/>
        <w:tblW w:w="936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4"/>
        <w:gridCol w:w="2599"/>
        <w:gridCol w:w="2569"/>
        <w:gridCol w:w="1522"/>
        <w:gridCol w:w="168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84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序号</w:t>
            </w:r>
          </w:p>
        </w:tc>
        <w:tc>
          <w:tcPr>
            <w:tcW w:w="259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（各供应商自行填写）</w:t>
            </w:r>
          </w:p>
        </w:tc>
        <w:tc>
          <w:tcPr>
            <w:tcW w:w="256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52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68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84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1</w:t>
            </w:r>
          </w:p>
        </w:tc>
        <w:tc>
          <w:tcPr>
            <w:tcW w:w="259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256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52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68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84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2</w:t>
            </w:r>
          </w:p>
        </w:tc>
        <w:tc>
          <w:tcPr>
            <w:tcW w:w="259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256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52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68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84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3</w:t>
            </w:r>
          </w:p>
        </w:tc>
        <w:tc>
          <w:tcPr>
            <w:tcW w:w="259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256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52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68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84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...</w:t>
            </w:r>
          </w:p>
        </w:tc>
        <w:tc>
          <w:tcPr>
            <w:tcW w:w="259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256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52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68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84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259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256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52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  <w:tc>
          <w:tcPr>
            <w:tcW w:w="1688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</w:p>
        </w:tc>
      </w:tr>
    </w:tbl>
    <w:p>
      <w:pPr>
        <w:spacing w:line="360" w:lineRule="auto"/>
        <w:rPr>
          <w:rFonts w:hint="eastAsia" w:ascii="宋体" w:hAnsi="宋体" w:eastAsia="宋体" w:cs="宋体"/>
          <w:b/>
          <w:bCs/>
        </w:rPr>
      </w:pPr>
    </w:p>
    <w:p>
      <w:pPr>
        <w:spacing w:line="360" w:lineRule="auto"/>
        <w:ind w:left="723" w:hanging="723" w:hangingChars="300"/>
        <w:jc w:val="left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说明：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</w:rPr>
        <w:t>1.各供应商须详细列明磋商总报价的组成，且分项报价表之和与总价保持一致</w:t>
      </w:r>
      <w:bookmarkStart w:id="0" w:name="_GoBack"/>
      <w:r>
        <w:rPr>
          <w:rFonts w:hint="eastAsia" w:ascii="宋体" w:hAnsi="宋体" w:eastAsia="宋体" w:cs="宋体"/>
          <w:sz w:val="24"/>
          <w:highlight w:val="none"/>
        </w:rPr>
        <w:t>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2.报价以元为单位，四舍五入精确到小数点后两位。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3.单项报价不允许超过单项预算金额。</w:t>
      </w:r>
    </w:p>
    <w:p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highlight w:val="none"/>
        </w:rPr>
      </w:pPr>
    </w:p>
    <w:p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highlight w:val="none"/>
        </w:rPr>
      </w:pPr>
    </w:p>
    <w:bookmarkEnd w:id="0"/>
    <w:p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</w:t>
      </w:r>
    </w:p>
    <w:p>
      <w:pPr>
        <w:spacing w:line="360" w:lineRule="auto"/>
        <w:ind w:firstLine="3360" w:firstLineChars="14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</w:p>
    <w:p>
      <w:pPr>
        <w:autoSpaceDE w:val="0"/>
        <w:autoSpaceDN w:val="0"/>
        <w:adjustRightInd w:val="0"/>
        <w:spacing w:line="360" w:lineRule="auto"/>
        <w:ind w:firstLine="3360" w:firstLineChars="1400"/>
      </w:pPr>
      <w:r>
        <w:rPr>
          <w:rFonts w:hint="eastAsia" w:ascii="宋体" w:hAnsi="宋体" w:eastAsia="宋体" w:cs="宋体"/>
          <w:sz w:val="24"/>
        </w:rPr>
        <w:t>日    期：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zYjBkMDE0MDUwZWU1MDYzY2M0YTJiMmIyMWQyNDYifQ=="/>
  </w:docVars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4A64B3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8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2">
    <w:name w:val="heading 2"/>
    <w:basedOn w:val="1"/>
    <w:next w:val="1"/>
    <w:link w:val="16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17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5">
    <w:name w:val="heading 4"/>
    <w:basedOn w:val="1"/>
    <w:next w:val="1"/>
    <w:link w:val="19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character" w:customStyle="1" w:styleId="16">
    <w:name w:val="标题 2 Char1"/>
    <w:link w:val="2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7">
    <w:name w:val="标题 3 Char"/>
    <w:basedOn w:val="15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8">
    <w:name w:val="标题 1 Char"/>
    <w:basedOn w:val="15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19">
    <w:name w:val="标题 4 Char"/>
    <w:basedOn w:val="15"/>
    <w:link w:val="5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2024-08-12T09:18:51Z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CC53DDA9B2814F3D9A54F2FFF46D679A</vt:lpwstr>
  </property>
</Properties>
</file>