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BBA15">
      <w:pPr>
        <w:pStyle w:val="8"/>
        <w:widowControl w:val="0"/>
        <w:spacing w:before="0" w:beforeAutospacing="0" w:after="0" w:afterAutospacing="0" w:line="360" w:lineRule="auto"/>
        <w:ind w:firstLine="420" w:firstLineChars="200"/>
        <w:jc w:val="both"/>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合同编号：</w:t>
      </w:r>
    </w:p>
    <w:p w14:paraId="3D15EC91">
      <w:pPr>
        <w:pStyle w:val="8"/>
        <w:widowControl w:val="0"/>
        <w:spacing w:before="0" w:beforeAutospacing="0" w:after="0" w:afterAutospacing="0" w:line="360" w:lineRule="auto"/>
        <w:ind w:firstLine="420" w:firstLineChars="200"/>
        <w:jc w:val="both"/>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签订地点：</w:t>
      </w:r>
    </w:p>
    <w:p w14:paraId="21260383">
      <w:pPr>
        <w:pStyle w:val="8"/>
        <w:widowControl w:val="0"/>
        <w:spacing w:before="0" w:beforeAutospacing="0" w:after="0" w:afterAutospacing="0" w:line="360" w:lineRule="auto"/>
        <w:ind w:firstLine="420" w:firstLineChars="200"/>
        <w:jc w:val="both"/>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签订时间：</w:t>
      </w:r>
    </w:p>
    <w:p w14:paraId="256461FA">
      <w:pPr>
        <w:pStyle w:val="8"/>
        <w:widowControl w:val="0"/>
        <w:spacing w:before="0" w:beforeAutospacing="0" w:after="0" w:afterAutospacing="0" w:line="360" w:lineRule="auto"/>
        <w:ind w:firstLine="420" w:firstLineChars="200"/>
        <w:jc w:val="both"/>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采购人（甲方）：</w:t>
      </w:r>
    </w:p>
    <w:p w14:paraId="78C6C6AC">
      <w:pPr>
        <w:pStyle w:val="8"/>
        <w:widowControl w:val="0"/>
        <w:spacing w:before="0" w:beforeAutospacing="0" w:after="0" w:afterAutospacing="0" w:line="360" w:lineRule="auto"/>
        <w:ind w:firstLine="420" w:firstLineChars="200"/>
        <w:jc w:val="both"/>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中标人（乙方）：</w:t>
      </w:r>
    </w:p>
    <w:p w14:paraId="5668ACE2">
      <w:pPr>
        <w:pStyle w:val="6"/>
        <w:spacing w:line="360" w:lineRule="auto"/>
        <w:ind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根据《中华人民共和国政府采购法》及实施条例、《中华人民共和国民法典》和甲方</w:t>
      </w:r>
    </w:p>
    <w:p w14:paraId="0EF737BD">
      <w:pPr>
        <w:pStyle w:val="6"/>
        <w:spacing w:line="360" w:lineRule="auto"/>
        <w:ind w:firstLine="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（采购项目编号：）的竞争性磋商文件、响应文件等有关规定，为确保甲方采购项目的顺利实施，甲、乙双方在平等自愿原则下签订本合同，并共同遵守如下条款：</w:t>
      </w:r>
    </w:p>
    <w:p w14:paraId="075416D3">
      <w:pPr>
        <w:spacing w:line="360" w:lineRule="auto"/>
        <w:ind w:left="425"/>
        <w:outlineLvl w:val="1"/>
        <w:rPr>
          <w:rFonts w:ascii="宋体" w:hAnsi="宋体" w:cs="宋体"/>
          <w:b/>
          <w:color w:val="000000" w:themeColor="text1"/>
          <w:szCs w:val="21"/>
          <w:highlight w:val="none"/>
          <w14:textFill>
            <w14:solidFill>
              <w14:schemeClr w14:val="tx1"/>
            </w14:solidFill>
          </w14:textFill>
        </w:rPr>
      </w:pPr>
      <w:bookmarkStart w:id="0" w:name="_Toc18436"/>
      <w:bookmarkStart w:id="1" w:name="_Toc14987"/>
      <w:r>
        <w:rPr>
          <w:rFonts w:hint="eastAsia" w:ascii="宋体" w:hAnsi="宋体" w:cs="宋体"/>
          <w:b/>
          <w:color w:val="000000" w:themeColor="text1"/>
          <w:szCs w:val="21"/>
          <w:highlight w:val="none"/>
          <w14:textFill>
            <w14:solidFill>
              <w14:schemeClr w14:val="tx1"/>
            </w14:solidFill>
          </w14:textFill>
        </w:rPr>
        <w:t>第一条项目基本情况</w:t>
      </w:r>
      <w:bookmarkEnd w:id="0"/>
      <w:bookmarkEnd w:id="1"/>
    </w:p>
    <w:p w14:paraId="039D11D5">
      <w:pPr>
        <w:spacing w:line="360" w:lineRule="auto"/>
        <w:ind w:left="4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西安市长安区人民法院诉讼服务中心辅助服务外包项目</w:t>
      </w:r>
    </w:p>
    <w:p w14:paraId="34562230">
      <w:pPr>
        <w:spacing w:line="360" w:lineRule="auto"/>
        <w:ind w:left="425"/>
        <w:outlineLvl w:val="1"/>
        <w:rPr>
          <w:rFonts w:ascii="宋体" w:hAnsi="宋体" w:cs="宋体"/>
          <w:b/>
          <w:color w:val="000000" w:themeColor="text1"/>
          <w:szCs w:val="21"/>
          <w:highlight w:val="none"/>
          <w14:textFill>
            <w14:solidFill>
              <w14:schemeClr w14:val="tx1"/>
            </w14:solidFill>
          </w14:textFill>
        </w:rPr>
      </w:pPr>
      <w:bookmarkStart w:id="2" w:name="_Toc26832"/>
      <w:bookmarkStart w:id="3" w:name="_Toc19859"/>
      <w:r>
        <w:rPr>
          <w:rFonts w:hint="eastAsia" w:ascii="宋体" w:hAnsi="宋体" w:cs="宋体"/>
          <w:b/>
          <w:color w:val="000000" w:themeColor="text1"/>
          <w:szCs w:val="21"/>
          <w:highlight w:val="none"/>
          <w14:textFill>
            <w14:solidFill>
              <w14:schemeClr w14:val="tx1"/>
            </w14:solidFill>
          </w14:textFill>
        </w:rPr>
        <w:t>第二条服务期限</w:t>
      </w:r>
      <w:bookmarkEnd w:id="2"/>
      <w:bookmarkEnd w:id="3"/>
    </w:p>
    <w:p w14:paraId="11E782FC">
      <w:pPr>
        <w:spacing w:line="360" w:lineRule="auto"/>
        <w:ind w:left="4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合同签订之日至2025年5月10日。</w:t>
      </w:r>
    </w:p>
    <w:p w14:paraId="7F58D8CA">
      <w:pPr>
        <w:spacing w:line="360" w:lineRule="auto"/>
        <w:ind w:left="425"/>
        <w:outlineLvl w:val="1"/>
        <w:rPr>
          <w:rFonts w:ascii="宋体" w:hAnsi="宋体" w:cs="宋体"/>
          <w:b/>
          <w:color w:val="000000" w:themeColor="text1"/>
          <w:szCs w:val="21"/>
          <w:highlight w:val="none"/>
          <w14:textFill>
            <w14:solidFill>
              <w14:schemeClr w14:val="tx1"/>
            </w14:solidFill>
          </w14:textFill>
        </w:rPr>
      </w:pPr>
      <w:bookmarkStart w:id="4" w:name="_Toc27717"/>
      <w:bookmarkStart w:id="5" w:name="_Toc17877"/>
      <w:r>
        <w:rPr>
          <w:rFonts w:hint="eastAsia" w:ascii="宋体" w:hAnsi="宋体" w:cs="宋体"/>
          <w:b/>
          <w:color w:val="000000" w:themeColor="text1"/>
          <w:szCs w:val="21"/>
          <w:highlight w:val="none"/>
          <w14:textFill>
            <w14:solidFill>
              <w14:schemeClr w14:val="tx1"/>
            </w14:solidFill>
          </w14:textFill>
        </w:rPr>
        <w:t>第三条  服务内容与质量标准</w:t>
      </w:r>
      <w:bookmarkEnd w:id="4"/>
      <w:bookmarkEnd w:id="5"/>
    </w:p>
    <w:p w14:paraId="3FEC138F">
      <w:pPr>
        <w:spacing w:line="360" w:lineRule="auto"/>
        <w:ind w:left="425"/>
        <w:rPr>
          <w:rFonts w:ascii="宋体" w:hAnsi="宋体" w:cs="宋体"/>
          <w:b/>
          <w:color w:val="000000" w:themeColor="text1"/>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西安市长安区人民法院诉讼服务中心辅助服务外包项目</w:t>
      </w:r>
      <w:r>
        <w:rPr>
          <w:rFonts w:hint="eastAsia" w:ascii="宋体" w:hAnsi="宋体" w:cs="宋体"/>
          <w:color w:val="000000" w:themeColor="text1"/>
          <w:szCs w:val="21"/>
          <w:highlight w:val="none"/>
          <w14:textFill>
            <w14:solidFill>
              <w14:schemeClr w14:val="tx1"/>
            </w14:solidFill>
          </w14:textFill>
        </w:rPr>
        <w:t>，具体详见磋商文件第五章采购内容</w:t>
      </w:r>
    </w:p>
    <w:p w14:paraId="18CE949F">
      <w:pPr>
        <w:spacing w:line="360" w:lineRule="auto"/>
        <w:ind w:left="425"/>
        <w:outlineLvl w:val="1"/>
        <w:rPr>
          <w:rFonts w:ascii="宋体" w:hAnsi="宋体" w:cs="宋体"/>
          <w:b/>
          <w:color w:val="000000" w:themeColor="text1"/>
          <w:szCs w:val="21"/>
          <w:highlight w:val="none"/>
          <w14:textFill>
            <w14:solidFill>
              <w14:schemeClr w14:val="tx1"/>
            </w14:solidFill>
          </w14:textFill>
        </w:rPr>
      </w:pPr>
      <w:bookmarkStart w:id="6" w:name="_Toc2937"/>
      <w:bookmarkStart w:id="7" w:name="_Toc31930"/>
      <w:r>
        <w:rPr>
          <w:rFonts w:hint="eastAsia" w:ascii="宋体" w:hAnsi="宋体" w:cs="宋体"/>
          <w:b/>
          <w:color w:val="000000" w:themeColor="text1"/>
          <w:szCs w:val="21"/>
          <w:highlight w:val="none"/>
          <w14:textFill>
            <w14:solidFill>
              <w14:schemeClr w14:val="tx1"/>
            </w14:solidFill>
          </w14:textFill>
        </w:rPr>
        <w:t>第四条  服务费用及支付方式</w:t>
      </w:r>
      <w:bookmarkEnd w:id="6"/>
      <w:bookmarkEnd w:id="7"/>
    </w:p>
    <w:p w14:paraId="4300E2B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1、按乙方每月实际外派人数</w:t>
      </w:r>
      <w:r>
        <w:rPr>
          <w:rFonts w:hint="eastAsia" w:ascii="宋体" w:hAnsi="宋体" w:cs="宋体"/>
          <w:color w:val="000000" w:themeColor="text1"/>
          <w:szCs w:val="21"/>
          <w:highlight w:val="none"/>
          <w:lang w:val="en-US" w:eastAsia="zh-CN"/>
          <w14:textFill>
            <w14:solidFill>
              <w14:schemeClr w14:val="tx1"/>
            </w14:solidFill>
          </w14:textFill>
        </w:rPr>
        <w:t>及考勤情况</w:t>
      </w:r>
      <w:r>
        <w:rPr>
          <w:rFonts w:hint="eastAsia" w:ascii="宋体" w:hAnsi="宋体" w:cs="宋体"/>
          <w:color w:val="000000" w:themeColor="text1"/>
          <w:szCs w:val="21"/>
          <w:highlight w:val="none"/>
          <w14:textFill>
            <w14:solidFill>
              <w14:schemeClr w14:val="tx1"/>
            </w14:solidFill>
          </w14:textFill>
        </w:rPr>
        <w:t>，次月支付费用。</w:t>
      </w:r>
    </w:p>
    <w:p w14:paraId="1B899C98">
      <w:pPr>
        <w:pStyle w:val="6"/>
        <w:spacing w:line="360" w:lineRule="auto"/>
        <w:ind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2、乙方须向甲方出具合法有效的等额完税发票，甲方进行支付结算。</w:t>
      </w:r>
    </w:p>
    <w:p w14:paraId="277F75F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3、结算方式：银行转账。</w:t>
      </w:r>
    </w:p>
    <w:p w14:paraId="1B0FF212">
      <w:pPr>
        <w:spacing w:line="360" w:lineRule="auto"/>
        <w:ind w:left="425"/>
        <w:outlineLvl w:val="1"/>
        <w:rPr>
          <w:rFonts w:ascii="宋体" w:hAnsi="宋体" w:cs="宋体"/>
          <w:b/>
          <w:color w:val="000000" w:themeColor="text1"/>
          <w:szCs w:val="21"/>
          <w:highlight w:val="none"/>
          <w14:textFill>
            <w14:solidFill>
              <w14:schemeClr w14:val="tx1"/>
            </w14:solidFill>
          </w14:textFill>
        </w:rPr>
      </w:pPr>
      <w:bookmarkStart w:id="8" w:name="_Toc27114"/>
      <w:bookmarkStart w:id="9" w:name="_Toc5030"/>
      <w:r>
        <w:rPr>
          <w:rFonts w:hint="eastAsia" w:ascii="宋体" w:hAnsi="宋体" w:cs="宋体"/>
          <w:b/>
          <w:color w:val="000000" w:themeColor="text1"/>
          <w:szCs w:val="21"/>
          <w:highlight w:val="none"/>
          <w14:textFill>
            <w14:solidFill>
              <w14:schemeClr w14:val="tx1"/>
            </w14:solidFill>
          </w14:textFill>
        </w:rPr>
        <w:t xml:space="preserve">第五条  </w:t>
      </w:r>
      <w:bookmarkEnd w:id="8"/>
      <w:bookmarkEnd w:id="9"/>
      <w:bookmarkStart w:id="10" w:name="_Toc16241"/>
      <w:bookmarkStart w:id="11" w:name="_Toc21111"/>
      <w:r>
        <w:rPr>
          <w:rFonts w:hint="eastAsia" w:ascii="宋体" w:hAnsi="宋体" w:cs="宋体"/>
          <w:b/>
          <w:color w:val="000000" w:themeColor="text1"/>
          <w:szCs w:val="21"/>
          <w:highlight w:val="none"/>
          <w14:textFill>
            <w14:solidFill>
              <w14:schemeClr w14:val="tx1"/>
            </w14:solidFill>
          </w14:textFill>
        </w:rPr>
        <w:t>甲方的权利和义务</w:t>
      </w:r>
      <w:bookmarkEnd w:id="10"/>
      <w:bookmarkEnd w:id="11"/>
    </w:p>
    <w:p w14:paraId="5A41794E">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3B56D932">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2、甲方有权依据双方签订的考评办法对乙方提供的服务进行定期考评。</w:t>
      </w:r>
    </w:p>
    <w:p w14:paraId="0EBDF045">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3、负责检查监督乙方管理工作的实施及制度的执行情况。</w:t>
      </w:r>
    </w:p>
    <w:p w14:paraId="120ABDA4">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4、根据本合同规定，按时向乙方支付应付服务费用。</w:t>
      </w:r>
    </w:p>
    <w:p w14:paraId="5E418D5C">
      <w:pPr>
        <w:spacing w:line="360" w:lineRule="auto"/>
        <w:ind w:left="426"/>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5、国家法律、法规所规定由甲方承担的其它责任。</w:t>
      </w:r>
    </w:p>
    <w:p w14:paraId="37F809CD">
      <w:pPr>
        <w:spacing w:line="360" w:lineRule="auto"/>
        <w:ind w:left="426"/>
        <w:outlineLvl w:val="1"/>
        <w:rPr>
          <w:rFonts w:ascii="宋体" w:hAnsi="宋体" w:cs="宋体"/>
          <w:b/>
          <w:color w:val="000000" w:themeColor="text1"/>
          <w:szCs w:val="21"/>
          <w:highlight w:val="none"/>
          <w14:textFill>
            <w14:solidFill>
              <w14:schemeClr w14:val="tx1"/>
            </w14:solidFill>
          </w14:textFill>
        </w:rPr>
      </w:pPr>
      <w:bookmarkStart w:id="12" w:name="_Toc2658"/>
      <w:bookmarkStart w:id="13" w:name="_Toc26670"/>
      <w:r>
        <w:rPr>
          <w:rFonts w:hint="eastAsia" w:ascii="宋体" w:hAnsi="宋体" w:cs="宋体"/>
          <w:b/>
          <w:color w:val="000000" w:themeColor="text1"/>
          <w:szCs w:val="21"/>
          <w:highlight w:val="none"/>
          <w14:textFill>
            <w14:solidFill>
              <w14:schemeClr w14:val="tx1"/>
            </w14:solidFill>
          </w14:textFill>
        </w:rPr>
        <w:t>第六条  乙方的权利和义务</w:t>
      </w:r>
      <w:bookmarkEnd w:id="12"/>
      <w:bookmarkEnd w:id="13"/>
    </w:p>
    <w:p w14:paraId="1A5D0B42">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1、对本合同规定的委托服务范围内的项目享有管理权及服务义务。</w:t>
      </w:r>
    </w:p>
    <w:p w14:paraId="54838587">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2、根据本合同的规定向甲方收取相关服务费用，并有权在本项目管理范围内管理及合理使用。</w:t>
      </w:r>
    </w:p>
    <w:p w14:paraId="5FE3C0A7">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3、及时向甲方通告本项目服务范围内有关服务的重大事项，及时配合处理投诉。</w:t>
      </w:r>
    </w:p>
    <w:p w14:paraId="2CBED267">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4、接受项目行业管理部门及政府有关部门的指导，接受甲方的监督。</w:t>
      </w:r>
    </w:p>
    <w:p w14:paraId="0C8492E1">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5.乙方不得再以任何方式转包分包本项目。</w:t>
      </w:r>
    </w:p>
    <w:p w14:paraId="34E51EB3">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6、国家法律、法规所规定由乙方承担的其它责任。</w:t>
      </w:r>
    </w:p>
    <w:p w14:paraId="01CD9D36">
      <w:pPr>
        <w:spacing w:line="360" w:lineRule="auto"/>
        <w:ind w:left="426"/>
        <w:outlineLvl w:val="1"/>
        <w:rPr>
          <w:rFonts w:ascii="宋体" w:hAnsi="宋体" w:cs="宋体"/>
          <w:b/>
          <w:color w:val="000000" w:themeColor="text1"/>
          <w:szCs w:val="21"/>
          <w:highlight w:val="none"/>
          <w14:textFill>
            <w14:solidFill>
              <w14:schemeClr w14:val="tx1"/>
            </w14:solidFill>
          </w14:textFill>
        </w:rPr>
      </w:pPr>
      <w:bookmarkStart w:id="14" w:name="_Toc8685"/>
      <w:bookmarkStart w:id="15" w:name="_Toc26010"/>
      <w:r>
        <w:rPr>
          <w:rFonts w:hint="eastAsia" w:ascii="宋体" w:hAnsi="宋体" w:cs="宋体"/>
          <w:b/>
          <w:color w:val="000000" w:themeColor="text1"/>
          <w:szCs w:val="21"/>
          <w:highlight w:val="none"/>
          <w14:textFill>
            <w14:solidFill>
              <w14:schemeClr w14:val="tx1"/>
            </w14:solidFill>
          </w14:textFill>
        </w:rPr>
        <w:t>第七条  违约责任</w:t>
      </w:r>
      <w:bookmarkEnd w:id="14"/>
      <w:bookmarkEnd w:id="15"/>
    </w:p>
    <w:p w14:paraId="1EA6F81D">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1、甲乙双方必须遵守本合同并执行合同中的各项规定，保证本合同的正常履行。</w:t>
      </w:r>
    </w:p>
    <w:p w14:paraId="5FBD465A">
      <w:pPr>
        <w:adjustRightInd w:val="0"/>
        <w:spacing w:line="360" w:lineRule="auto"/>
        <w:ind w:firstLine="420" w:firstLineChars="200"/>
        <w:jc w:val="left"/>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35D49F8">
      <w:pPr>
        <w:spacing w:line="360" w:lineRule="auto"/>
        <w:ind w:left="426"/>
        <w:outlineLvl w:val="1"/>
        <w:rPr>
          <w:rFonts w:ascii="宋体" w:hAnsi="宋体" w:cs="宋体"/>
          <w:color w:val="000000" w:themeColor="text1"/>
          <w:szCs w:val="21"/>
          <w:highlight w:val="none"/>
          <w14:textFill>
            <w14:solidFill>
              <w14:schemeClr w14:val="tx1"/>
            </w14:solidFill>
          </w14:textFill>
        </w:rPr>
      </w:pPr>
      <w:bookmarkStart w:id="16" w:name="_Toc27160"/>
      <w:bookmarkStart w:id="17" w:name="_Toc9754"/>
      <w:r>
        <w:rPr>
          <w:rFonts w:hint="eastAsia" w:ascii="宋体" w:hAnsi="宋体" w:cs="宋体"/>
          <w:b/>
          <w:color w:val="000000" w:themeColor="text1"/>
          <w:szCs w:val="21"/>
          <w:highlight w:val="none"/>
          <w14:textFill>
            <w14:solidFill>
              <w14:schemeClr w14:val="tx1"/>
            </w14:solidFill>
          </w14:textFill>
        </w:rPr>
        <w:t xml:space="preserve">第八条  </w:t>
      </w:r>
      <w:bookmarkEnd w:id="16"/>
      <w:bookmarkEnd w:id="17"/>
      <w:bookmarkStart w:id="18" w:name="_Toc16158"/>
      <w:bookmarkStart w:id="19" w:name="_Toc6977"/>
      <w:bookmarkStart w:id="20" w:name="_Toc185395254"/>
      <w:bookmarkStart w:id="21" w:name="_Toc241833908"/>
      <w:bookmarkStart w:id="22" w:name="_Toc225244857"/>
      <w:bookmarkStart w:id="23" w:name="_Toc237145411"/>
      <w:bookmarkStart w:id="24" w:name="_Toc239568423"/>
      <w:bookmarkStart w:id="25" w:name="_Toc225670756"/>
      <w:bookmarkStart w:id="26" w:name="_Toc225654649"/>
      <w:bookmarkStart w:id="27" w:name="_Toc247334846"/>
      <w:bookmarkStart w:id="28" w:name="_Toc211854454"/>
      <w:bookmarkStart w:id="29" w:name="_Toc239233919"/>
      <w:bookmarkStart w:id="30" w:name="_Toc212019599"/>
      <w:bookmarkStart w:id="31" w:name="_Toc238984980"/>
      <w:bookmarkStart w:id="32" w:name="_Toc286993792"/>
      <w:bookmarkStart w:id="33" w:name="_Toc251768867"/>
      <w:bookmarkStart w:id="34" w:name="_Toc232492933"/>
      <w:bookmarkStart w:id="35" w:name="_Toc211911353"/>
      <w:r>
        <w:rPr>
          <w:rFonts w:hint="eastAsia" w:ascii="宋体" w:hAnsi="宋体" w:cs="宋体"/>
          <w:b/>
          <w:color w:val="000000" w:themeColor="text1"/>
          <w:kern w:val="0"/>
          <w:szCs w:val="21"/>
          <w:highlight w:val="none"/>
          <w14:textFill>
            <w14:solidFill>
              <w14:schemeClr w14:val="tx1"/>
            </w14:solidFill>
          </w14:textFill>
        </w:rPr>
        <w:t>合同的变更和终止</w:t>
      </w:r>
      <w:bookmarkEnd w:id="18"/>
      <w:bookmarkEnd w:id="19"/>
    </w:p>
    <w:p w14:paraId="1D587C69">
      <w:pPr>
        <w:widowControl/>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当服务期限内实际应支付合同金额等于采购预算，本合同可提前终止。</w:t>
      </w:r>
    </w:p>
    <w:p w14:paraId="037A66E2">
      <w:pPr>
        <w:spacing w:line="360" w:lineRule="auto"/>
        <w:ind w:left="426"/>
        <w:outlineLvl w:val="1"/>
        <w:rPr>
          <w:rFonts w:ascii="宋体" w:hAnsi="宋体" w:cs="宋体"/>
          <w:b/>
          <w:color w:val="000000" w:themeColor="text1"/>
          <w:szCs w:val="21"/>
          <w:highlight w:val="none"/>
          <w14:textFill>
            <w14:solidFill>
              <w14:schemeClr w14:val="tx1"/>
            </w14:solidFill>
          </w14:textFill>
        </w:rPr>
      </w:pPr>
      <w:bookmarkStart w:id="36" w:name="_Toc13579"/>
      <w:bookmarkStart w:id="37" w:name="_Toc27050"/>
      <w:r>
        <w:rPr>
          <w:rFonts w:hint="eastAsia" w:ascii="宋体" w:hAnsi="宋体" w:cs="宋体"/>
          <w:b/>
          <w:color w:val="000000" w:themeColor="text1"/>
          <w:szCs w:val="21"/>
          <w:highlight w:val="none"/>
          <w14:textFill>
            <w14:solidFill>
              <w14:schemeClr w14:val="tx1"/>
            </w14:solidFill>
          </w14:textFill>
        </w:rPr>
        <w:t>第九条  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FCC89A1">
      <w:pPr>
        <w:pStyle w:val="14"/>
        <w:spacing w:line="360" w:lineRule="auto"/>
        <w:ind w:firstLine="420"/>
        <w:rPr>
          <w:rFonts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1、在执行本合同中发生的或与本合同有关的争端，双方应通过友好协商解决，经协商在天内不能达成协议时，</w:t>
      </w:r>
      <w:r>
        <w:rPr>
          <w:rFonts w:hint="eastAsia" w:ascii="宋体" w:hAnsi="宋体"/>
          <w:color w:val="000000" w:themeColor="text1"/>
          <w:kern w:val="0"/>
          <w:sz w:val="21"/>
          <w:szCs w:val="21"/>
          <w:highlight w:val="none"/>
          <w14:textFill>
            <w14:solidFill>
              <w14:schemeClr w14:val="tx1"/>
            </w14:solidFill>
          </w14:textFill>
        </w:rPr>
        <w:t>则采取以下第</w:t>
      </w:r>
      <w:r>
        <w:rPr>
          <w:rFonts w:hint="eastAsia" w:ascii="宋体" w:hAnsi="宋体"/>
          <w:color w:val="000000" w:themeColor="text1"/>
          <w:kern w:val="0"/>
          <w:sz w:val="21"/>
          <w:szCs w:val="21"/>
          <w:highlight w:val="none"/>
          <w:u w:val="single"/>
          <w14:textFill>
            <w14:solidFill>
              <w14:schemeClr w14:val="tx1"/>
            </w14:solidFill>
          </w14:textFill>
        </w:rPr>
        <w:t>_ 1</w:t>
      </w:r>
      <w:r>
        <w:rPr>
          <w:rFonts w:hint="eastAsia" w:ascii="宋体" w:hAnsi="宋体"/>
          <w:color w:val="000000" w:themeColor="text1"/>
          <w:kern w:val="0"/>
          <w:sz w:val="21"/>
          <w:szCs w:val="21"/>
          <w:highlight w:val="none"/>
          <w14:textFill>
            <w14:solidFill>
              <w14:schemeClr w14:val="tx1"/>
            </w14:solidFill>
          </w14:textFill>
        </w:rPr>
        <w:t>种方式解决争议：</w:t>
      </w:r>
    </w:p>
    <w:p w14:paraId="4AFC6BEC">
      <w:pPr>
        <w:pStyle w:val="14"/>
        <w:spacing w:line="360" w:lineRule="auto"/>
        <w:ind w:firstLine="420"/>
        <w:rPr>
          <w:rFonts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（1）向有管辖权的人民法院提起诉讼；</w:t>
      </w:r>
    </w:p>
    <w:p w14:paraId="45E26D72">
      <w:pPr>
        <w:pStyle w:val="14"/>
        <w:spacing w:line="360" w:lineRule="auto"/>
        <w:ind w:firstLine="420"/>
        <w:rPr>
          <w:rFonts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（2）向</w:t>
      </w:r>
      <w:r>
        <w:rPr>
          <w:rFonts w:hint="eastAsia" w:ascii="宋体" w:hAnsi="宋体"/>
          <w:color w:val="000000" w:themeColor="text1"/>
          <w:kern w:val="0"/>
          <w:sz w:val="21"/>
          <w:szCs w:val="21"/>
          <w:highlight w:val="none"/>
          <w:u w:val="single"/>
          <w14:textFill>
            <w14:solidFill>
              <w14:schemeClr w14:val="tx1"/>
            </w14:solidFill>
          </w14:textFill>
        </w:rPr>
        <w:t>西安</w:t>
      </w:r>
      <w:r>
        <w:rPr>
          <w:rFonts w:hint="eastAsia" w:ascii="宋体" w:hAnsi="宋体"/>
          <w:color w:val="000000" w:themeColor="text1"/>
          <w:kern w:val="0"/>
          <w:sz w:val="21"/>
          <w:szCs w:val="21"/>
          <w:highlight w:val="none"/>
          <w14:textFill>
            <w14:solidFill>
              <w14:schemeClr w14:val="tx1"/>
            </w14:solidFill>
          </w14:textFill>
        </w:rPr>
        <w:t>仲裁委员会按其仲裁规则申请仲裁。</w:t>
      </w:r>
    </w:p>
    <w:p w14:paraId="498F5700">
      <w:pPr>
        <w:tabs>
          <w:tab w:val="left" w:pos="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2、在仲裁期间，本合同应继续履行。</w:t>
      </w:r>
    </w:p>
    <w:p w14:paraId="02002140">
      <w:pPr>
        <w:spacing w:line="360" w:lineRule="auto"/>
        <w:ind w:left="426"/>
        <w:outlineLvl w:val="1"/>
        <w:rPr>
          <w:rFonts w:ascii="宋体" w:hAnsi="宋体" w:cs="宋体"/>
          <w:b/>
          <w:color w:val="000000" w:themeColor="text1"/>
          <w:szCs w:val="21"/>
          <w:highlight w:val="none"/>
          <w14:textFill>
            <w14:solidFill>
              <w14:schemeClr w14:val="tx1"/>
            </w14:solidFill>
          </w14:textFill>
        </w:rPr>
      </w:pPr>
      <w:bookmarkStart w:id="38" w:name="_Toc286993793"/>
      <w:bookmarkStart w:id="39" w:name="_Toc282696231"/>
      <w:bookmarkStart w:id="40" w:name="_Toc237145412"/>
      <w:bookmarkStart w:id="41" w:name="_Toc238984981"/>
      <w:bookmarkStart w:id="42" w:name="_Toc211854455"/>
      <w:bookmarkStart w:id="43" w:name="_Toc251768868"/>
      <w:bookmarkStart w:id="44" w:name="_Toc225654650"/>
      <w:bookmarkStart w:id="45" w:name="_Toc211911354"/>
      <w:bookmarkStart w:id="46" w:name="_Toc239233920"/>
      <w:bookmarkStart w:id="47" w:name="_Toc225670757"/>
      <w:bookmarkStart w:id="48" w:name="_Toc247334847"/>
      <w:bookmarkStart w:id="49" w:name="_Toc241833909"/>
      <w:bookmarkStart w:id="50" w:name="_Toc185395255"/>
      <w:bookmarkStart w:id="51" w:name="_Toc232492934"/>
      <w:bookmarkStart w:id="52" w:name="_Toc225244858"/>
      <w:bookmarkStart w:id="53" w:name="_Toc212019600"/>
      <w:bookmarkStart w:id="54" w:name="_Toc239568424"/>
      <w:bookmarkStart w:id="55" w:name="_Toc283019219"/>
      <w:bookmarkStart w:id="56" w:name="_Toc25695"/>
      <w:bookmarkStart w:id="57" w:name="_Toc5794"/>
      <w:r>
        <w:rPr>
          <w:rFonts w:hint="eastAsia" w:ascii="宋体" w:hAnsi="宋体" w:cs="宋体"/>
          <w:b/>
          <w:color w:val="000000" w:themeColor="text1"/>
          <w:szCs w:val="21"/>
          <w:highlight w:val="none"/>
          <w14:textFill>
            <w14:solidFill>
              <w14:schemeClr w14:val="tx1"/>
            </w14:solidFill>
          </w14:textFill>
        </w:rPr>
        <w:t>第十条  合同</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ascii="宋体" w:hAnsi="宋体" w:cs="宋体"/>
          <w:b/>
          <w:color w:val="000000" w:themeColor="text1"/>
          <w:szCs w:val="21"/>
          <w:highlight w:val="none"/>
          <w14:textFill>
            <w14:solidFill>
              <w14:schemeClr w14:val="tx1"/>
            </w14:solidFill>
          </w14:textFill>
        </w:rPr>
        <w:t>生效及其他</w:t>
      </w:r>
      <w:bookmarkEnd w:id="56"/>
      <w:bookmarkEnd w:id="57"/>
    </w:p>
    <w:p w14:paraId="3C3DC9AD">
      <w:pPr>
        <w:pStyle w:val="15"/>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1、合同经双方法定代表人（单位负责人）或授权委托代理人签名并加盖单位公章并由采购代理机构盖章后生效。</w:t>
      </w:r>
    </w:p>
    <w:p w14:paraId="1C644D61">
      <w:pPr>
        <w:pStyle w:val="15"/>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1EC5A7F1">
      <w:pPr>
        <w:pStyle w:val="15"/>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3、本合同一式陆份，自双方签章之日起起效。甲方</w:t>
      </w:r>
      <w:r>
        <w:rPr>
          <w:rFonts w:hint="eastAsia" w:ascii="宋体" w:hAnsi="宋体" w:cs="宋体"/>
          <w:color w:val="000000" w:themeColor="text1"/>
          <w:sz w:val="21"/>
          <w:szCs w:val="21"/>
          <w:highlight w:val="none"/>
          <w:u w:val="single"/>
          <w14:textFill>
            <w14:solidFill>
              <w14:schemeClr w14:val="tx1"/>
            </w14:solidFill>
          </w14:textFill>
        </w:rPr>
        <w:t>贰</w:t>
      </w:r>
      <w:r>
        <w:rPr>
          <w:rFonts w:hint="eastAsia" w:ascii="宋体" w:hAnsi="宋体" w:cs="宋体"/>
          <w:color w:val="000000" w:themeColor="text1"/>
          <w:sz w:val="21"/>
          <w:szCs w:val="21"/>
          <w:highlight w:val="none"/>
          <w14:textFill>
            <w14:solidFill>
              <w14:schemeClr w14:val="tx1"/>
            </w14:solidFill>
          </w14:textFill>
        </w:rPr>
        <w:t>份，乙方</w:t>
      </w:r>
      <w:r>
        <w:rPr>
          <w:rFonts w:hint="eastAsia" w:ascii="宋体" w:hAnsi="宋体" w:cs="宋体"/>
          <w:color w:val="000000" w:themeColor="text1"/>
          <w:sz w:val="21"/>
          <w:szCs w:val="21"/>
          <w:highlight w:val="none"/>
          <w:u w:val="single"/>
          <w14:textFill>
            <w14:solidFill>
              <w14:schemeClr w14:val="tx1"/>
            </w14:solidFill>
          </w14:textFill>
        </w:rPr>
        <w:t>贰</w:t>
      </w:r>
      <w:r>
        <w:rPr>
          <w:rFonts w:hint="eastAsia" w:ascii="宋体" w:hAnsi="宋体" w:cs="宋体"/>
          <w:color w:val="000000" w:themeColor="text1"/>
          <w:sz w:val="21"/>
          <w:szCs w:val="21"/>
          <w:highlight w:val="none"/>
          <w14:textFill>
            <w14:solidFill>
              <w14:schemeClr w14:val="tx1"/>
            </w14:solidFill>
          </w14:textFill>
        </w:rPr>
        <w:t>份，政府采购代理机构</w:t>
      </w:r>
      <w:r>
        <w:rPr>
          <w:rFonts w:hint="eastAsia" w:ascii="宋体" w:hAnsi="宋体" w:cs="宋体"/>
          <w:color w:val="000000" w:themeColor="text1"/>
          <w:sz w:val="21"/>
          <w:szCs w:val="21"/>
          <w:highlight w:val="none"/>
          <w:u w:val="single"/>
          <w14:textFill>
            <w14:solidFill>
              <w14:schemeClr w14:val="tx1"/>
            </w14:solidFill>
          </w14:textFill>
        </w:rPr>
        <w:t>壹</w:t>
      </w:r>
      <w:r>
        <w:rPr>
          <w:rFonts w:hint="eastAsia" w:ascii="宋体" w:hAnsi="宋体" w:cs="宋体"/>
          <w:color w:val="000000" w:themeColor="text1"/>
          <w:sz w:val="21"/>
          <w:szCs w:val="21"/>
          <w:highlight w:val="none"/>
          <w14:textFill>
            <w14:solidFill>
              <w14:schemeClr w14:val="tx1"/>
            </w14:solidFill>
          </w14:textFill>
        </w:rPr>
        <w:t>份，同级财政部门备案</w:t>
      </w:r>
      <w:r>
        <w:rPr>
          <w:rFonts w:hint="eastAsia" w:ascii="宋体" w:hAnsi="宋体" w:cs="宋体"/>
          <w:color w:val="000000" w:themeColor="text1"/>
          <w:sz w:val="21"/>
          <w:szCs w:val="21"/>
          <w:highlight w:val="none"/>
          <w:u w:val="single"/>
          <w14:textFill>
            <w14:solidFill>
              <w14:schemeClr w14:val="tx1"/>
            </w14:solidFill>
          </w14:textFill>
        </w:rPr>
        <w:t>壹</w:t>
      </w:r>
      <w:r>
        <w:rPr>
          <w:rFonts w:hint="eastAsia" w:ascii="宋体" w:hAnsi="宋体" w:cs="宋体"/>
          <w:color w:val="000000" w:themeColor="text1"/>
          <w:sz w:val="21"/>
          <w:szCs w:val="21"/>
          <w:highlight w:val="none"/>
          <w14:textFill>
            <w14:solidFill>
              <w14:schemeClr w14:val="tx1"/>
            </w14:solidFill>
          </w14:textFill>
        </w:rPr>
        <w:t>份，具有同等法律效力。</w:t>
      </w:r>
    </w:p>
    <w:p w14:paraId="4557C1F9">
      <w:pPr>
        <w:snapToGri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p>
    <w:p w14:paraId="2DF35040">
      <w:pPr>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甲方（盖章）：                           乙方（盖章）：</w:t>
      </w:r>
    </w:p>
    <w:p w14:paraId="6D86EA09">
      <w:pPr>
        <w:snapToGri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法定代表人（委托代理人）：  法定代表人（委托代理人）：</w:t>
      </w:r>
    </w:p>
    <w:p w14:paraId="790499A4">
      <w:pPr>
        <w:snapToGri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地址：                               地址：</w:t>
      </w:r>
    </w:p>
    <w:p w14:paraId="135AAA52">
      <w:pPr>
        <w:snapToGri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开户银行：                               开户银行：</w:t>
      </w:r>
    </w:p>
    <w:p w14:paraId="3DFE8FE5">
      <w:pPr>
        <w:pStyle w:val="14"/>
        <w:spacing w:line="360" w:lineRule="auto"/>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银行帐号：                               银行帐号：</w:t>
      </w:r>
    </w:p>
    <w:p w14:paraId="1674D401">
      <w:pPr>
        <w:snapToGri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    话：                               电    话：</w:t>
      </w:r>
    </w:p>
    <w:p w14:paraId="127A503E">
      <w:pPr>
        <w:snapToGri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传    真：                               传    真：</w:t>
      </w:r>
    </w:p>
    <w:p w14:paraId="4A545D4B">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签约日期：    年    月   日              签约日期：    年    月   日</w:t>
      </w:r>
    </w:p>
    <w:p w14:paraId="6C8239C1">
      <w:pPr>
        <w:spacing w:line="360" w:lineRule="auto"/>
        <w:rPr>
          <w:rFonts w:ascii="宋体" w:hAnsi="宋体" w:cs="宋体"/>
          <w:color w:val="000000" w:themeColor="text1"/>
          <w:szCs w:val="21"/>
          <w:highlight w:val="none"/>
          <w14:textFill>
            <w14:solidFill>
              <w14:schemeClr w14:val="tx1"/>
            </w14:solidFill>
          </w14:textFill>
        </w:rPr>
      </w:pPr>
    </w:p>
    <w:p w14:paraId="55804041">
      <w:pPr>
        <w:spacing w:line="360" w:lineRule="auto"/>
        <w:rPr>
          <w:rFonts w:ascii="宋体" w:hAnsi="宋体" w:cs="宋体"/>
          <w:color w:val="000000" w:themeColor="text1"/>
          <w:szCs w:val="21"/>
          <w:highlight w:val="none"/>
          <w14:textFill>
            <w14:solidFill>
              <w14:schemeClr w14:val="tx1"/>
            </w14:solidFill>
          </w14:textFill>
        </w:rPr>
      </w:pPr>
    </w:p>
    <w:p w14:paraId="7AA11331">
      <w:pPr>
        <w:pStyle w:val="2"/>
        <w:rPr>
          <w:rFonts w:ascii="宋体" w:hAnsi="宋体" w:cs="宋体"/>
          <w:color w:val="000000" w:themeColor="text1"/>
          <w:highlight w:val="none"/>
          <w14:textFill>
            <w14:solidFill>
              <w14:schemeClr w14:val="tx1"/>
            </w14:solidFill>
          </w14:textFill>
        </w:rPr>
      </w:pPr>
    </w:p>
    <w:p w14:paraId="2EE3FC0E">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鉴证方：</w:t>
      </w:r>
      <w:r>
        <w:rPr>
          <w:rFonts w:hint="eastAsia" w:ascii="宋体" w:hAnsi="宋体" w:cs="宋体"/>
          <w:color w:val="000000" w:themeColor="text1"/>
          <w:szCs w:val="21"/>
          <w:highlight w:val="none"/>
          <w:u w:val="single"/>
          <w14:textFill>
            <w14:solidFill>
              <w14:schemeClr w14:val="tx1"/>
            </w14:solidFill>
          </w14:textFill>
        </w:rPr>
        <w:t>陕西隆信项目管理有限公司</w:t>
      </w:r>
      <w:r>
        <w:rPr>
          <w:rFonts w:hint="eastAsia" w:ascii="宋体" w:hAnsi="宋体" w:cs="宋体"/>
          <w:color w:val="000000" w:themeColor="text1"/>
          <w:szCs w:val="21"/>
          <w:highlight w:val="none"/>
          <w14:textFill>
            <w14:solidFill>
              <w14:schemeClr w14:val="tx1"/>
            </w14:solidFill>
          </w14:textFill>
        </w:rPr>
        <w:t>（盖章）</w:t>
      </w:r>
    </w:p>
    <w:p w14:paraId="216770A1">
      <w:pP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地  址：西安市莲湖区丰登南路9号怡景花园酒店A座二层</w:t>
      </w:r>
    </w:p>
    <w:p w14:paraId="25061AC5">
      <w:bookmarkStart w:id="58" w:name="_GoBack"/>
      <w:bookmarkEnd w:id="5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569F1D6B"/>
    <w:rsid w:val="0BEE32C2"/>
    <w:rsid w:val="0E916E0F"/>
    <w:rsid w:val="2682656C"/>
    <w:rsid w:val="28C01707"/>
    <w:rsid w:val="28E03E7D"/>
    <w:rsid w:val="298970CB"/>
    <w:rsid w:val="2C1C1DF7"/>
    <w:rsid w:val="2FCB43E0"/>
    <w:rsid w:val="37294A27"/>
    <w:rsid w:val="422C694D"/>
    <w:rsid w:val="431E61AB"/>
    <w:rsid w:val="43995A03"/>
    <w:rsid w:val="492C14BA"/>
    <w:rsid w:val="4BFE3A92"/>
    <w:rsid w:val="569F1D6B"/>
    <w:rsid w:val="59D41C83"/>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5">
    <w:name w:val="heading 2"/>
    <w:basedOn w:val="1"/>
    <w:next w:val="6"/>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7">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sz w:val="21"/>
      <w:szCs w:val="24"/>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style>
  <w:style w:type="paragraph" w:styleId="8">
    <w:name w:val="Normal (Web)"/>
    <w:basedOn w:val="1"/>
    <w:qFormat/>
    <w:uiPriority w:val="99"/>
    <w:pPr>
      <w:widowControl/>
      <w:spacing w:before="100" w:beforeAutospacing="1" w:after="100" w:afterAutospacing="1"/>
      <w:jc w:val="left"/>
    </w:pPr>
    <w:rPr>
      <w:rFonts w:ascii="宋体" w:hAnsi="宋体"/>
      <w:kern w:val="0"/>
      <w:sz w:val="18"/>
      <w:szCs w:val="18"/>
    </w:rPr>
  </w:style>
  <w:style w:type="character" w:customStyle="1" w:styleId="11">
    <w:name w:val="标题 3 Char"/>
    <w:link w:val="7"/>
    <w:qFormat/>
    <w:uiPriority w:val="0"/>
    <w:rPr>
      <w:rFonts w:ascii="Calibri" w:hAnsi="Calibri" w:eastAsia="宋体"/>
      <w:b/>
      <w:sz w:val="30"/>
    </w:rPr>
  </w:style>
  <w:style w:type="character" w:customStyle="1" w:styleId="12">
    <w:name w:val="标题 2 Char"/>
    <w:link w:val="5"/>
    <w:qFormat/>
    <w:uiPriority w:val="0"/>
    <w:rPr>
      <w:rFonts w:ascii="Arial" w:hAnsi="Arial" w:eastAsia="黑体"/>
      <w:b/>
      <w:kern w:val="2"/>
      <w:sz w:val="36"/>
    </w:rPr>
  </w:style>
  <w:style w:type="character" w:customStyle="1" w:styleId="13">
    <w:name w:val="标题 1 Char"/>
    <w:link w:val="4"/>
    <w:qFormat/>
    <w:uiPriority w:val="0"/>
    <w:rPr>
      <w:rFonts w:ascii="Times New Roman" w:hAnsi="Times New Roman" w:eastAsia="宋体"/>
      <w:b/>
      <w:kern w:val="44"/>
      <w:sz w:val="44"/>
      <w:szCs w:val="20"/>
    </w:rPr>
  </w:style>
  <w:style w:type="paragraph" w:customStyle="1" w:styleId="14">
    <w:name w:val="样式 首行缩进:  2 字符"/>
    <w:basedOn w:val="1"/>
    <w:qFormat/>
    <w:uiPriority w:val="0"/>
    <w:pPr>
      <w:spacing w:line="400" w:lineRule="exact"/>
      <w:ind w:firstLine="200" w:firstLineChars="200"/>
    </w:pPr>
    <w:rPr>
      <w:rFonts w:cs="宋体"/>
      <w:sz w:val="24"/>
    </w:rPr>
  </w:style>
  <w:style w:type="paragraph" w:styleId="15">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2024-08-02T09:23:00Z</dcterms:created>
  <dc:creator>野</dc:creator>
  <cp:lastModifiedBy>野</cp:lastModifiedBy>
  <dcterms:modified xsi:type="dcterms:W3CDTF">2024-08-02T09:23:43Z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9CE2A2CB729D4DEFB43B1900336DD5D3_11</vt:lpwstr>
  </property>
</Properties>
</file>