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7B71D">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napToGrid w:val="0"/>
          <w:color w:val="auto"/>
          <w:sz w:val="32"/>
          <w:szCs w:val="32"/>
          <w:highlight w:val="none"/>
          <w:lang w:val="en-US" w:eastAsia="zh-CN"/>
        </w:rPr>
      </w:pPr>
      <w:r>
        <w:rPr>
          <w:rFonts w:hint="eastAsia" w:ascii="仿宋" w:hAnsi="仿宋" w:eastAsia="仿宋" w:cs="仿宋"/>
          <w:b/>
          <w:bCs/>
          <w:snapToGrid w:val="0"/>
          <w:color w:val="auto"/>
          <w:sz w:val="32"/>
          <w:szCs w:val="32"/>
          <w:highlight w:val="none"/>
          <w:lang w:val="en-US" w:eastAsia="zh-Hans"/>
        </w:rPr>
        <w:t>西安市中心医院</w:t>
      </w:r>
      <w:r>
        <w:rPr>
          <w:rFonts w:hint="eastAsia" w:ascii="仿宋" w:hAnsi="仿宋" w:eastAsia="仿宋" w:cs="仿宋"/>
          <w:b/>
          <w:bCs/>
          <w:snapToGrid w:val="0"/>
          <w:color w:val="auto"/>
          <w:sz w:val="32"/>
          <w:szCs w:val="32"/>
          <w:highlight w:val="none"/>
          <w:lang w:val="en-US" w:eastAsia="zh-CN"/>
        </w:rPr>
        <w:t>2024年媒体宣传项目服务合同</w:t>
      </w:r>
    </w:p>
    <w:p w14:paraId="6BECB22F">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甲方：西安市中心医院</w:t>
      </w:r>
    </w:p>
    <w:p w14:paraId="42048BB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乙方：</w:t>
      </w:r>
    </w:p>
    <w:p w14:paraId="4416995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p>
    <w:p w14:paraId="5186DAED">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西安市中心医院（以下简称“甲方”），与</w:t>
      </w:r>
      <w:r>
        <w:rPr>
          <w:rFonts w:hint="eastAsia" w:ascii="仿宋" w:hAnsi="仿宋" w:eastAsia="仿宋" w:cs="仿宋"/>
          <w:snapToGrid w:val="0"/>
          <w:color w:val="auto"/>
          <w:sz w:val="28"/>
          <w:szCs w:val="28"/>
          <w:highlight w:val="none"/>
          <w:u w:val="single"/>
          <w:lang w:val="en-US" w:eastAsia="zh-CN"/>
        </w:rPr>
        <w:t xml:space="preserve">           </w:t>
      </w:r>
      <w:r>
        <w:rPr>
          <w:rFonts w:hint="eastAsia" w:ascii="仿宋" w:hAnsi="仿宋" w:eastAsia="仿宋" w:cs="仿宋"/>
          <w:snapToGrid w:val="0"/>
          <w:color w:val="auto"/>
          <w:sz w:val="28"/>
          <w:szCs w:val="28"/>
          <w:highlight w:val="none"/>
          <w:lang w:val="en-US" w:eastAsia="zh-CN"/>
        </w:rPr>
        <w:t>（以下简称“乙方”）经友好协商，就甲方委托乙方完成“</w:t>
      </w:r>
      <w:r>
        <w:rPr>
          <w:rFonts w:hint="eastAsia" w:ascii="仿宋" w:hAnsi="仿宋" w:eastAsia="仿宋" w:cs="仿宋"/>
          <w:snapToGrid w:val="0"/>
          <w:color w:val="auto"/>
          <w:sz w:val="28"/>
          <w:szCs w:val="28"/>
          <w:highlight w:val="none"/>
          <w:u w:val="single"/>
          <w:lang w:val="en-US" w:eastAsia="zh-CN"/>
        </w:rPr>
        <w:t xml:space="preserve">        </w:t>
      </w:r>
      <w:r>
        <w:rPr>
          <w:rFonts w:hint="eastAsia" w:ascii="仿宋" w:hAnsi="仿宋" w:eastAsia="仿宋" w:cs="仿宋"/>
          <w:snapToGrid w:val="0"/>
          <w:color w:val="auto"/>
          <w:sz w:val="28"/>
          <w:szCs w:val="28"/>
          <w:highlight w:val="none"/>
          <w:lang w:val="en-US" w:eastAsia="zh-CN"/>
        </w:rPr>
        <w:t>”事宜，签订如下协议。</w:t>
      </w:r>
    </w:p>
    <w:p w14:paraId="0F19011A">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乙方承诺按照如下所述的具体内容执行：</w:t>
      </w:r>
    </w:p>
    <w:p w14:paraId="61441F8C">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一、合同标的物的内容及数量</w:t>
      </w:r>
    </w:p>
    <w:p w14:paraId="464BB4B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Hans"/>
        </w:rPr>
      </w:pPr>
      <w:r>
        <w:rPr>
          <w:rFonts w:hint="eastAsia" w:ascii="仿宋" w:hAnsi="仿宋" w:eastAsia="仿宋" w:cs="仿宋"/>
          <w:snapToGrid w:val="0"/>
          <w:color w:val="auto"/>
          <w:sz w:val="28"/>
          <w:szCs w:val="28"/>
          <w:highlight w:val="none"/>
          <w:lang w:val="en-US" w:eastAsia="zh-Hans"/>
        </w:rPr>
        <w:t>1</w:t>
      </w:r>
      <w:r>
        <w:rPr>
          <w:rFonts w:hint="eastAsia" w:ascii="仿宋" w:hAnsi="仿宋" w:eastAsia="仿宋" w:cs="仿宋"/>
          <w:snapToGrid w:val="0"/>
          <w:color w:val="auto"/>
          <w:sz w:val="28"/>
          <w:szCs w:val="28"/>
          <w:highlight w:val="none"/>
          <w:lang w:val="en-US" w:eastAsia="zh-CN"/>
        </w:rPr>
        <w:t>、</w:t>
      </w:r>
      <w:r>
        <w:rPr>
          <w:rFonts w:hint="eastAsia" w:ascii="仿宋" w:hAnsi="仿宋" w:eastAsia="仿宋" w:cs="仿宋"/>
          <w:snapToGrid w:val="0"/>
          <w:color w:val="auto"/>
          <w:sz w:val="28"/>
          <w:szCs w:val="28"/>
          <w:highlight w:val="none"/>
          <w:lang w:val="en-US" w:eastAsia="zh-Hans"/>
        </w:rPr>
        <w:t>甲方基于宣传医院公益形象，提升医院品牌及美誉度之目的，拟委托乙方采写编辑制作并发布视频节目/稿件刊发。甲乙双方根据《中华人民共和国合同法》及相关法律法规之规定,就甲方委托乙方进行宣传推广合作事宜，经过友好协商，签订本合同，以资信守。</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858"/>
        <w:gridCol w:w="1858"/>
        <w:gridCol w:w="1858"/>
      </w:tblGrid>
      <w:tr w14:paraId="5FC6C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05E2CB3A">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项目</w:t>
            </w:r>
          </w:p>
        </w:tc>
        <w:tc>
          <w:tcPr>
            <w:tcW w:w="1857" w:type="dxa"/>
            <w:vAlign w:val="center"/>
          </w:tcPr>
          <w:p w14:paraId="219BBD32">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内容</w:t>
            </w:r>
          </w:p>
        </w:tc>
        <w:tc>
          <w:tcPr>
            <w:tcW w:w="1858" w:type="dxa"/>
            <w:vAlign w:val="center"/>
          </w:tcPr>
          <w:p w14:paraId="18E3D946">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数量</w:t>
            </w:r>
          </w:p>
        </w:tc>
        <w:tc>
          <w:tcPr>
            <w:tcW w:w="1858" w:type="dxa"/>
            <w:vAlign w:val="center"/>
          </w:tcPr>
          <w:p w14:paraId="4E890B27">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单价（元）</w:t>
            </w:r>
          </w:p>
        </w:tc>
        <w:tc>
          <w:tcPr>
            <w:tcW w:w="1858" w:type="dxa"/>
            <w:vAlign w:val="center"/>
          </w:tcPr>
          <w:p w14:paraId="2B99723D">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r>
              <w:rPr>
                <w:rFonts w:hint="eastAsia" w:ascii="仿宋" w:hAnsi="仿宋" w:eastAsia="仿宋" w:cs="仿宋"/>
                <w:sz w:val="28"/>
                <w:szCs w:val="28"/>
                <w:vertAlign w:val="baseline"/>
                <w:lang w:val="en-US" w:eastAsia="zh-CN"/>
              </w:rPr>
              <w:t>总价（元）</w:t>
            </w:r>
          </w:p>
        </w:tc>
      </w:tr>
      <w:tr w14:paraId="38019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79269D0D">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7" w:type="dxa"/>
            <w:vAlign w:val="center"/>
          </w:tcPr>
          <w:p w14:paraId="68713A63">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5931E365">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54FD1ED9">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0DC9A351">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r w14:paraId="2D62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733ED2E8">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7" w:type="dxa"/>
            <w:vAlign w:val="center"/>
          </w:tcPr>
          <w:p w14:paraId="2FE5EBC1">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37B10C2E">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770261AD">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3243F573">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r w14:paraId="4A3B4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7" w:type="dxa"/>
            <w:vAlign w:val="center"/>
          </w:tcPr>
          <w:p w14:paraId="55FAED9D">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7" w:type="dxa"/>
            <w:vAlign w:val="center"/>
          </w:tcPr>
          <w:p w14:paraId="1CF241BF">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24BAC0C0">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7EEC777D">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c>
          <w:tcPr>
            <w:tcW w:w="1858" w:type="dxa"/>
            <w:vAlign w:val="center"/>
          </w:tcPr>
          <w:p w14:paraId="15C32462">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r w14:paraId="4F61F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30" w:type="dxa"/>
            <w:gridSpan w:val="4"/>
            <w:vAlign w:val="center"/>
          </w:tcPr>
          <w:p w14:paraId="69AFEBF0">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总价</w:t>
            </w:r>
          </w:p>
        </w:tc>
        <w:tc>
          <w:tcPr>
            <w:tcW w:w="1858" w:type="dxa"/>
            <w:vAlign w:val="center"/>
          </w:tcPr>
          <w:p w14:paraId="35519686">
            <w:pPr>
              <w:pStyle w:val="14"/>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8"/>
                <w:szCs w:val="28"/>
                <w:vertAlign w:val="baseline"/>
                <w:lang w:val="en-US" w:eastAsia="zh-Hans"/>
              </w:rPr>
            </w:pPr>
          </w:p>
        </w:tc>
      </w:tr>
    </w:tbl>
    <w:p w14:paraId="6BDD188A">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二、合同价款</w:t>
      </w:r>
    </w:p>
    <w:p w14:paraId="03AA7DCD">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（一）合同总价款为人民币（大写）         （¥：      元）。</w:t>
      </w:r>
    </w:p>
    <w:p w14:paraId="149E0CC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（二）合同总价包括:宣传费、技术服务及其它费用。</w:t>
      </w:r>
    </w:p>
    <w:p w14:paraId="748AD6B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（三）合同总价一次性包死，不受市场价格变化因素的影响。</w:t>
      </w:r>
    </w:p>
    <w:p w14:paraId="4BAE1DA4">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三、款项结算</w:t>
      </w:r>
    </w:p>
    <w:p w14:paraId="7F5C255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服务期限结束，质量合格，一次性无息付清全款，乙方应于甲方付款前【7】日按照甲方要求提供等额合规发票，否则，甲方有权拒付合同款项，且不承担任何责任，乙方亦不得以此为由拒绝履行任意合同义务。</w:t>
      </w:r>
    </w:p>
    <w:p w14:paraId="5E30312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付款方式:转账支付。</w:t>
      </w:r>
    </w:p>
    <w:p w14:paraId="67BCA01D">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名称:</w:t>
      </w:r>
    </w:p>
    <w:p w14:paraId="66D1623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纳税人识别号:</w:t>
      </w:r>
    </w:p>
    <w:p w14:paraId="0E18DE9C">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地址、电话:</w:t>
      </w:r>
    </w:p>
    <w:p w14:paraId="12DE102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开户行及账号:</w:t>
      </w:r>
    </w:p>
    <w:p w14:paraId="64BB7DFD">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四、服务内容及条件:</w:t>
      </w:r>
    </w:p>
    <w:p w14:paraId="1F17A82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（一）服务地点:西安市中心医院指定地点。</w:t>
      </w:r>
    </w:p>
    <w:p w14:paraId="26E6F88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（二）服务期限:合同签订后一年。</w:t>
      </w:r>
    </w:p>
    <w:p w14:paraId="71820B9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（三）其余服务内容、服务条件等以乙方投标文件承诺的内容为准。</w:t>
      </w:r>
    </w:p>
    <w:p w14:paraId="66F932E7">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五、质量保证</w:t>
      </w:r>
    </w:p>
    <w:p w14:paraId="7755465F">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（一）乙方保证所提供的服务有保障措施，包括组织保障、人员保障、产品保障，并安全按照相应文件计划、安排、配置进行;</w:t>
      </w:r>
    </w:p>
    <w:p w14:paraId="79467ED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（二）乙方要以严肃认真、及时准确、高度负责的态度和行为，为甲方提供优质高效的服务。</w:t>
      </w:r>
    </w:p>
    <w:p w14:paraId="3A90725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（三）乙方应委派专人与甲方保持紧密联系，进行沟通交流，积极配合甲方的工作。联系人【     】，联系电话【     】。乙方应在每一次发布前【    】日内提供宣传稿，甲方有权对乙方进行的宣传稿内容提出修改意见和建议乙方应据此修改、调整。</w:t>
      </w:r>
    </w:p>
    <w:p w14:paraId="785F0027">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六、验收方式</w:t>
      </w:r>
    </w:p>
    <w:p w14:paraId="15F58CB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（一）在服务完成前所发生的一切损失及费用由乙方承担。服务内容达到标书要求的并经甲方验收合格的，验收通过;验收不合格的，乙方应于【    】日内，提高服务质量完成标书服务要求。</w:t>
      </w:r>
    </w:p>
    <w:p w14:paraId="72EDCEA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（二）验收依据:</w:t>
      </w:r>
    </w:p>
    <w:p w14:paraId="1FF8E18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1、本合同及合同附件。</w:t>
      </w:r>
    </w:p>
    <w:p w14:paraId="3070A445">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2、国家相应的标准、规范。</w:t>
      </w:r>
    </w:p>
    <w:p w14:paraId="2E17695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3、单一来源采购文件单一来源采购响应文件、澄清表(函)。</w:t>
      </w:r>
    </w:p>
    <w:p w14:paraId="1BB451D3">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七、违约责任</w:t>
      </w:r>
    </w:p>
    <w:p w14:paraId="2934C58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（一）按《中华人民共和国政府采购法》《中华人民共和国民法典》中的相关条款执行。</w:t>
      </w:r>
    </w:p>
    <w:p w14:paraId="4CBFACC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（二）若乙方未按合同、单一来源采购文件、响应文件、澄清表(函)约定的内容、质量等提供服务的，应无条件按甲方</w:t>
      </w:r>
      <w:bookmarkStart w:id="0" w:name="_GoBack"/>
      <w:bookmarkEnd w:id="0"/>
      <w:r>
        <w:rPr>
          <w:rFonts w:hint="eastAsia" w:ascii="仿宋" w:hAnsi="仿宋" w:eastAsia="仿宋" w:cs="仿宋"/>
          <w:snapToGrid w:val="0"/>
          <w:color w:val="auto"/>
          <w:sz w:val="28"/>
          <w:szCs w:val="28"/>
          <w:highlight w:val="none"/>
          <w:lang w:val="en-US" w:eastAsia="zh-CN"/>
        </w:rPr>
        <w:t>要求的时限整改，否则，甲方有权解除合同，解除合同书面通知书到达乙方之日视为合同已解除，并按以下两种方式追究乙方的违约责任:</w:t>
      </w:r>
    </w:p>
    <w:p w14:paraId="55365BF4">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1、乙方赔偿甲方解除合同的全部损失(包括但不限于重新采购产生的费用、合同未履行导致不能按规划交付使用可能产生的租赁费用及其它由此造成的甲方对第三方的违约损失);</w:t>
      </w:r>
    </w:p>
    <w:p w14:paraId="36A0C5B5">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2、乙方支付甲方违约金，违约金计算方法:以合同总价为基数，支付甲方合同总价的30%为违约金。同时，对乙方的违约行为报监管机构进行相应的处罚。</w:t>
      </w:r>
    </w:p>
    <w:p w14:paraId="1F2D27C8">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八、合同争议解决的方式</w:t>
      </w:r>
    </w:p>
    <w:p w14:paraId="1F24461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本合同在履行过程中发生的争议，由甲、乙双方当事人协商解决，协商不成的依法向甲方所在地人民法院起诉。</w:t>
      </w:r>
    </w:p>
    <w:p w14:paraId="4E4FE67F">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九、合同生效</w:t>
      </w:r>
    </w:p>
    <w:p w14:paraId="2F94816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本合同一式8份，甲方6份，乙方1份，见证方1份，具有同等法律效力本合同经甲方、乙方签字盖章后生效，质保期结束后，自动终止(但合同的服务承诺除外)。</w:t>
      </w:r>
    </w:p>
    <w:p w14:paraId="731F7580">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 w:hAnsi="仿宋" w:eastAsia="仿宋" w:cs="仿宋"/>
          <w:b/>
          <w:bCs/>
          <w:snapToGrid w:val="0"/>
          <w:color w:val="auto"/>
          <w:sz w:val="28"/>
          <w:szCs w:val="28"/>
          <w:highlight w:val="none"/>
          <w:lang w:val="en-US" w:eastAsia="zh-CN"/>
        </w:rPr>
      </w:pPr>
      <w:r>
        <w:rPr>
          <w:rFonts w:hint="eastAsia" w:ascii="仿宋" w:hAnsi="仿宋" w:eastAsia="仿宋" w:cs="仿宋"/>
          <w:b/>
          <w:bCs/>
          <w:snapToGrid w:val="0"/>
          <w:color w:val="auto"/>
          <w:sz w:val="28"/>
          <w:szCs w:val="28"/>
          <w:highlight w:val="none"/>
          <w:lang w:val="en-US" w:eastAsia="zh-CN"/>
        </w:rPr>
        <w:t>十、其他事项</w:t>
      </w:r>
    </w:p>
    <w:p w14:paraId="49A6E719">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（一）见证方作为政府集中采购代理机构对合同进行确认。</w:t>
      </w:r>
    </w:p>
    <w:p w14:paraId="6A9F031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（二）西安市财政局政府采购管理处在合同的履行期间以及履行期后，可以随时检查项目的执行情况，对采购内容、标准进行调查核实，并对发现的问题进行处理。</w:t>
      </w:r>
    </w:p>
    <w:p w14:paraId="134113D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（三）单一来源采购文件、单一来源采购响应文件、澄清表(函)、成交通知书、合同附件均成为合同不可分割的部分。</w:t>
      </w:r>
    </w:p>
    <w:p w14:paraId="348A72A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（四）合同未尽事宜，由甲、乙双方协商，经见证方确认后，签订补充协议，与原合同具有同等法律效力。</w:t>
      </w:r>
    </w:p>
    <w:p w14:paraId="0265F3E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（五）合同一经签订，不得擅自变更、中止或终止合同。对确需变更、调整或中止、终止合同的，有法律规定的按照法律规定，除合同约定外，由甲乙双方再行协商，协商一致前，原合同或条款继续履行。</w:t>
      </w:r>
    </w:p>
    <w:p w14:paraId="65448A3B">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（六）本合同按照中华人民共和国的现行法律进行解释</w:t>
      </w:r>
    </w:p>
    <w:p w14:paraId="6363228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（七）本合同附件作为本合同的组成部分，与本合同具有同等法律效力。</w:t>
      </w:r>
    </w:p>
    <w:p w14:paraId="25E21E7A">
      <w:pPr>
        <w:spacing w:line="360" w:lineRule="auto"/>
        <w:rPr>
          <w:rFonts w:hint="eastAsia" w:ascii="宋体" w:hAnsi="宋体" w:cs="宋体"/>
          <w:snapToGrid w:val="0"/>
          <w:color w:val="auto"/>
          <w:sz w:val="28"/>
          <w:szCs w:val="28"/>
          <w:highlight w:val="none"/>
          <w:lang w:val="en-US" w:eastAsia="zh-CN"/>
        </w:rPr>
      </w:pPr>
    </w:p>
    <w:p w14:paraId="0D48E42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甲方：西安市中心医院                  乙方：</w:t>
      </w:r>
    </w:p>
    <w:p w14:paraId="7D80E1E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法人代表或授权代表：                  法人代表或授权代表：</w:t>
      </w:r>
    </w:p>
    <w:p w14:paraId="105073B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（签字或盖章）                        （签字或盖章）</w:t>
      </w:r>
    </w:p>
    <w:p w14:paraId="651603F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p>
    <w:p w14:paraId="344953B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lang w:val="en-US" w:eastAsia="zh-CN"/>
        </w:rPr>
      </w:pPr>
      <w:r>
        <w:rPr>
          <w:rFonts w:hint="eastAsia" w:ascii="仿宋" w:hAnsi="仿宋" w:eastAsia="仿宋" w:cs="仿宋"/>
          <w:snapToGrid w:val="0"/>
          <w:color w:val="auto"/>
          <w:sz w:val="28"/>
          <w:szCs w:val="28"/>
          <w:highlight w:val="none"/>
          <w:lang w:val="en-US" w:eastAsia="zh-CN"/>
        </w:rPr>
        <w:t>日期：    年   月   日                 日期：   年   月   日</w:t>
      </w:r>
    </w:p>
    <w:p w14:paraId="38EE7CD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p>
    <w:p w14:paraId="551EDAB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p>
    <w:p w14:paraId="64D4C5F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 xml:space="preserve">见证方（业务专用章）：陕西笃信招标有限公司 </w:t>
      </w:r>
    </w:p>
    <w:p w14:paraId="40BB24E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法人代表或授权代表：</w:t>
      </w:r>
    </w:p>
    <w:p w14:paraId="52B0584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（签字或盖章）</w:t>
      </w:r>
    </w:p>
    <w:p w14:paraId="082DBF8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p>
    <w:p w14:paraId="1433A2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napToGrid w:val="0"/>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rPr>
        <w:t xml:space="preserve">日期：    年   月   日  </w:t>
      </w:r>
    </w:p>
    <w:p w14:paraId="57B2E1B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DCB7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0D4A7A09"/>
    <w:rsid w:val="017E757F"/>
    <w:rsid w:val="07B73EB6"/>
    <w:rsid w:val="0CC87A86"/>
    <w:rsid w:val="0D4A7A09"/>
    <w:rsid w:val="1FF17CBA"/>
    <w:rsid w:val="32AE16C9"/>
    <w:rsid w:val="359D4003"/>
    <w:rsid w:val="436F06B1"/>
    <w:rsid w:val="4524487F"/>
    <w:rsid w:val="6CAF6F19"/>
    <w:rsid w:val="726C5DC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2"/>
    <w:basedOn w:val="1"/>
    <w:next w:val="1"/>
    <w:link w:val="13"/>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spacing w:after="120" w:afterLines="0"/>
    </w:pPr>
    <w:rPr>
      <w:rFonts w:ascii="Times New Roman"/>
      <w:kern w:val="2"/>
      <w:sz w:val="21"/>
    </w:rPr>
  </w:style>
  <w:style w:type="paragraph" w:styleId="9">
    <w:name w:val="footer"/>
    <w:basedOn w:val="1"/>
    <w:next w:val="8"/>
    <w:qFormat/>
    <w:uiPriority w:val="0"/>
    <w:pPr>
      <w:tabs>
        <w:tab w:val="center" w:pos="4153"/>
        <w:tab w:val="right" w:pos="8306"/>
      </w:tabs>
      <w:snapToGrid w:val="0"/>
      <w:jc w:val="left"/>
    </w:pPr>
    <w:rPr>
      <w:sz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Char"/>
    <w:link w:val="5"/>
    <w:autoRedefine/>
    <w:qFormat/>
    <w:uiPriority w:val="0"/>
    <w:rPr>
      <w:rFonts w:ascii="Arial" w:hAnsi="Arial" w:eastAsia="宋体" w:cs="Times New Roman"/>
      <w:b/>
      <w:sz w:val="32"/>
      <w:lang w:val="zh-CN" w:bidi="zh-C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1678</Words>
  <Characters>1684</Characters>
  <Lines>0</Lines>
  <Paragraphs>0</Paragraphs>
  <TotalTime>0</TotalTime>
  <ScaleCrop>false</ScaleCrop>
  <LinksUpToDate>false</LinksUpToDate>
  <CharactersWithSpaces>1845</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2024-07-09T07:11:00Z</dcterms:created>
  <dc:creator>陕西笃信招标有限公司</dc:creator>
  <cp:lastModifiedBy>陕西笃信招标有限公司</cp:lastModifiedBy>
  <dcterms:modified xsi:type="dcterms:W3CDTF">2024-07-10T07:29:48Z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1CE9D01100A144C087E2BBA3F5DBAEDE_13</vt:lpwstr>
  </property>
</Properties>
</file>