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西安市灞桥区人民法院云桌面采购</w:t>
      </w:r>
    </w:p>
    <w:p>
      <w:pPr>
        <w:pStyle w:val="null3"/>
        <w:jc w:val="center"/>
        <w:outlineLvl w:val="2"/>
      </w:pPr>
      <w:r>
        <w:rPr>
          <w:sz w:val="28"/>
          <w:b/>
        </w:rPr>
        <w:t>采购项目编号：</w:t>
      </w:r>
      <w:r>
        <w:rPr>
          <w:sz w:val="28"/>
          <w:b/>
        </w:rPr>
        <w:t>YXZB-2024-0815</w:t>
      </w:r>
      <w:r>
        <w:br/>
      </w:r>
      <w:r>
        <w:br/>
      </w:r>
      <w:r>
        <w:br/>
      </w:r>
    </w:p>
    <w:p>
      <w:pPr>
        <w:pStyle w:val="null3"/>
        <w:jc w:val="center"/>
        <w:outlineLvl w:val="2"/>
      </w:pPr>
      <w:r>
        <w:rPr>
          <w:sz w:val="28"/>
          <w:b/>
        </w:rPr>
        <w:t>西安市灞桥区人民法院[157]</w:t>
      </w:r>
    </w:p>
    <w:p>
      <w:pPr>
        <w:pStyle w:val="null3"/>
        <w:jc w:val="center"/>
        <w:outlineLvl w:val="2"/>
      </w:pPr>
      <w:r>
        <w:rPr>
          <w:sz w:val="28"/>
          <w:b/>
        </w:rPr>
        <w:t>陕西玥鑫项目管理有限公司</w:t>
      </w:r>
      <w:r>
        <w:rPr>
          <w:sz w:val="28"/>
          <w:b/>
        </w:rPr>
        <w:t>共同编制</w:t>
      </w:r>
    </w:p>
    <w:p>
      <w:pPr>
        <w:pStyle w:val="null3"/>
        <w:jc w:val="center"/>
        <w:outlineLvl w:val="2"/>
      </w:pPr>
      <w:r>
        <w:rPr>
          <w:sz w:val="28"/>
          <w:b/>
        </w:rPr>
        <w:t>2024年09月16日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陕西玥鑫项目管理有限公司</w:t>
      </w:r>
      <w:r>
        <w:rPr/>
        <w:t>（以下简称“代理机构”）受</w:t>
      </w:r>
      <w:r>
        <w:rPr/>
        <w:t>西安市灞桥区人民法院[157]</w:t>
      </w:r>
      <w:r>
        <w:rPr/>
        <w:t>委托，拟对</w:t>
      </w:r>
      <w:r>
        <w:rPr/>
        <w:t>西安市灞桥区人民法院云桌面采购</w:t>
      </w:r>
      <w:r>
        <w:rPr/>
        <w:t>进行国内公开招标，兹邀请符合本次招标要求的供应商参加投标。</w:t>
      </w:r>
    </w:p>
    <w:p>
      <w:pPr>
        <w:pStyle w:val="null3"/>
        <w:outlineLvl w:val="2"/>
      </w:pPr>
      <w:r>
        <w:rPr>
          <w:sz w:val="28"/>
          <w:b/>
        </w:rPr>
        <w:t>一、采购项目编号：</w:t>
      </w:r>
      <w:r>
        <w:rPr>
          <w:sz w:val="28"/>
          <w:b/>
        </w:rPr>
        <w:t>YXZB-2024-0815</w:t>
      </w:r>
    </w:p>
    <w:p>
      <w:pPr>
        <w:pStyle w:val="null3"/>
        <w:outlineLvl w:val="2"/>
      </w:pPr>
      <w:r>
        <w:rPr>
          <w:sz w:val="28"/>
          <w:b/>
        </w:rPr>
        <w:t>二、采购项目名称：</w:t>
      </w:r>
      <w:r>
        <w:rPr>
          <w:sz w:val="28"/>
          <w:b/>
        </w:rPr>
        <w:t>西安市灞桥区人民法院云桌面采购</w:t>
      </w:r>
    </w:p>
    <w:p>
      <w:pPr>
        <w:pStyle w:val="null3"/>
        <w:outlineLvl w:val="2"/>
      </w:pPr>
      <w:r>
        <w:rPr>
          <w:sz w:val="28"/>
          <w:b/>
        </w:rPr>
        <w:t>三、招标项目简介</w:t>
      </w:r>
    </w:p>
    <w:p>
      <w:pPr>
        <w:pStyle w:val="null3"/>
        <w:ind w:firstLine="480"/>
      </w:pPr>
      <w:r>
        <w:rPr/>
        <w:t>西安市灞桥区人民法院云桌面采购，具体内容详见招标文件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1、供应商合法注册的法人或其他组织的营业执照等证明文件，自然人的身份证明；：供应商合法注册的法人或其他组织的营业执照等证明文件，自然人的身份证明；</w:t>
      </w:r>
    </w:p>
    <w:p>
      <w:pPr>
        <w:pStyle w:val="null3"/>
      </w:pPr>
      <w:r>
        <w:rPr/>
        <w:t>2、财务报告：供应商上一年度（2023年度）经审计的财务报告、或本年度任意一个月单位内部财务报表、或本年度基本开户银行出具的资信证明；</w:t>
      </w:r>
    </w:p>
    <w:p>
      <w:pPr>
        <w:pStyle w:val="null3"/>
      </w:pPr>
      <w:r>
        <w:rPr/>
        <w:t>3、税收和社会保障资金的证明材料：本年度任意一个月的依法缴纳税收和社会保障资金的证明材料复印件,依法免税和依法不需要缴纳社会保障资金的单位应提供相关证明材料</w:t>
      </w:r>
    </w:p>
    <w:p>
      <w:pPr>
        <w:pStyle w:val="null3"/>
      </w:pPr>
      <w:r>
        <w:rPr/>
        <w:t>4、具备履行合同所必需的设备和专业技术能力的承诺；：具备履行合同所必需的设备和专业技术能力的承诺；</w:t>
      </w:r>
    </w:p>
    <w:p>
      <w:pPr>
        <w:pStyle w:val="null3"/>
      </w:pPr>
      <w:r>
        <w:rPr/>
        <w:t>5、无重大违法记录书面声明：供应商参加政府采购活动前3年内在经营活动中没有重大违法记录的书面声明;</w:t>
      </w:r>
    </w:p>
    <w:p>
      <w:pPr>
        <w:pStyle w:val="null3"/>
      </w:pPr>
      <w:r>
        <w:rPr/>
        <w:t>6、法律、行政法规规定的其他条件：法律、行政法规规定的其他条件</w:t>
      </w:r>
    </w:p>
    <w:p>
      <w:pPr>
        <w:pStyle w:val="null3"/>
      </w:pPr>
      <w:r>
        <w:rPr/>
        <w:t>7、信用查询：供应商在递交投标文件截止时间前被“信用中国”网站（www.creditchina.gov.cn）和中国政府采购网（www.ccgp.gov.cn）上被列入失信被执行人、税收违法黑名单、政府采购严重违法失信行为记录名单的，不得参加投标；</w:t>
      </w:r>
    </w:p>
    <w:p>
      <w:pPr>
        <w:pStyle w:val="null3"/>
      </w:pPr>
      <w:r>
        <w:rPr/>
        <w:t>8、法定代表人授权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9、单位负责人为同一人或者存在直接控股、管理关系的不同供应商，不得参加本次采购活动：单位负责人为同一人或者存在直接控股、管理关系的不同供应商，不得参加本次采购活动</w:t>
      </w:r>
    </w:p>
    <w:p>
      <w:pPr>
        <w:pStyle w:val="null3"/>
      </w:pPr>
      <w:r>
        <w:rPr/>
        <w:t>10、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西安市灞桥区人民法院[157]</w:t>
      </w:r>
    </w:p>
    <w:p>
      <w:pPr>
        <w:pStyle w:val="null3"/>
      </w:pPr>
      <w:r>
        <w:rPr/>
        <w:t xml:space="preserve"> 地址： </w:t>
      </w:r>
      <w:r>
        <w:rPr/>
        <w:t>灞桥区纺一路668号</w:t>
      </w:r>
    </w:p>
    <w:p>
      <w:pPr>
        <w:pStyle w:val="null3"/>
      </w:pPr>
      <w:r>
        <w:rPr/>
        <w:t xml:space="preserve"> 邮编： </w:t>
      </w:r>
      <w:r>
        <w:rPr/>
        <w:t>710000</w:t>
      </w:r>
    </w:p>
    <w:p>
      <w:pPr>
        <w:pStyle w:val="null3"/>
      </w:pPr>
      <w:r>
        <w:rPr/>
        <w:t xml:space="preserve"> 联系人： </w:t>
      </w:r>
      <w:r>
        <w:rPr/>
        <w:t>西安市灞桥区人民法院</w:t>
      </w:r>
    </w:p>
    <w:p>
      <w:pPr>
        <w:pStyle w:val="null3"/>
      </w:pPr>
      <w:r>
        <w:rPr/>
        <w:t xml:space="preserve"> 联系电话： </w:t>
      </w:r>
      <w:r>
        <w:rPr/>
        <w:t>029-83533359</w:t>
      </w:r>
    </w:p>
    <w:p>
      <w:pPr>
        <w:pStyle w:val="null3"/>
        <w:outlineLvl w:val="2"/>
      </w:pPr>
      <w:r>
        <w:rPr>
          <w:sz w:val="28"/>
          <w:b/>
        </w:rPr>
        <w:t>代理机构：</w:t>
      </w:r>
      <w:r>
        <w:rPr>
          <w:sz w:val="28"/>
          <w:b/>
        </w:rPr>
        <w:t>陕西玥鑫项目管理有限公司</w:t>
      </w:r>
    </w:p>
    <w:p>
      <w:pPr>
        <w:pStyle w:val="null3"/>
      </w:pPr>
      <w:r>
        <w:rPr/>
        <w:t xml:space="preserve"> 地址： </w:t>
      </w:r>
      <w:r>
        <w:rPr/>
        <w:t>西安市雁塔区泰维智链中心一期B座二层202室</w:t>
      </w:r>
    </w:p>
    <w:p>
      <w:pPr>
        <w:pStyle w:val="null3"/>
      </w:pPr>
      <w:r>
        <w:rPr/>
        <w:t xml:space="preserve"> 邮编： </w:t>
      </w:r>
      <w:r>
        <w:rPr/>
        <w:t>710000</w:t>
      </w:r>
    </w:p>
    <w:p>
      <w:pPr>
        <w:pStyle w:val="null3"/>
      </w:pPr>
      <w:r>
        <w:rPr/>
        <w:t xml:space="preserve"> 联系人： </w:t>
      </w:r>
      <w:r>
        <w:rPr/>
        <w:t>陕西玥鑫项目管理有限公司</w:t>
      </w:r>
    </w:p>
    <w:p>
      <w:pPr>
        <w:pStyle w:val="null3"/>
      </w:pPr>
      <w:r>
        <w:rPr/>
        <w:t xml:space="preserve"> 联系电话： </w:t>
      </w:r>
      <w:r>
        <w:rPr/>
        <w:t>029-82520739</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采购包1：590,000.00元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代理服务费收费标准：中标单位在领取中标通知书前，须向采购代理机构支付招标代理服务费，招标代理服务费由采购人与采购代理机构约定： 参照国家计委关于印发《招标代理服务收费管理暂行办法》的通知（计价格〔2002〕1980号）、《国家发展和改革委员会办公厅关于招标代理服务收费有关问题的通知》（发改办价格〔2003〕857号）规定标准向中标（成交）供应商收取代理服务费、不足8000元的按8000元收取。 中标单位的招标代理服务费交纳信息 银行户名：陕西玥鑫项目管理有限公司 开户银行：中国建设银行股份有限公司西安祥和居支行 账 号：6105 0110 1948 0000 0615 联 系 人：财务 联系电话：13241270565</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西安市灞桥区人民法院[157]</w:t>
      </w:r>
      <w:r>
        <w:rPr/>
        <w:t>和</w:t>
      </w:r>
      <w:r>
        <w:rPr/>
        <w:t>陕西玥鑫项目管理有限公司</w:t>
      </w:r>
      <w:r>
        <w:rPr/>
        <w:t>享有。对招标文件中供应商参加本次政府采购活动应当具备的条件，招标项目技术、服务、商务及其他要求，评标细则及标准由</w:t>
      </w:r>
      <w:r>
        <w:rPr/>
        <w:t>西安市灞桥区人民法院[157]</w:t>
      </w:r>
      <w:r>
        <w:rPr/>
        <w:t>负责解释。除上述招标文件内容，其他内容由</w:t>
      </w:r>
      <w:r>
        <w:rPr/>
        <w:t>陕西玥鑫项目管理有限公司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西安市灞桥区人民法院[157]</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陕西玥鑫项目管理有限公司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以合同签订为准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陕西玥鑫项目管理有限公司</w:t>
      </w:r>
      <w:r>
        <w:rPr/>
        <w:t xml:space="preserve"> 负责答复；供应商对除采购需求外的采购文件的询问、质疑由</w:t>
      </w:r>
      <w:r>
        <w:rPr/>
        <w:t>陕西玥鑫项目管理有限公司</w:t>
      </w:r>
      <w:r>
        <w:rPr/>
        <w:t xml:space="preserve"> 负责答复；供应商对采购过程、采购结果的询问、质疑由 </w:t>
      </w:r>
      <w:r>
        <w:rPr/>
        <w:t>陕西玥鑫项目管理有限公司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联系人：陕西玥鑫项目管理有限公司</w:t>
      </w:r>
    </w:p>
    <w:p>
      <w:pPr>
        <w:pStyle w:val="null3"/>
      </w:pPr>
      <w:r>
        <w:rPr/>
        <w:t>联系电话：029-82520739</w:t>
      </w:r>
    </w:p>
    <w:p>
      <w:pPr>
        <w:pStyle w:val="null3"/>
      </w:pPr>
      <w:r>
        <w:rPr/>
        <w:t>地址：西安市雁塔区泰维智链中心一期B座二层202室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西安市灞桥区人民法院云桌面采购，具体详见招标文件。</w:t>
      </w:r>
    </w:p>
    <w:p>
      <w:pPr>
        <w:pStyle w:val="null3"/>
        <w:outlineLvl w:val="2"/>
      </w:pPr>
      <w:r>
        <w:rPr>
          <w:sz w:val="28"/>
          <w:b/>
        </w:rPr>
        <w:t>3.2采购内容</w:t>
      </w:r>
    </w:p>
    <w:p>
      <w:pPr>
        <w:pStyle w:val="null3"/>
      </w:pPr>
      <w:r>
        <w:rPr/>
        <w:t>采购包1：</w:t>
      </w:r>
    </w:p>
    <w:p>
      <w:pPr>
        <w:pStyle w:val="null3"/>
      </w:pPr>
      <w:r>
        <w:rPr/>
        <w:t>采购包预算金额（元）: 590,000.00</w:t>
      </w:r>
    </w:p>
    <w:p>
      <w:pPr>
        <w:pStyle w:val="null3"/>
      </w:pPr>
      <w:r>
        <w:rPr/>
        <w:t>采购包最高限价（元）: 590,000.00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货物</w:t>
            </w:r>
          </w:p>
        </w:tc>
        <w:tc>
          <w:tcPr>
            <w:tcW w:type="dxa" w:w="831"/>
          </w:tcPr>
          <w:p>
            <w:pPr>
              <w:pStyle w:val="null3"/>
              <w:jc w:val="right"/>
            </w:pPr>
            <w:r>
              <w:rPr/>
              <w:t>1.00</w:t>
            </w:r>
          </w:p>
        </w:tc>
        <w:tc>
          <w:tcPr>
            <w:tcW w:type="dxa" w:w="831"/>
          </w:tcPr>
          <w:p>
            <w:pPr>
              <w:pStyle w:val="null3"/>
              <w:jc w:val="right"/>
            </w:pPr>
            <w:r>
              <w:rPr/>
              <w:t>590,000.00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79"/>
              <w:gridCol w:w="618"/>
              <w:gridCol w:w="618"/>
              <w:gridCol w:w="618"/>
              <w:gridCol w:w="618"/>
            </w:tblGrid>
            <w:tr>
              <w:tc>
                <w:tcPr>
                  <w:tcW w:type="dxa" w:w="7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quot;times new roman&quot;" w:hAnsi="&quot;times new roman&quot;" w:cs="&quot;times new roman&quot;" w:eastAsia="&quot;times new roman&quot;"/>
                      <w:sz w:val="19"/>
                    </w:rPr>
                    <w:t>序号</w:t>
                  </w:r>
                </w:p>
              </w:tc>
              <w:tc>
                <w:tcPr>
                  <w:tcW w:type="dxa" w:w="618"/>
                </w:tcPr>
                <w:p>
                  <w:pPr>
                    <w:pStyle w:val="null3"/>
                  </w:pPr>
                  <w:r>
                    <w:rPr>
                      <w:rFonts w:ascii="&quot;times new roman&quot;" w:hAnsi="&quot;times new roman&quot;" w:cs="&quot;times new roman&quot;" w:eastAsia="&quot;times new roman&quot;"/>
                      <w:sz w:val="19"/>
                    </w:rPr>
                    <w:t>产品名称</w:t>
                  </w:r>
                </w:p>
              </w:tc>
              <w:tc>
                <w:tcPr>
                  <w:tcW w:type="dxa" w:w="618"/>
                </w:tcPr>
                <w:p>
                  <w:pPr>
                    <w:pStyle w:val="null3"/>
                  </w:pPr>
                  <w:r>
                    <w:rPr>
                      <w:rFonts w:ascii="&quot;times new roman&quot;" w:hAnsi="&quot;times new roman&quot;" w:cs="&quot;times new roman&quot;" w:eastAsia="&quot;times new roman&quot;"/>
                      <w:sz w:val="19"/>
                    </w:rPr>
                    <w:t>产品参数</w:t>
                  </w:r>
                </w:p>
              </w:tc>
              <w:tc>
                <w:tcPr>
                  <w:tcW w:type="dxa" w:w="618"/>
                </w:tcPr>
                <w:p>
                  <w:pPr>
                    <w:pStyle w:val="null3"/>
                  </w:pPr>
                  <w:r>
                    <w:rPr>
                      <w:rFonts w:ascii="&quot;times new roman&quot;" w:hAnsi="&quot;times new roman&quot;" w:cs="&quot;times new roman&quot;" w:eastAsia="&quot;times new roman&quot;"/>
                      <w:sz w:val="19"/>
                    </w:rPr>
                    <w:t>数量</w:t>
                  </w:r>
                </w:p>
              </w:tc>
              <w:tc>
                <w:tcPr>
                  <w:tcW w:type="dxa" w:w="618"/>
                </w:tcPr>
                <w:p>
                  <w:pPr>
                    <w:pStyle w:val="null3"/>
                  </w:pPr>
                  <w:r>
                    <w:rPr>
                      <w:rFonts w:ascii="&quot;times new roman&quot;" w:hAnsi="&quot;times new roman&quot;" w:cs="&quot;times new roman&quot;" w:eastAsia="&quot;times new roman&quot;"/>
                      <w:sz w:val="19"/>
                    </w:rPr>
                    <w:t>单位</w:t>
                  </w:r>
                </w:p>
              </w:tc>
            </w:tr>
            <w:tr>
              <w:tc>
                <w:tcPr>
                  <w:tcW w:type="dxa" w:w="79"/>
                </w:tcPr>
                <w:p>
                  <w:pPr>
                    <w:pStyle w:val="null3"/>
                  </w:pPr>
                  <w:r>
                    <w:rPr>
                      <w:rFonts w:ascii="&quot;times new roman&quot;" w:hAnsi="&quot;times new roman&quot;" w:cs="&quot;times new roman&quot;" w:eastAsia="&quot;times new roman&quot;"/>
                      <w:sz w:val="19"/>
                    </w:rPr>
                    <w:t>1</w:t>
                  </w:r>
                </w:p>
              </w:tc>
              <w:tc>
                <w:tcPr>
                  <w:tcW w:type="dxa" w:w="618"/>
                </w:tcPr>
                <w:p>
                  <w:pPr>
                    <w:pStyle w:val="null3"/>
                  </w:pPr>
                  <w:r>
                    <w:rPr>
                      <w:rFonts w:ascii="&quot;times new roman&quot;" w:hAnsi="&quot;times new roman&quot;" w:cs="&quot;times new roman&quot;" w:eastAsia="&quot;times new roman&quot;"/>
                      <w:sz w:val="19"/>
                    </w:rPr>
                    <w:t>瘦终端</w:t>
                  </w:r>
                </w:p>
              </w:tc>
              <w:tc>
                <w:tcPr>
                  <w:tcW w:type="dxa" w:w="618"/>
                </w:tcPr>
                <w:p>
                  <w:pPr>
                    <w:pStyle w:val="null3"/>
                  </w:pPr>
                  <w:r>
                    <w:rPr>
                      <w:rFonts w:ascii="&quot;times new roman&quot;" w:hAnsi="&quot;times new roman&quot;" w:cs="&quot;times new roman&quot;" w:eastAsia="&quot;times new roman&quot;"/>
                      <w:sz w:val="19"/>
                    </w:rPr>
                    <w:t>硬件参数：CPU主频≥ 1.5GHz，接口≥2百兆电口，接口类型≥1*HDMI高清，USB≥5*USB2.0。</w:t>
                  </w:r>
                </w:p>
                <w:p>
                  <w:pPr>
                    <w:pStyle w:val="null3"/>
                  </w:pPr>
                  <w:r>
                    <w:rPr>
                      <w:rFonts w:ascii="&quot;times new roman&quot;" w:hAnsi="&quot;times new roman&quot;" w:cs="&quot;times new roman&quot;" w:eastAsia="&quot;times new roman&quot;"/>
                      <w:sz w:val="19"/>
                    </w:rPr>
                    <w:t>软件参数：</w:t>
                  </w:r>
                </w:p>
                <w:p>
                  <w:pPr>
                    <w:pStyle w:val="null3"/>
                  </w:pPr>
                  <w:r>
                    <w:rPr>
                      <w:rFonts w:ascii="&quot;times new roman&quot;" w:hAnsi="&quot;times new roman&quot;" w:cs="&quot;times new roman&quot;" w:eastAsia="&quot;times new roman&quot;"/>
                      <w:sz w:val="19"/>
                    </w:rPr>
                    <w:t>产品需支持云终端分组管理、支持配置云终端定时开关机计划、支持开启“云终端加电自启”功能、支持配置是否自动下载并安装更新、支持批量移动/删除/关闭云终端、支持配置是否允许自动登录和保存密码。</w:t>
                  </w:r>
                </w:p>
              </w:tc>
              <w:tc>
                <w:tcPr>
                  <w:tcW w:type="dxa" w:w="618"/>
                </w:tcPr>
                <w:p>
                  <w:pPr>
                    <w:pStyle w:val="null3"/>
                  </w:pPr>
                  <w:r>
                    <w:rPr>
                      <w:rFonts w:ascii="&quot;times new roman&quot;" w:hAnsi="&quot;times new roman&quot;" w:cs="&quot;times new roman&quot;" w:eastAsia="&quot;times new roman&quot;"/>
                      <w:sz w:val="19"/>
                    </w:rPr>
                    <w:t>50</w:t>
                  </w:r>
                </w:p>
              </w:tc>
              <w:tc>
                <w:tcPr>
                  <w:tcW w:type="dxa" w:w="618"/>
                </w:tcPr>
                <w:p>
                  <w:pPr>
                    <w:pStyle w:val="null3"/>
                  </w:pPr>
                  <w:r>
                    <w:rPr>
                      <w:rFonts w:ascii="&quot;times new roman&quot;" w:hAnsi="&quot;times new roman&quot;" w:cs="&quot;times new roman&quot;" w:eastAsia="&quot;times new roman&quot;"/>
                      <w:sz w:val="19"/>
                    </w:rPr>
                    <w:t>台</w:t>
                  </w:r>
                </w:p>
              </w:tc>
            </w:tr>
            <w:tr>
              <w:tc>
                <w:tcPr>
                  <w:tcW w:type="dxa" w:w="79"/>
                </w:tcPr>
                <w:p>
                  <w:pPr>
                    <w:pStyle w:val="null3"/>
                  </w:pPr>
                  <w:r>
                    <w:rPr>
                      <w:rFonts w:ascii="&quot;times new roman&quot;" w:hAnsi="&quot;times new roman&quot;" w:cs="&quot;times new roman&quot;" w:eastAsia="&quot;times new roman&quot;"/>
                      <w:sz w:val="19"/>
                    </w:rPr>
                    <w:t>2</w:t>
                  </w:r>
                </w:p>
              </w:tc>
              <w:tc>
                <w:tcPr>
                  <w:tcW w:type="dxa" w:w="618"/>
                </w:tcPr>
                <w:p>
                  <w:pPr>
                    <w:pStyle w:val="null3"/>
                  </w:pPr>
                  <w:r>
                    <w:rPr>
                      <w:rFonts w:ascii="&quot;times new roman&quot;" w:hAnsi="&quot;times new roman&quot;" w:cs="&quot;times new roman&quot;" w:eastAsia="&quot;times new roman&quot;"/>
                      <w:sz w:val="19"/>
                    </w:rPr>
                    <w:t>云桌面接入授权</w:t>
                  </w:r>
                </w:p>
              </w:tc>
              <w:tc>
                <w:tcPr>
                  <w:tcW w:type="dxa" w:w="618"/>
                </w:tcPr>
                <w:p>
                  <w:pPr>
                    <w:pStyle w:val="null3"/>
                  </w:pPr>
                  <w:r>
                    <w:rPr>
                      <w:rFonts w:ascii="&quot;times new roman&quot;" w:hAnsi="&quot;times new roman&quot;" w:cs="&quot;times new roman&quot;" w:eastAsia="&quot;times new roman&quot;"/>
                      <w:sz w:val="19"/>
                    </w:rPr>
                    <w:t>接入授权≥50套</w:t>
                  </w:r>
                </w:p>
                <w:p>
                  <w:pPr>
                    <w:pStyle w:val="null3"/>
                  </w:pPr>
                  <w:r>
                    <w:rPr>
                      <w:rFonts w:ascii="&quot;times new roman&quot;" w:hAnsi="&quot;times new roman&quot;" w:cs="&quot;times new roman&quot;" w:eastAsia="&quot;times new roman&quot;"/>
                      <w:sz w:val="19"/>
                    </w:rPr>
                    <w:t>软件参数：</w:t>
                  </w:r>
                </w:p>
                <w:p>
                  <w:pPr>
                    <w:pStyle w:val="null3"/>
                  </w:pPr>
                  <w:r>
                    <w:rPr>
                      <w:rFonts w:ascii="&quot;times new roman&quot;" w:hAnsi="&quot;times new roman&quot;" w:cs="&quot;times new roman&quot;" w:eastAsia="&quot;times new roman&quot;"/>
                      <w:sz w:val="19"/>
                    </w:rPr>
                    <w:t>1.可按需选择多个虚拟机或全部虚拟机备份至外置存储。</w:t>
                  </w:r>
                </w:p>
                <w:p>
                  <w:pPr>
                    <w:pStyle w:val="null3"/>
                  </w:pPr>
                  <w:r>
                    <w:rPr>
                      <w:rFonts w:ascii="&quot;times new roman&quot;" w:hAnsi="&quot;times new roman&quot;" w:cs="&quot;times new roman&quot;" w:eastAsia="&quot;times new roman&quot;"/>
                      <w:sz w:val="19"/>
                    </w:rPr>
                    <w:t>2.可通过快照还原按钮自助进行系统盘快照还原操作，需要支持安卓瘦终端、PC客户端。</w:t>
                  </w:r>
                </w:p>
                <w:p>
                  <w:pPr>
                    <w:pStyle w:val="null3"/>
                  </w:pPr>
                  <w:r>
                    <w:rPr>
                      <w:rFonts w:ascii="&quot;times new roman&quot;" w:hAnsi="&quot;times new roman&quot;" w:cs="&quot;times new roman&quot;" w:eastAsia="&quot;times new roman&quot;"/>
                      <w:sz w:val="19"/>
                    </w:rPr>
                    <w:t>3.支持视频重定向技术，视频文件不在服务器解码，直接重定向到终端本地解码，提升播放体验。</w:t>
                  </w:r>
                </w:p>
                <w:p>
                  <w:pPr>
                    <w:pStyle w:val="null3"/>
                  </w:pPr>
                  <w:r>
                    <w:rPr>
                      <w:rFonts w:ascii="&quot;times new roman&quot;" w:hAnsi="&quot;times new roman&quot;" w:cs="&quot;times new roman&quot;" w:eastAsia="&quot;times new roman&quot;"/>
                      <w:sz w:val="19"/>
                    </w:rPr>
                    <w:t>4.支持桌面的终端安全准入，检测内容至少包括：终端类型、操作系统版本、接入IP和时间、软件安装情况等条件设置接入访问策略。</w:t>
                  </w:r>
                </w:p>
                <w:p>
                  <w:pPr>
                    <w:pStyle w:val="null3"/>
                  </w:pPr>
                  <w:r>
                    <w:rPr>
                      <w:rFonts w:ascii="&quot;times new roman&quot;" w:hAnsi="&quot;times new roman&quot;" w:cs="&quot;times new roman&quot;" w:eastAsia="&quot;times new roman&quot;"/>
                      <w:sz w:val="19"/>
                    </w:rPr>
                    <w:t>5.支持黑白明白，在黑名单中可以通过配置规则禁止指定应用或进程在云桌面中运行，在白名单中通过配置规则只允许规则中的应用或进程在云桌面中运行。</w:t>
                  </w:r>
                </w:p>
              </w:tc>
              <w:tc>
                <w:tcPr>
                  <w:tcW w:type="dxa" w:w="618"/>
                </w:tcPr>
                <w:p>
                  <w:pPr>
                    <w:pStyle w:val="null3"/>
                  </w:pPr>
                  <w:r>
                    <w:rPr>
                      <w:rFonts w:ascii="&quot;times new roman&quot;" w:hAnsi="&quot;times new roman&quot;" w:cs="&quot;times new roman&quot;" w:eastAsia="&quot;times new roman&quot;"/>
                      <w:sz w:val="19"/>
                    </w:rPr>
                    <w:t>1</w:t>
                  </w:r>
                </w:p>
              </w:tc>
              <w:tc>
                <w:tcPr>
                  <w:tcW w:type="dxa" w:w="618"/>
                </w:tcPr>
                <w:p>
                  <w:pPr>
                    <w:pStyle w:val="null3"/>
                  </w:pPr>
                  <w:r>
                    <w:rPr>
                      <w:rFonts w:ascii="&quot;times new roman&quot;" w:hAnsi="&quot;times new roman&quot;" w:cs="&quot;times new roman&quot;" w:eastAsia="&quot;times new roman&quot;"/>
                      <w:sz w:val="19"/>
                    </w:rPr>
                    <w:t>套</w:t>
                  </w:r>
                </w:p>
              </w:tc>
            </w:tr>
            <w:tr>
              <w:tc>
                <w:tcPr>
                  <w:tcW w:type="dxa" w:w="79"/>
                </w:tcPr>
                <w:p>
                  <w:pPr>
                    <w:pStyle w:val="null3"/>
                  </w:pPr>
                  <w:r>
                    <w:rPr>
                      <w:rFonts w:ascii="&quot;times new roman&quot;" w:hAnsi="&quot;times new roman&quot;" w:cs="&quot;times new roman&quot;" w:eastAsia="&quot;times new roman&quot;"/>
                      <w:sz w:val="19"/>
                    </w:rPr>
                    <w:t>3</w:t>
                  </w:r>
                </w:p>
              </w:tc>
              <w:tc>
                <w:tcPr>
                  <w:tcW w:type="dxa" w:w="618"/>
                </w:tcPr>
                <w:p>
                  <w:pPr>
                    <w:pStyle w:val="null3"/>
                  </w:pPr>
                  <w:r>
                    <w:rPr>
                      <w:rFonts w:ascii="&quot;times new roman&quot;" w:hAnsi="&quot;times new roman&quot;" w:cs="&quot;times new roman&quot;" w:eastAsia="&quot;times new roman&quot;"/>
                      <w:sz w:val="19"/>
                      <w:b/>
                    </w:rPr>
                    <w:t>云桌面服务器</w:t>
                  </w:r>
                </w:p>
                <w:p>
                  <w:pPr>
                    <w:pStyle w:val="null3"/>
                  </w:pPr>
                  <w:r>
                    <w:rPr>
                      <w:rFonts w:ascii="&quot;times new roman&quot;" w:hAnsi="&quot;times new roman&quot;" w:cs="&quot;times new roman&quot;" w:eastAsia="&quot;times new roman&quot;"/>
                      <w:sz w:val="19"/>
                      <w:b/>
                    </w:rPr>
                    <w:t>（核心产品）</w:t>
                  </w:r>
                </w:p>
              </w:tc>
              <w:tc>
                <w:tcPr>
                  <w:tcW w:type="dxa" w:w="618"/>
                </w:tcPr>
                <w:p>
                  <w:pPr>
                    <w:pStyle w:val="null3"/>
                  </w:pPr>
                  <w:r>
                    <w:rPr>
                      <w:rFonts w:ascii="&quot;times new roman&quot;" w:hAnsi="&quot;times new roman&quot;" w:cs="&quot;times new roman&quot;" w:eastAsia="&quot;times new roman&quot;"/>
                      <w:sz w:val="19"/>
                    </w:rPr>
                    <w:t>硬件参数：规格：2U，CPU：2颗C86架构CPU，单颗CPU主频≥2.8GHz，单颗CPU核数≥16C，内存≥256GB DDR4 3200，系统盘≥2*240GB SATA，缓存盘≥2*960 SSD，数据盘≥6*4T，标配盘位数≥12，电源：冗余电源，接口数量≥4千兆电口+2万兆光口。</w:t>
                  </w:r>
                </w:p>
                <w:p>
                  <w:pPr>
                    <w:pStyle w:val="null3"/>
                  </w:pPr>
                  <w:r>
                    <w:rPr>
                      <w:rFonts w:ascii="&quot;times new roman&quot;" w:hAnsi="&quot;times new roman&quot;" w:cs="&quot;times new roman&quot;" w:eastAsia="&quot;times new roman&quot;"/>
                      <w:sz w:val="19"/>
                    </w:rPr>
                    <w:t xml:space="preserve">软件参数： </w:t>
                  </w:r>
                </w:p>
                <w:p>
                  <w:pPr>
                    <w:pStyle w:val="null3"/>
                  </w:pPr>
                  <w:r>
                    <w:rPr>
                      <w:rFonts w:ascii="&quot;times new roman&quot;" w:hAnsi="&quot;times new roman&quot;" w:cs="&quot;times new roman&quot;" w:eastAsia="&quot;times new roman&quot;"/>
                      <w:sz w:val="19"/>
                    </w:rPr>
                    <w:t>1.△桌面云终端在多应用并行运行的情况下，管理员可针对当下使用频率较高的应用软件做进程加速。</w:t>
                  </w:r>
                </w:p>
                <w:p>
                  <w:pPr>
                    <w:pStyle w:val="null3"/>
                  </w:pPr>
                  <w:r>
                    <w:rPr>
                      <w:rFonts w:ascii="&quot;times new roman&quot;" w:hAnsi="&quot;times new roman&quot;" w:cs="&quot;times new roman&quot;" w:eastAsia="&quot;times new roman&quot;"/>
                      <w:sz w:val="19"/>
                    </w:rPr>
                    <w:t>2.△可以和原先单位内已经部署的云桌面集群进行统一云管平台管理，在一个云管平台上进行虚拟机业务的派发和管理操作，如需进行定制，定制费用由投标商自行承担并出具相关声明函。</w:t>
                  </w:r>
                </w:p>
                <w:p>
                  <w:pPr>
                    <w:pStyle w:val="null3"/>
                  </w:pPr>
                  <w:r>
                    <w:rPr>
                      <w:rFonts w:ascii="&quot;times new roman&quot;" w:hAnsi="&quot;times new roman&quot;" w:cs="&quot;times new roman&quot;" w:eastAsia="&quot;times new roman&quot;"/>
                      <w:sz w:val="19"/>
                    </w:rPr>
                    <w:t>3.管理员可通过集群管理界面单点登录的模式跳转至其他站点集群的管理平台，实现对各分支桌面云平台的集中统一监管。</w:t>
                  </w:r>
                </w:p>
                <w:p>
                  <w:pPr>
                    <w:pStyle w:val="null3"/>
                  </w:pPr>
                  <w:r>
                    <w:rPr>
                      <w:rFonts w:ascii="&quot;times new roman&quot;" w:hAnsi="&quot;times new roman&quot;" w:cs="&quot;times new roman&quot;" w:eastAsia="&quot;times new roman&quot;"/>
                      <w:sz w:val="19"/>
                    </w:rPr>
                    <w:t>4.△支持虚拟机防勒索功能，当检测到资产防护组件异常、疑似中勒索病毒时，平台能够自动触发快照。</w:t>
                  </w:r>
                </w:p>
                <w:p>
                  <w:pPr>
                    <w:pStyle w:val="null3"/>
                  </w:pPr>
                  <w:r>
                    <w:rPr>
                      <w:rFonts w:ascii="&quot;times new roman&quot;" w:hAnsi="&quot;times new roman&quot;" w:cs="&quot;times new roman&quot;" w:eastAsia="&quot;times new roman&quot;"/>
                      <w:sz w:val="19"/>
                    </w:rPr>
                    <w:t>5.△支持链接克隆和完整复制虚拟机。</w:t>
                  </w:r>
                </w:p>
                <w:p>
                  <w:pPr>
                    <w:pStyle w:val="null3"/>
                  </w:pPr>
                  <w:r>
                    <w:rPr>
                      <w:rFonts w:ascii="&quot;times new roman&quot;" w:hAnsi="&quot;times new roman&quot;" w:cs="&quot;times new roman&quot;" w:eastAsia="&quot;times new roman&quot;"/>
                      <w:sz w:val="19"/>
                    </w:rPr>
                    <w:t>6.△支持将剪切板、PC设备和USB设备外发文件的操作禁止，且禁止后，可通过统一的导出文件设计模块导入，所有通过导出审计系统的文件将会加密备份到数据中心，以备后续审计使用，可疑的导出行为会产生告警。</w:t>
                  </w:r>
                </w:p>
                <w:p>
                  <w:pPr>
                    <w:pStyle w:val="null3"/>
                  </w:pPr>
                  <w:r>
                    <w:rPr>
                      <w:rFonts w:ascii="&quot;times new roman&quot;" w:hAnsi="&quot;times new roman&quot;" w:cs="&quot;times new roman&quot;" w:eastAsia="&quot;times new roman&quot;"/>
                      <w:sz w:val="19"/>
                    </w:rPr>
                    <w:t>7.支持内存ECC自动纠错机制，当扫描到物理主机的内存条出现ECC CE和UE错误时，能够将对应内存空间进行隔离并定位故障内存的槽位。</w:t>
                  </w:r>
                </w:p>
                <w:p>
                  <w:pPr>
                    <w:pStyle w:val="null3"/>
                  </w:pPr>
                  <w:r>
                    <w:rPr>
                      <w:rFonts w:ascii="&quot;times new roman&quot;" w:hAnsi="&quot;times new roman&quot;" w:cs="&quot;times new roman&quot;" w:eastAsia="&quot;times new roman&quot;"/>
                      <w:sz w:val="19"/>
                    </w:rPr>
                    <w:t>8.满足内嵌桌面防火墙的功能，在管理平台可配置基于ip、虚拟机、用户的ACL策略访问控制，提供不少于1000点的虚拟防火墙数量。</w:t>
                  </w:r>
                </w:p>
                <w:p>
                  <w:pPr>
                    <w:pStyle w:val="null3"/>
                  </w:pPr>
                  <w:r>
                    <w:rPr>
                      <w:rFonts w:ascii="&quot;times new roman&quot;" w:hAnsi="&quot;times new roman&quot;" w:cs="&quot;times new roman&quot;" w:eastAsia="&quot;times new roman&quot;"/>
                      <w:sz w:val="19"/>
                    </w:rPr>
                    <w:t>9.可实现软件资源占用统计以及业务软件的识别，针对软件资源占用进行统计分析，如果消耗较高要求提供告警，业务软件识别功能可以将特定软件标记为业务软件和非业务软件。</w:t>
                  </w:r>
                </w:p>
                <w:p>
                  <w:pPr>
                    <w:pStyle w:val="null3"/>
                  </w:pPr>
                  <w:r>
                    <w:rPr>
                      <w:rFonts w:ascii="&quot;times new roman&quot;" w:hAnsi="&quot;times new roman&quot;" w:cs="&quot;times new roman&quot;" w:eastAsia="&quot;times new roman&quot;"/>
                      <w:sz w:val="19"/>
                    </w:rPr>
                    <w:t>10.支持用户自助申请虚拟机配置变更，管理员可以选择审批通过、修改申请配置以及驳回操作，审核通过资源自动加到用户虚拟机上，并且用户申请虚拟机配置变更可以直接指定给部门资产管理员审批。</w:t>
                  </w:r>
                </w:p>
                <w:p>
                  <w:pPr>
                    <w:pStyle w:val="null3"/>
                  </w:pPr>
                  <w:r>
                    <w:rPr>
                      <w:rFonts w:ascii="&quot;times new roman&quot;" w:hAnsi="&quot;times new roman&quot;" w:cs="&quot;times new roman&quot;" w:eastAsia="&quot;times new roman&quot;"/>
                      <w:sz w:val="19"/>
                    </w:rPr>
                    <w:t>11.支持USB映射，兼容主流使用外设，如高拍仪、扫描枪、扫描仪、摄像头、密码小键盘、指纹收集器、身份证读卡器、手写板、打印机、USB-key等不同外设。</w:t>
                  </w:r>
                </w:p>
              </w:tc>
              <w:tc>
                <w:tcPr>
                  <w:tcW w:type="dxa" w:w="618"/>
                </w:tcPr>
                <w:p>
                  <w:pPr>
                    <w:pStyle w:val="null3"/>
                  </w:pPr>
                  <w:r>
                    <w:rPr>
                      <w:rFonts w:ascii="&quot;times new roman&quot;" w:hAnsi="&quot;times new roman&quot;" w:cs="&quot;times new roman&quot;" w:eastAsia="&quot;times new roman&quot;"/>
                      <w:sz w:val="19"/>
                    </w:rPr>
                    <w:t>2</w:t>
                  </w:r>
                </w:p>
              </w:tc>
              <w:tc>
                <w:tcPr>
                  <w:tcW w:type="dxa" w:w="618"/>
                </w:tcPr>
                <w:p>
                  <w:pPr>
                    <w:pStyle w:val="null3"/>
                  </w:pPr>
                  <w:r>
                    <w:rPr>
                      <w:rFonts w:ascii="&quot;times new roman&quot;" w:hAnsi="&quot;times new roman&quot;" w:cs="&quot;times new roman&quot;" w:eastAsia="&quot;times new roman&quot;"/>
                      <w:sz w:val="19"/>
                    </w:rPr>
                    <w:t>台</w:t>
                  </w:r>
                </w:p>
              </w:tc>
            </w:tr>
            <w:tr>
              <w:tc>
                <w:tcPr>
                  <w:tcW w:type="dxa" w:w="79"/>
                </w:tcPr>
                <w:p>
                  <w:pPr>
                    <w:pStyle w:val="null3"/>
                  </w:pPr>
                  <w:r>
                    <w:rPr>
                      <w:rFonts w:ascii="&quot;times new roman&quot;" w:hAnsi="&quot;times new roman&quot;" w:cs="&quot;times new roman&quot;" w:eastAsia="&quot;times new roman&quot;"/>
                      <w:sz w:val="19"/>
                    </w:rPr>
                    <w:t>4</w:t>
                  </w:r>
                </w:p>
              </w:tc>
              <w:tc>
                <w:tcPr>
                  <w:tcW w:type="dxa" w:w="618"/>
                </w:tcPr>
                <w:p>
                  <w:pPr>
                    <w:pStyle w:val="null3"/>
                  </w:pPr>
                  <w:r>
                    <w:rPr>
                      <w:rFonts w:ascii="&quot;times new roman&quot;" w:hAnsi="&quot;times new roman&quot;" w:cs="&quot;times new roman&quot;" w:eastAsia="&quot;times new roman&quot;"/>
                      <w:sz w:val="19"/>
                    </w:rPr>
                    <w:t>显示设备</w:t>
                  </w:r>
                </w:p>
              </w:tc>
              <w:tc>
                <w:tcPr>
                  <w:tcW w:type="dxa" w:w="618"/>
                </w:tcPr>
                <w:p>
                  <w:pPr>
                    <w:pStyle w:val="null3"/>
                  </w:pPr>
                  <w:r>
                    <w:rPr>
                      <w:rFonts w:ascii="&quot;times new roman&quot;" w:hAnsi="&quot;times new roman&quot;" w:cs="&quot;times new roman&quot;" w:eastAsia="&quot;times new roman&quot;"/>
                      <w:sz w:val="19"/>
                    </w:rPr>
                    <w:t>1、屏幕尺寸：不小于27 英寸；</w:t>
                  </w:r>
                </w:p>
                <w:p>
                  <w:pPr>
                    <w:pStyle w:val="null3"/>
                  </w:pPr>
                  <w:r>
                    <w:rPr>
                      <w:rFonts w:ascii="&quot;times new roman&quot;" w:hAnsi="&quot;times new roman&quot;" w:cs="&quot;times new roman&quot;" w:eastAsia="&quot;times new roman&quot;"/>
                      <w:sz w:val="19"/>
                    </w:rPr>
                    <w:t>2、分辨率：≥1920*1080，刷新率；75HZ，屏幕比例：</w:t>
                  </w:r>
                </w:p>
                <w:p>
                  <w:pPr>
                    <w:pStyle w:val="null3"/>
                  </w:pPr>
                  <w:r>
                    <w:rPr>
                      <w:rFonts w:ascii="&quot;times new roman&quot;" w:hAnsi="&quot;times new roman&quot;" w:cs="&quot;times new roman&quot;" w:eastAsia="&quot;times new roman&quot;"/>
                      <w:sz w:val="19"/>
                    </w:rPr>
                    <w:t>16:9，对比度:1000:1；</w:t>
                  </w:r>
                </w:p>
                <w:p>
                  <w:pPr>
                    <w:pStyle w:val="null3"/>
                  </w:pPr>
                  <w:r>
                    <w:rPr>
                      <w:rFonts w:ascii="&quot;times new roman&quot;" w:hAnsi="&quot;times new roman&quot;" w:cs="&quot;times new roman&quot;" w:eastAsia="&quot;times new roman&quot;"/>
                      <w:sz w:val="19"/>
                    </w:rPr>
                    <w:t>3、面板：IPS 技术；</w:t>
                  </w:r>
                </w:p>
                <w:p>
                  <w:pPr>
                    <w:pStyle w:val="null3"/>
                  </w:pPr>
                  <w:r>
                    <w:rPr>
                      <w:rFonts w:ascii="&quot;times new roman&quot;" w:hAnsi="&quot;times new roman&quot;" w:cs="&quot;times new roman&quot;" w:eastAsia="&quot;times new roman&quot;"/>
                      <w:sz w:val="19"/>
                    </w:rPr>
                    <w:t>4、接口：至少包含HDMI ,VGA；</w:t>
                  </w:r>
                </w:p>
                <w:p>
                  <w:pPr>
                    <w:pStyle w:val="null3"/>
                  </w:pPr>
                  <w:r>
                    <w:rPr>
                      <w:rFonts w:ascii="&quot;times new roman&quot;" w:hAnsi="&quot;times new roman&quot;" w:cs="&quot;times new roman&quot;" w:eastAsia="&quot;times new roman&quot;"/>
                      <w:sz w:val="19"/>
                    </w:rPr>
                    <w:t>5、响应时间：2MS-4MS；</w:t>
                  </w:r>
                </w:p>
              </w:tc>
              <w:tc>
                <w:tcPr>
                  <w:tcW w:type="dxa" w:w="618"/>
                </w:tcPr>
                <w:p>
                  <w:pPr>
                    <w:pStyle w:val="null3"/>
                  </w:pPr>
                  <w:r>
                    <w:rPr>
                      <w:rFonts w:ascii="&quot;times new roman&quot;" w:hAnsi="&quot;times new roman&quot;" w:cs="&quot;times new roman&quot;" w:eastAsia="&quot;times new roman&quot;"/>
                      <w:sz w:val="19"/>
                    </w:rPr>
                    <w:t>50</w:t>
                  </w:r>
                </w:p>
              </w:tc>
              <w:tc>
                <w:tcPr>
                  <w:tcW w:type="dxa" w:w="618"/>
                </w:tcPr>
                <w:p>
                  <w:pPr>
                    <w:pStyle w:val="null3"/>
                  </w:pPr>
                  <w:r>
                    <w:rPr>
                      <w:rFonts w:ascii="&quot;times new roman&quot;" w:hAnsi="&quot;times new roman&quot;" w:cs="&quot;times new roman&quot;" w:eastAsia="&quot;times new roman&quot;"/>
                      <w:sz w:val="19"/>
                    </w:rPr>
                    <w:t>台</w:t>
                  </w:r>
                </w:p>
              </w:tc>
            </w:tr>
          </w:tbl>
          <w:p>
            <w:pPr>
              <w:pStyle w:val="null3"/>
            </w:pPr>
            <w:r>
              <w:rPr/>
              <w:t>2、商务要求：</w:t>
            </w:r>
          </w:p>
          <w:p>
            <w:pPr>
              <w:pStyle w:val="null3"/>
            </w:pPr>
            <w:r>
              <w:rPr/>
              <w:t>2-1、合同结算：</w:t>
            </w:r>
          </w:p>
          <w:p>
            <w:pPr>
              <w:pStyle w:val="null3"/>
            </w:pPr>
            <w:r>
              <w:rPr/>
              <w:t>2-1-1、付款比例：合同签订后支付合同总价款的60%,剩余40%项目整体验收合格后支付。</w:t>
            </w:r>
          </w:p>
          <w:p>
            <w:pPr>
              <w:pStyle w:val="null3"/>
            </w:pPr>
            <w:r>
              <w:rPr/>
              <w:t>2-1-2、结算方式：银行转账。</w:t>
            </w:r>
          </w:p>
          <w:p>
            <w:pPr>
              <w:pStyle w:val="null3"/>
            </w:pPr>
            <w:r>
              <w:rPr/>
              <w:t>2-1-3、结算单位：由采购人负责结算，投标人须向采购人出具合法有效的完税发票，采购人进行支付结算。</w:t>
            </w:r>
          </w:p>
          <w:p>
            <w:pPr>
              <w:pStyle w:val="null3"/>
            </w:pPr>
            <w:r>
              <w:rPr/>
              <w:t>2-2、交货条件</w:t>
            </w:r>
          </w:p>
          <w:p>
            <w:pPr>
              <w:pStyle w:val="null3"/>
            </w:pPr>
            <w:r>
              <w:rPr/>
              <w:t>2-2-1.交货期：自合同签订后20个工作日内供货并安装完成。</w:t>
            </w:r>
          </w:p>
          <w:p>
            <w:pPr>
              <w:pStyle w:val="null3"/>
            </w:pPr>
            <w:r>
              <w:rPr/>
              <w:t>2-2-2.交货地点：西安市灞桥区人民法院指定地点</w:t>
            </w:r>
          </w:p>
          <w:p>
            <w:pPr>
              <w:pStyle w:val="null3"/>
            </w:pPr>
            <w:r>
              <w:rPr/>
              <w:t>2-2-3.质量标准：符合国家相关验收规范“合格”标准</w:t>
            </w:r>
          </w:p>
          <w:p>
            <w:pPr>
              <w:pStyle w:val="null3"/>
            </w:pPr>
            <w:r>
              <w:rPr/>
              <w:t>2-2-4.运行维护期：验收合格后三年</w:t>
            </w:r>
          </w:p>
          <w:p>
            <w:pPr>
              <w:pStyle w:val="null3"/>
            </w:pPr>
            <w:r>
              <w:rPr/>
              <w:t>2-2-5.质保期：自项目整体验收合格后不少于 3 年</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自合同签订之日起20个工作日内供货安装完成。</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项目整体验收合格后支付</w:t>
      </w:r>
      <w:r>
        <w:rPr/>
        <w:t xml:space="preserve"> ，达到付款条件起 </w:t>
      </w:r>
      <w:r>
        <w:rPr/>
        <w:t>30</w:t>
      </w:r>
      <w:r>
        <w:rPr/>
        <w:t xml:space="preserve"> 日内，支付合同总金额的 </w:t>
      </w:r>
      <w:r>
        <w:rPr/>
        <w:t>40.00</w:t>
      </w:r>
      <w:r>
        <w:rPr/>
        <w:t>%。</w:t>
      </w:r>
    </w:p>
    <w:p>
      <w:pPr>
        <w:pStyle w:val="null3"/>
        <w:outlineLvl w:val="3"/>
      </w:pPr>
      <w:r>
        <w:rPr>
          <w:sz w:val="24"/>
          <w:b/>
        </w:rPr>
        <w:t>3.4.5验收标准和方法</w:t>
      </w:r>
    </w:p>
    <w:p>
      <w:pPr>
        <w:pStyle w:val="null3"/>
      </w:pPr>
      <w:r>
        <w:rPr/>
        <w:t>采购包1：</w:t>
      </w:r>
    </w:p>
    <w:p>
      <w:pPr>
        <w:pStyle w:val="null3"/>
      </w:pPr>
      <w:r>
        <w:rPr/>
        <w:t>以合同签订为准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以合同签订为准</w:t>
      </w:r>
    </w:p>
    <w:p>
      <w:pPr>
        <w:pStyle w:val="null3"/>
        <w:outlineLvl w:val="3"/>
      </w:pPr>
      <w:r>
        <w:rPr>
          <w:sz w:val="24"/>
          <w:b/>
        </w:rPr>
        <w:t>3.4.8违约责任与解决争议的方法</w:t>
      </w:r>
    </w:p>
    <w:p>
      <w:pPr>
        <w:pStyle w:val="null3"/>
      </w:pPr>
      <w:r>
        <w:rPr/>
        <w:t>采购包1：</w:t>
      </w:r>
    </w:p>
    <w:p>
      <w:pPr>
        <w:pStyle w:val="null3"/>
      </w:pPr>
      <w:r>
        <w:rPr/>
        <w:t>以合同签订为准</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投标函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供应商合法注册的法人或其他组织的营业执照等证明文件，自然人的身份证明；</w:t>
            </w:r>
          </w:p>
        </w:tc>
        <w:tc>
          <w:tcPr>
            <w:tcW w:type="dxa" w:w="3322"/>
          </w:tcPr>
          <w:p>
            <w:pPr>
              <w:pStyle w:val="null3"/>
            </w:pPr>
            <w:r>
              <w:rPr/>
              <w:t>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财务报告</w:t>
            </w:r>
          </w:p>
        </w:tc>
        <w:tc>
          <w:tcPr>
            <w:tcW w:type="dxa" w:w="3322"/>
          </w:tcPr>
          <w:p>
            <w:pPr>
              <w:pStyle w:val="null3"/>
            </w:pPr>
            <w:r>
              <w:rPr/>
              <w:t>供应商上一年度（2023年度）经审计的财务报告、或本年度任意一个月单位内部财务报表、或本年度基本开户银行出具的资信证明；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税收和社会保障资金的证明材料</w:t>
            </w:r>
          </w:p>
        </w:tc>
        <w:tc>
          <w:tcPr>
            <w:tcW w:type="dxa" w:w="3322"/>
          </w:tcPr>
          <w:p>
            <w:pPr>
              <w:pStyle w:val="null3"/>
            </w:pPr>
            <w:r>
              <w:rPr/>
              <w:t>本年度任意一个月的依法缴纳税收和社会保障资金的证明材料复印件,依法免税和依法不需要缴纳社会保障资金的单位应提供相关证明材料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具备履行合同所必需的设备和专业技术能力的承诺；</w:t>
            </w:r>
          </w:p>
        </w:tc>
        <w:tc>
          <w:tcPr>
            <w:tcW w:type="dxa" w:w="3322"/>
          </w:tcPr>
          <w:p>
            <w:pPr>
              <w:pStyle w:val="null3"/>
            </w:pPr>
            <w:r>
              <w:rPr/>
              <w:t>具备履行合同所必需的设备和专业技术能力的承诺；</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无重大违法记录书面声明</w:t>
            </w:r>
          </w:p>
        </w:tc>
        <w:tc>
          <w:tcPr>
            <w:tcW w:type="dxa" w:w="3322"/>
          </w:tcPr>
          <w:p>
            <w:pPr>
              <w:pStyle w:val="null3"/>
            </w:pPr>
            <w:r>
              <w:rPr/>
              <w:t>供应商参加政府采购活动前3年内在经营活动中没有重大违法记录的书面声明;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法律、行政法规规定的其他条件</w:t>
            </w:r>
          </w:p>
        </w:tc>
        <w:tc>
          <w:tcPr>
            <w:tcW w:type="dxa" w:w="3322"/>
          </w:tcPr>
          <w:p>
            <w:pPr>
              <w:pStyle w:val="null3"/>
            </w:pPr>
            <w:r>
              <w:rPr/>
              <w:t>法律、行政法规规定的其他条件</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信用查询</w:t>
            </w:r>
          </w:p>
        </w:tc>
        <w:tc>
          <w:tcPr>
            <w:tcW w:type="dxa" w:w="3322"/>
          </w:tcPr>
          <w:p>
            <w:pPr>
              <w:pStyle w:val="null3"/>
            </w:pPr>
            <w:r>
              <w:rPr/>
              <w:t>供应商在递交投标文件截止时间前被“信用中国”网站（www.creditchina.gov.cn）和中国政府采购网（www.ccgp.gov.cn）上被列入失信被执行人、税收违法黑名单、政府采购严重违法失信行为记录名单的，不得参加投标；</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单位负责人为同一人或者存在直接控股、管理关系的不同供应商，不得参加本次采购活动</w:t>
            </w:r>
          </w:p>
        </w:tc>
        <w:tc>
          <w:tcPr>
            <w:tcW w:type="dxa" w:w="3322"/>
          </w:tcPr>
          <w:p>
            <w:pPr>
              <w:pStyle w:val="null3"/>
            </w:pPr>
            <w:r>
              <w:rPr/>
              <w:t>单位负责人为同一人或者存在直接控股、管理关系的不同供应商，不得参加本次采购活动</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为本项目提供整体设计、规范编制或者项目管理、监理、检测等服务的供应商，不得再参加该采购项目的其他采购活动</w:t>
            </w:r>
          </w:p>
        </w:tc>
        <w:tc>
          <w:tcPr>
            <w:tcW w:type="dxa" w:w="3322"/>
          </w:tcPr>
          <w:p>
            <w:pPr>
              <w:pStyle w:val="null3"/>
            </w:pPr>
            <w:r>
              <w:rPr/>
              <w:t>为本项目提供整体设计、规范编制或者项目管理、监理、检测等服务的供应商，不得再参加该采购项目的其他采购活动</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本项目为非专门面向中小企业采购</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投标文件未按招标文件要求签署、盖章的。</w:t>
            </w:r>
          </w:p>
        </w:tc>
        <w:tc>
          <w:tcPr>
            <w:tcW w:type="dxa" w:w="1661"/>
          </w:tcPr>
          <w:p>
            <w:pPr>
              <w:pStyle w:val="null3"/>
            </w:pPr>
            <w:r>
              <w:rPr/>
              <w:t>开标一览表 技术偏离表 中小企业声明函 商务条款偏离表 业绩一览表 资格证明文件 投标函 残疾人福利性单位声明函 技术评审 投标分项报价表 标的清单 投标文件封面 履约能力及服务承诺 投标人认为有必要补充说明的事项 监狱企业的证明文件</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供应商投标报价超出采购预算或最高限价的。</w:t>
            </w:r>
          </w:p>
        </w:tc>
        <w:tc>
          <w:tcPr>
            <w:tcW w:type="dxa" w:w="1661"/>
          </w:tcPr>
          <w:p>
            <w:pPr>
              <w:pStyle w:val="null3"/>
            </w:pPr>
            <w:r>
              <w:rPr/>
              <w:t>开标一览表 投标分项报价表 标的清单</w:t>
            </w:r>
          </w:p>
        </w:tc>
      </w:tr>
      <w:tr>
        <w:tc>
          <w:tcPr>
            <w:tcW w:type="dxa" w:w="831"/>
          </w:tcPr>
          <w:p>
            <w:pPr>
              <w:pStyle w:val="null3"/>
            </w:pPr>
            <w:r>
              <w:rPr/>
              <w:t>4</w:t>
            </w:r>
          </w:p>
        </w:tc>
        <w:tc>
          <w:tcPr>
            <w:tcW w:type="dxa" w:w="2492"/>
          </w:tcPr>
          <w:p>
            <w:pPr>
              <w:pStyle w:val="null3"/>
            </w:pPr>
            <w:r>
              <w:rPr/>
              <w:t>报价合理性</w:t>
            </w:r>
          </w:p>
        </w:tc>
        <w:tc>
          <w:tcPr>
            <w:tcW w:type="dxa" w:w="3322"/>
          </w:tcPr>
          <w:p>
            <w:pPr>
              <w:pStyle w:val="null3"/>
            </w:pPr>
            <w:r>
              <w:rPr/>
              <w:t>供应商的报价明显低于其他通过符合性审查供应商的报价，有可能影响服务质量或者不能诚信履约的，且供应商不能证明其报价合理性的。</w:t>
            </w:r>
          </w:p>
        </w:tc>
        <w:tc>
          <w:tcPr>
            <w:tcW w:type="dxa" w:w="1661"/>
          </w:tcPr>
          <w:p>
            <w:pPr>
              <w:pStyle w:val="null3"/>
            </w:pPr>
            <w:r>
              <w:rPr/>
              <w:t>开标一览表 投标分项报价表 标的清单</w:t>
            </w:r>
          </w:p>
        </w:tc>
      </w:tr>
      <w:tr>
        <w:tc>
          <w:tcPr>
            <w:tcW w:type="dxa" w:w="831"/>
          </w:tcPr>
          <w:p>
            <w:pPr>
              <w:pStyle w:val="null3"/>
            </w:pPr>
            <w:r>
              <w:rPr/>
              <w:t>5</w:t>
            </w:r>
          </w:p>
        </w:tc>
        <w:tc>
          <w:tcPr>
            <w:tcW w:type="dxa" w:w="2492"/>
          </w:tcPr>
          <w:p>
            <w:pPr>
              <w:pStyle w:val="null3"/>
            </w:pPr>
            <w:r>
              <w:rPr/>
              <w:t>投标内容</w:t>
            </w:r>
          </w:p>
        </w:tc>
        <w:tc>
          <w:tcPr>
            <w:tcW w:type="dxa" w:w="3322"/>
          </w:tcPr>
          <w:p>
            <w:pPr>
              <w:pStyle w:val="null3"/>
            </w:pPr>
            <w:r>
              <w:rPr/>
              <w:t>投标内容出现漏项或与要求不符或投标内容的技术指标达不到招标文件要求，造成采购档次降低或影响服务实质性内容。</w:t>
            </w:r>
          </w:p>
        </w:tc>
        <w:tc>
          <w:tcPr>
            <w:tcW w:type="dxa" w:w="1661"/>
          </w:tcPr>
          <w:p>
            <w:pPr>
              <w:pStyle w:val="null3"/>
            </w:pPr>
            <w:r>
              <w:rPr/>
              <w:t>技术偏离表 技术评审</w:t>
            </w:r>
          </w:p>
        </w:tc>
      </w:tr>
      <w:tr>
        <w:tc>
          <w:tcPr>
            <w:tcW w:type="dxa" w:w="831"/>
          </w:tcPr>
          <w:p>
            <w:pPr>
              <w:pStyle w:val="null3"/>
            </w:pPr>
            <w:r>
              <w:rPr/>
              <w:t>6</w:t>
            </w:r>
          </w:p>
        </w:tc>
        <w:tc>
          <w:tcPr>
            <w:tcW w:type="dxa" w:w="2492"/>
          </w:tcPr>
          <w:p>
            <w:pPr>
              <w:pStyle w:val="null3"/>
            </w:pPr>
            <w:r>
              <w:rPr/>
              <w:t>其它情形</w:t>
            </w:r>
          </w:p>
        </w:tc>
        <w:tc>
          <w:tcPr>
            <w:tcW w:type="dxa" w:w="3322"/>
          </w:tcPr>
          <w:p>
            <w:pPr>
              <w:pStyle w:val="null3"/>
            </w:pPr>
            <w:r>
              <w:rPr/>
              <w:t>存在其它不符合法律法规或招标文件规定的投标无效条款。</w:t>
            </w:r>
          </w:p>
        </w:tc>
        <w:tc>
          <w:tcPr>
            <w:tcW w:type="dxa" w:w="1661"/>
          </w:tcPr>
          <w:p>
            <w:pPr>
              <w:pStyle w:val="null3"/>
            </w:pPr>
            <w:r>
              <w:rPr/>
              <w:t>开标一览表 技术偏离表 中小企业声明函 商务条款偏离表 业绩一览表 资格证明文件 投标函 残疾人福利性单位声明函 技术评审 投标分项报价表 标的清单 投标文件封面 履约能力及服务承诺 投标人认为有必要补充说明的事项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总体技术方案及软件设计架构</w:t>
            </w:r>
          </w:p>
        </w:tc>
        <w:tc>
          <w:tcPr>
            <w:tcW w:type="dxa" w:w="2492"/>
          </w:tcPr>
          <w:p>
            <w:pPr>
              <w:pStyle w:val="null3"/>
            </w:pPr>
            <w:r>
              <w:rPr/>
              <w:t>对供应商总体技术方案及软件设计架构的合理性、先进性、完整性进行评价。 技术方案先进、合理、完整，思路清晰，符合国家相关标准和规范；软件设计合理，架构完整先进、设计思路清晰，对需求分析详细、理解准确，充分满足需求的计10分； 技术方案基本合理，符合国家相关标准和规范，软件结构层次较合理，思路较清晰，基本满足需求的计7分； 技术方案欠缺、思路不够清晰、软件结构层次欠合理，部分满足需求的计4分； 未提供得0分。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技术评审</w:t>
            </w:r>
          </w:p>
        </w:tc>
      </w:tr>
      <w:tr>
        <w:tc>
          <w:tcPr>
            <w:tcW w:type="dxa" w:w="831"/>
            <w:vMerge/>
          </w:tcPr>
          <w:p/>
        </w:tc>
        <w:tc>
          <w:tcPr>
            <w:tcW w:type="dxa" w:w="1661"/>
          </w:tcPr>
          <w:p>
            <w:pPr>
              <w:pStyle w:val="null3"/>
            </w:pPr>
            <w:r>
              <w:rPr/>
              <w:t>投标产品选型合理、配置</w:t>
            </w:r>
          </w:p>
        </w:tc>
        <w:tc>
          <w:tcPr>
            <w:tcW w:type="dxa" w:w="2492"/>
          </w:tcPr>
          <w:p>
            <w:pPr>
              <w:pStyle w:val="null3"/>
            </w:pPr>
            <w:r>
              <w:rPr/>
              <w:t>投标产品选型合理、配置完整，按要求逐条响应技术要求、产品性能、功能，技术参数清楚、明确，资料齐全，完全满足招标文件要求，得基本分 20分。带“△”项参数每负偏离一项扣 4分。非“△”项每负偏离 1 项扣 1 分，扣完为止。（供应商须详细说明“△”项参数响应情况并附详细证明材料，包括但不限于产品宣传资料、第三方的检测报告、认证证书、官网截图等证明材料，复印件须加盖供应商及生产厂家鲜章）。</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技术偏离表</w:t>
            </w:r>
          </w:p>
          <w:p>
            <w:pPr>
              <w:pStyle w:val="null3"/>
            </w:pPr>
            <w:r>
              <w:rPr/>
              <w:t>技术评审</w:t>
            </w:r>
          </w:p>
        </w:tc>
      </w:tr>
      <w:tr>
        <w:tc>
          <w:tcPr>
            <w:tcW w:type="dxa" w:w="831"/>
            <w:vMerge/>
          </w:tcPr>
          <w:p/>
        </w:tc>
        <w:tc>
          <w:tcPr>
            <w:tcW w:type="dxa" w:w="1661"/>
          </w:tcPr>
          <w:p>
            <w:pPr>
              <w:pStyle w:val="null3"/>
            </w:pPr>
            <w:r>
              <w:rPr/>
              <w:t>投标产品货源渠道</w:t>
            </w:r>
          </w:p>
        </w:tc>
        <w:tc>
          <w:tcPr>
            <w:tcW w:type="dxa" w:w="2492"/>
          </w:tcPr>
          <w:p>
            <w:pPr>
              <w:pStyle w:val="null3"/>
            </w:pPr>
            <w:r>
              <w:rPr/>
              <w:t>投标产品货源渠道正规，产品性能稳定，具有较好的使用效果，符合国内相关标准。能提供产品来源渠道合法的证明文件（包括但不限于销售协议、代理协议、原厂授权、检验或检测报告、出厂合格证及国家强制认证等）。根据供应商提供的证明文件齐全，根据各供应商响应程度计 0-5 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技术偏离表</w:t>
            </w:r>
          </w:p>
          <w:p>
            <w:pPr>
              <w:pStyle w:val="null3"/>
            </w:pPr>
            <w:r>
              <w:rPr/>
              <w:t>技术评审</w:t>
            </w:r>
          </w:p>
        </w:tc>
      </w:tr>
      <w:tr>
        <w:tc>
          <w:tcPr>
            <w:tcW w:type="dxa" w:w="831"/>
            <w:vMerge/>
          </w:tcPr>
          <w:p/>
        </w:tc>
        <w:tc>
          <w:tcPr>
            <w:tcW w:type="dxa" w:w="1661"/>
          </w:tcPr>
          <w:p>
            <w:pPr>
              <w:pStyle w:val="null3"/>
            </w:pPr>
            <w:r>
              <w:rPr/>
              <w:t>项目团队人员</w:t>
            </w:r>
          </w:p>
        </w:tc>
        <w:tc>
          <w:tcPr>
            <w:tcW w:type="dxa" w:w="2492"/>
          </w:tcPr>
          <w:p>
            <w:pPr>
              <w:pStyle w:val="null3"/>
            </w:pPr>
            <w:r>
              <w:rPr/>
              <w:t>1.拟派本项目的项目经理须具备相关的专业能力，2年以上的计算机系统集成相关项目管理经验（提供社保缴纳证明及劳动合同） 按其应程度计0-5分； 2.项目团队人员数量配备充足，满足服务要求，根据供应商拟派本项目的小组成员的配置情况表，及其小组成员劳动合同、工作经历、能高效、按时、高质量、安全完成项目，按其相应程度计0-5分；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技术评审</w:t>
            </w:r>
          </w:p>
        </w:tc>
      </w:tr>
      <w:tr>
        <w:tc>
          <w:tcPr>
            <w:tcW w:type="dxa" w:w="831"/>
            <w:vMerge/>
          </w:tcPr>
          <w:p/>
        </w:tc>
        <w:tc>
          <w:tcPr>
            <w:tcW w:type="dxa" w:w="1661"/>
          </w:tcPr>
          <w:p>
            <w:pPr>
              <w:pStyle w:val="null3"/>
            </w:pPr>
            <w:r>
              <w:rPr/>
              <w:t>实施方案</w:t>
            </w:r>
          </w:p>
        </w:tc>
        <w:tc>
          <w:tcPr>
            <w:tcW w:type="dxa" w:w="2492"/>
          </w:tcPr>
          <w:p>
            <w:pPr>
              <w:pStyle w:val="null3"/>
            </w:pPr>
            <w:r>
              <w:rPr/>
              <w:t>实施方案：供应商针对本项目包括安装、调试、试运行、验收等，进度计划安排合理且具有保障措施，方案详细，质量保障措施完备，全面完整能实现用户各项功能要求，根据响应情况计 0-10分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技术评审</w:t>
            </w:r>
          </w:p>
        </w:tc>
      </w:tr>
      <w:tr>
        <w:tc>
          <w:tcPr>
            <w:tcW w:type="dxa" w:w="831"/>
            <w:vMerge/>
          </w:tcPr>
          <w:p/>
        </w:tc>
        <w:tc>
          <w:tcPr>
            <w:tcW w:type="dxa" w:w="1661"/>
          </w:tcPr>
          <w:p>
            <w:pPr>
              <w:pStyle w:val="null3"/>
            </w:pPr>
            <w:r>
              <w:rPr/>
              <w:t>项目业绩</w:t>
            </w:r>
          </w:p>
        </w:tc>
        <w:tc>
          <w:tcPr>
            <w:tcW w:type="dxa" w:w="2492"/>
          </w:tcPr>
          <w:p>
            <w:pPr>
              <w:pStyle w:val="null3"/>
            </w:pPr>
            <w:r>
              <w:rPr/>
              <w:t>供应商需具有近三年（2021年 9月 1 日至今）的同类项目业绩，每提供 1 份计2分，满分 4分。业绩证明（以中标通知书或合同为准），同时须在招标文件中提供合同复印件并加盖供应商公章。</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培训方案</w:t>
            </w:r>
          </w:p>
        </w:tc>
        <w:tc>
          <w:tcPr>
            <w:tcW w:type="dxa" w:w="2492"/>
          </w:tcPr>
          <w:p>
            <w:pPr>
              <w:pStyle w:val="null3"/>
            </w:pPr>
            <w:r>
              <w:rPr/>
              <w:t>培训方案：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培训后的人员应能熟练操作设备，了解产品结构、工作原理，并能排除一般故障。根据供应商的响应情况计 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技术评审</w:t>
            </w:r>
          </w:p>
        </w:tc>
      </w:tr>
      <w:tr>
        <w:tc>
          <w:tcPr>
            <w:tcW w:type="dxa" w:w="831"/>
            <w:vMerge/>
          </w:tcPr>
          <w:p/>
        </w:tc>
        <w:tc>
          <w:tcPr>
            <w:tcW w:type="dxa" w:w="1661"/>
          </w:tcPr>
          <w:p>
            <w:pPr>
              <w:pStyle w:val="null3"/>
            </w:pPr>
            <w:r>
              <w:rPr/>
              <w:t>售后服务方案</w:t>
            </w:r>
          </w:p>
        </w:tc>
        <w:tc>
          <w:tcPr>
            <w:tcW w:type="dxa" w:w="2492"/>
          </w:tcPr>
          <w:p>
            <w:pPr>
              <w:pStyle w:val="null3"/>
            </w:pPr>
            <w:r>
              <w:rPr/>
              <w:t>售后服务方案：提供售后服务的能力及具体的售后服务方案（拟投入售后服务人员配置情况、验收方案、日常维护、应急预案、故障响应时间及应对措施，质量保证范围等，能有效保障本地化技术服务及售后服务的协调性、及时性）。根据响应情况计 0-5 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技术评审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 价格分为满分。其他供应商的价格 分统一按照下列公式计算：投标报 价得分=（投标基准价/投标报价）×价格权值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投标分项报价表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详见附件：投标分项报价表</w:t>
      </w:r>
    </w:p>
    <w:p>
      <w:pPr>
        <w:pStyle w:val="null3"/>
        <w:ind w:firstLine="960"/>
      </w:pPr>
      <w:r>
        <w:rPr/>
        <w:t>详见附件：资格证明文件</w:t>
      </w:r>
    </w:p>
    <w:p>
      <w:pPr>
        <w:pStyle w:val="null3"/>
        <w:ind w:firstLine="960"/>
      </w:pPr>
      <w:r>
        <w:rPr/>
        <w:t>详见附件：技术偏离表</w:t>
      </w:r>
    </w:p>
    <w:p>
      <w:pPr>
        <w:pStyle w:val="null3"/>
        <w:ind w:firstLine="960"/>
      </w:pPr>
      <w:r>
        <w:rPr/>
        <w:t>详见附件：商务条款偏离表</w:t>
      </w:r>
    </w:p>
    <w:p>
      <w:pPr>
        <w:pStyle w:val="null3"/>
        <w:ind w:firstLine="960"/>
      </w:pPr>
      <w:r>
        <w:rPr/>
        <w:t>详见附件：技术评审</w:t>
      </w:r>
    </w:p>
    <w:p>
      <w:pPr>
        <w:pStyle w:val="null3"/>
        <w:ind w:firstLine="960"/>
      </w:pPr>
      <w:r>
        <w:rPr/>
        <w:t>详见附件：履约能力及服务承诺</w:t>
      </w:r>
    </w:p>
    <w:p>
      <w:pPr>
        <w:pStyle w:val="null3"/>
        <w:ind w:firstLine="960"/>
      </w:pPr>
      <w:r>
        <w:rPr/>
        <w:t>详见附件：业绩一览表</w:t>
      </w:r>
    </w:p>
    <w:p>
      <w:pPr>
        <w:pStyle w:val="null3"/>
        <w:ind w:firstLine="960"/>
      </w:pPr>
      <w:r>
        <w:rPr/>
        <w:t>详见附件：投标人认为有必要补充说明的事项</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详见附件：采 购 合 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