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西安市第六批市级文物保护单位资源调查及保护范围建议项目（三次）</w:t>
      </w:r>
    </w:p>
    <w:p>
      <w:pPr>
        <w:pStyle w:val="null3"/>
        <w:jc w:val="center"/>
        <w:outlineLvl w:val="2"/>
      </w:pPr>
      <w:r>
        <w:rPr>
          <w:sz w:val="28"/>
          <w:b/>
        </w:rPr>
        <w:t>采购项目编号：</w:t>
      </w:r>
      <w:r>
        <w:rPr>
          <w:sz w:val="28"/>
          <w:b/>
        </w:rPr>
        <w:t>SXWXZBDL2024-ZC-CS1010（三次）</w:t>
      </w:r>
      <w:r>
        <w:br/>
      </w:r>
      <w:r>
        <w:br/>
      </w:r>
      <w:r>
        <w:br/>
      </w:r>
    </w:p>
    <w:p>
      <w:pPr>
        <w:pStyle w:val="null3"/>
        <w:jc w:val="center"/>
        <w:outlineLvl w:val="2"/>
      </w:pPr>
      <w:r>
        <w:rPr>
          <w:sz w:val="28"/>
          <w:b/>
        </w:rPr>
        <w:t>西安市文物局</w:t>
      </w:r>
    </w:p>
    <w:p>
      <w:pPr>
        <w:pStyle w:val="null3"/>
        <w:jc w:val="center"/>
        <w:outlineLvl w:val="2"/>
      </w:pPr>
      <w:r>
        <w:rPr>
          <w:sz w:val="28"/>
          <w:b/>
        </w:rPr>
        <w:t>陕西万兴招标代理有限公司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陕西万兴招标代理有限公司</w:t>
      </w:r>
      <w:r>
        <w:rPr/>
        <w:t>（以下简称“代理机构”）受</w:t>
      </w:r>
      <w:r>
        <w:rPr/>
        <w:t>西安市文物局</w:t>
      </w:r>
      <w:r>
        <w:rPr/>
        <w:t>委托，拟对</w:t>
      </w:r>
      <w:r>
        <w:rPr/>
        <w:t>西安市第六批市级文物保护单位资源调查及保护范围建议项目（三次）</w:t>
      </w:r>
      <w:r>
        <w:rPr/>
        <w:t>采用竞争性磋商采购方式进行采购，兹邀请供应商参加本项目的竞争性磋商。</w:t>
      </w:r>
    </w:p>
    <w:p>
      <w:pPr>
        <w:pStyle w:val="null3"/>
        <w:outlineLvl w:val="2"/>
      </w:pPr>
      <w:r>
        <w:rPr>
          <w:sz w:val="28"/>
          <w:b/>
        </w:rPr>
        <w:t>一、项目编号：</w:t>
      </w:r>
      <w:r>
        <w:rPr>
          <w:sz w:val="28"/>
          <w:b/>
        </w:rPr>
        <w:t>SXWXZBDL2024-ZC-CS1010（三次）</w:t>
      </w:r>
    </w:p>
    <w:p>
      <w:pPr>
        <w:pStyle w:val="null3"/>
        <w:outlineLvl w:val="2"/>
      </w:pPr>
      <w:r>
        <w:rPr>
          <w:sz w:val="28"/>
          <w:b/>
        </w:rPr>
        <w:t>二、项目名称：</w:t>
      </w:r>
      <w:r>
        <w:rPr>
          <w:sz w:val="28"/>
          <w:b/>
        </w:rPr>
        <w:t>西安市第六批市级文物保护单位资源调查及保护范围建议项目（三次）</w:t>
      </w:r>
    </w:p>
    <w:p>
      <w:pPr>
        <w:pStyle w:val="null3"/>
        <w:outlineLvl w:val="2"/>
      </w:pPr>
      <w:r>
        <w:rPr>
          <w:sz w:val="28"/>
          <w:b/>
        </w:rPr>
        <w:t>三、磋商项目简介</w:t>
      </w:r>
    </w:p>
    <w:p>
      <w:pPr>
        <w:pStyle w:val="null3"/>
        <w:ind w:firstLine="480"/>
      </w:pPr>
      <w:r>
        <w:rPr/>
        <w:t>根据现状调查与评估结论，分类别提出保护利用合理化建议（详见第三章采购要求）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1、响应主体 ：响应供应商需提供有效合格的具有统一社会信用代码的营业执照，其他组织经营的须提供合法凭证，自然人提供身份证明文件。</w:t>
      </w:r>
    </w:p>
    <w:p>
      <w:pPr>
        <w:pStyle w:val="null3"/>
      </w:pPr>
      <w:r>
        <w:rPr/>
        <w:t>2、授权委托书 ：法定代表人参加投标的，须提供本人身份证加盖公章的复印件；法定代表人授权他人参加投标的，须提供法定代表人授权委托书及被授权代表的身份证复印件。</w:t>
      </w:r>
    </w:p>
    <w:p>
      <w:pPr>
        <w:pStyle w:val="null3"/>
      </w:pPr>
      <w:r>
        <w:rPr/>
        <w:t>3、财务状况报告 ：提供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基本存款账户开户银行）出具的资信证明文件。依法不需要提供此项的单位应提供相关证明材料。</w:t>
      </w:r>
    </w:p>
    <w:p>
      <w:pPr>
        <w:pStyle w:val="null3"/>
      </w:pPr>
      <w:r>
        <w:rPr/>
        <w:t>4、社会保障资金缴纳证明：提供供应商2024年1月1日以来任意三个月已缴纳的社会保障资金缴存单据或社保机构开具的社会保险参保缴费情况证明；依法不需要缴纳社会保障资金的供应商应提供加盖公章的相关证明文件。</w:t>
      </w:r>
    </w:p>
    <w:p>
      <w:pPr>
        <w:pStyle w:val="null3"/>
      </w:pPr>
      <w:r>
        <w:rPr/>
        <w:t>5、税收缴纳证明 ：提供供应商2024年1月1日以来任意三个月已缴纳的纳税证明或完税证明（至少包含增值税或企业所得税），依法免税的供应商应提供加盖公章的相关证明文件。</w:t>
      </w:r>
    </w:p>
    <w:p>
      <w:pPr>
        <w:pStyle w:val="null3"/>
      </w:pPr>
      <w:r>
        <w:rPr/>
        <w:t>6、企业能力 ：供应商需具备行政主管部门核发的文物保护工程勘察设计乙级及以上资质。</w:t>
      </w:r>
    </w:p>
    <w:p>
      <w:pPr>
        <w:pStyle w:val="null3"/>
      </w:pPr>
      <w:r>
        <w:rPr/>
        <w:t>7、履行合同能力的证明材料 ：具备履行合同所必需的设备和专业技术能力的证明材料(由供应商根据项目需求提供说明材料或者承诺)。</w:t>
      </w:r>
    </w:p>
    <w:p>
      <w:pPr>
        <w:pStyle w:val="null3"/>
      </w:pPr>
      <w:r>
        <w:rPr/>
        <w:t>8、书面信用声明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t>9、控股、管理关系：单位负责人为同一人或者存在控股、管理关系的不同单位不得同时参加同一项目投标。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西安市文物局</w:t>
      </w:r>
    </w:p>
    <w:p>
      <w:pPr>
        <w:pStyle w:val="null3"/>
      </w:pPr>
      <w:r>
        <w:rPr/>
        <w:t xml:space="preserve"> 地址： </w:t>
      </w:r>
      <w:r>
        <w:rPr/>
        <w:t>西安市凤城八路109号</w:t>
      </w:r>
    </w:p>
    <w:p>
      <w:pPr>
        <w:pStyle w:val="null3"/>
      </w:pPr>
      <w:r>
        <w:rPr/>
        <w:t xml:space="preserve"> 邮编： </w:t>
      </w:r>
      <w:r>
        <w:rPr/>
        <w:t>710000</w:t>
      </w:r>
    </w:p>
    <w:p>
      <w:pPr>
        <w:pStyle w:val="null3"/>
      </w:pPr>
      <w:r>
        <w:rPr/>
        <w:t xml:space="preserve"> 联系人： </w:t>
      </w:r>
      <w:r>
        <w:rPr/>
        <w:t xml:space="preserve"> 韩海梅</w:t>
      </w:r>
    </w:p>
    <w:p>
      <w:pPr>
        <w:pStyle w:val="null3"/>
      </w:pPr>
      <w:r>
        <w:rPr/>
        <w:t xml:space="preserve"> 联系电话： </w:t>
      </w:r>
      <w:r>
        <w:rPr/>
        <w:t>029-86788216</w:t>
      </w:r>
    </w:p>
    <w:p>
      <w:pPr>
        <w:pStyle w:val="null3"/>
        <w:outlineLvl w:val="3"/>
      </w:pPr>
      <w:r>
        <w:rPr>
          <w:sz w:val="24"/>
          <w:b/>
        </w:rPr>
        <w:t>代理机构：</w:t>
      </w:r>
      <w:r>
        <w:rPr>
          <w:sz w:val="24"/>
          <w:b/>
        </w:rPr>
        <w:t>陕西万兴招标代理有限公司</w:t>
      </w:r>
    </w:p>
    <w:p>
      <w:pPr>
        <w:pStyle w:val="null3"/>
      </w:pPr>
      <w:r>
        <w:rPr/>
        <w:t xml:space="preserve"> 地址： </w:t>
      </w:r>
      <w:r>
        <w:rPr/>
        <w:t>陕西省西安市莲湖区北关正街35号方兴大厦4-018室</w:t>
      </w:r>
    </w:p>
    <w:p>
      <w:pPr>
        <w:pStyle w:val="null3"/>
      </w:pPr>
      <w:r>
        <w:rPr/>
        <w:t xml:space="preserve"> 邮编： </w:t>
      </w:r>
      <w:r>
        <w:rPr/>
        <w:t>710000</w:t>
      </w:r>
    </w:p>
    <w:p>
      <w:pPr>
        <w:pStyle w:val="null3"/>
      </w:pPr>
      <w:r>
        <w:rPr/>
        <w:t xml:space="preserve"> 联系人： </w:t>
      </w:r>
      <w:r>
        <w:rPr/>
        <w:t>刘工</w:t>
      </w:r>
    </w:p>
    <w:p>
      <w:pPr>
        <w:pStyle w:val="null3"/>
      </w:pPr>
      <w:r>
        <w:rPr/>
        <w:t xml:space="preserve"> 联系电话： </w:t>
      </w:r>
      <w:r>
        <w:rPr/>
        <w:t>13080906068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采购包1：433,500.00元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规定下浮3%收取。 代理报酬的支付方式：成交供应商直接支付给招标代理机构。 代理报酬的支付时间：《成交通知书》发出前。 企业名称：陕西万兴招标代理有限公司 开户银行：北京银行股份有限公司西安大明宫支行 账 号：2000 0034 4675 0001 6437 653 转账事由：（项目名称）代理服务费 咨询电话：13080906068 请成交供应商按照要求将服务费汇入以上指定账户，如因自身原因发生错误，产生的不利后果均由供应商自行承担。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西安市文物局</w:t>
      </w:r>
      <w:r>
        <w:rPr/>
        <w:t>和</w:t>
      </w:r>
      <w:r>
        <w:rPr/>
        <w:t>陕西万兴招标代理有限公司</w:t>
      </w:r>
      <w:r>
        <w:rPr/>
        <w:t>享有。对磋商文件中供应商参加本次政府采购活动应当具备的条件，磋商项目技术、服务、商务及其他要求，评审细则及标准由</w:t>
      </w:r>
      <w:r>
        <w:rPr/>
        <w:t>西安市文物局</w:t>
      </w:r>
      <w:r>
        <w:rPr/>
        <w:t>负责解释。除上述磋商文件内容，其他内容由</w:t>
      </w:r>
      <w:r>
        <w:rPr/>
        <w:t>陕西万兴招标代理有限公司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陕西万兴招标代理有限公司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按采购人要求进行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陕西万兴招标代理有限公司</w:t>
      </w:r>
      <w:r>
        <w:rPr/>
        <w:t xml:space="preserve"> 负责答复；供应商对除采购需求外的采购文件的询问、质疑由</w:t>
      </w:r>
      <w:r>
        <w:rPr/>
        <w:t>陕西万兴招标代理有限公司</w:t>
      </w:r>
      <w:r>
        <w:rPr/>
        <w:t xml:space="preserve"> 负责答复；供应商对采购过程、采购结果的询问、质疑由 </w:t>
      </w:r>
      <w:r>
        <w:rPr/>
        <w:t>陕西万兴招标代理有限公司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联系电话：13080906068</w:t>
      </w:r>
    </w:p>
    <w:p>
      <w:pPr>
        <w:pStyle w:val="null3"/>
      </w:pPr>
      <w:r>
        <w:rPr/>
        <w:t>地址：西安市莲湖区北关正街35号方兴大厦4-018室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根据现状调查与评估结论，分类别提出保护利用合理化建议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433,500.00</w:t>
      </w:r>
    </w:p>
    <w:p>
      <w:pPr>
        <w:pStyle w:val="null3"/>
      </w:pPr>
      <w:r>
        <w:rPr/>
        <w:t>采购包最高限价（元）: 433,500.00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西安第六批市级文物保护单位资源调查及保护范围建议</w:t>
            </w:r>
          </w:p>
        </w:tc>
        <w:tc>
          <w:tcPr>
            <w:tcW w:type="dxa" w:w="831"/>
          </w:tcPr>
          <w:p>
            <w:pPr>
              <w:pStyle w:val="null3"/>
              <w:jc w:val="right"/>
            </w:pPr>
            <w:r>
              <w:rPr/>
              <w:t>1.00</w:t>
            </w:r>
          </w:p>
        </w:tc>
        <w:tc>
          <w:tcPr>
            <w:tcW w:type="dxa" w:w="831"/>
          </w:tcPr>
          <w:p>
            <w:pPr>
              <w:pStyle w:val="null3"/>
              <w:jc w:val="right"/>
            </w:pPr>
            <w:r>
              <w:rPr/>
              <w:t>433,500.00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标的名称：西安第六批市级文物保护单位资源调查及保护范围建议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8"/>
                <w:b/>
              </w:rPr>
              <w:t>一、</w:t>
            </w:r>
            <w:r>
              <w:rPr>
                <w:rFonts w:ascii="宋体" w:hAnsi="宋体" w:cs="宋体" w:eastAsia="宋体"/>
                <w:sz w:val="28"/>
                <w:b/>
              </w:rPr>
              <w:t>服务内容</w:t>
            </w:r>
          </w:p>
          <w:p>
            <w:pPr>
              <w:pStyle w:val="null3"/>
              <w:ind w:firstLine="560"/>
              <w:jc w:val="both"/>
            </w:pPr>
            <w:r>
              <w:rPr>
                <w:rFonts w:ascii="宋体" w:hAnsi="宋体" w:cs="宋体" w:eastAsia="宋体"/>
                <w:sz w:val="28"/>
              </w:rPr>
              <w:t>1.对北里王汉墓，少陵原十六国大墓等35处遗产点进行保护现状、破坏影响因素、保护利用现状、遗产价值研究与评估。</w:t>
            </w:r>
          </w:p>
          <w:p>
            <w:pPr>
              <w:pStyle w:val="null3"/>
              <w:ind w:firstLine="560"/>
              <w:jc w:val="both"/>
            </w:pPr>
            <w:r>
              <w:rPr>
                <w:rFonts w:ascii="宋体" w:hAnsi="宋体" w:cs="宋体" w:eastAsia="宋体"/>
                <w:sz w:val="28"/>
              </w:rPr>
              <w:t>2. 在现状调查与评估的基础上，符合市级文物保护单位要求的，建议列入第六批市级文物保护单位，并提出保护范围和建设控制地带建议。</w:t>
            </w:r>
          </w:p>
          <w:p>
            <w:pPr>
              <w:pStyle w:val="null3"/>
              <w:ind w:firstLine="560"/>
              <w:jc w:val="both"/>
            </w:pPr>
            <w:r>
              <w:rPr>
                <w:rFonts w:ascii="宋体" w:hAnsi="宋体" w:cs="宋体" w:eastAsia="宋体"/>
                <w:sz w:val="28"/>
              </w:rPr>
              <w:t>3. 对北里王汉墓，少陵原十六国大墓等35处遗产点进行大比例现状测绘，为保护范围划定提供技术依据。</w:t>
            </w:r>
          </w:p>
          <w:p>
            <w:pPr>
              <w:pStyle w:val="null3"/>
              <w:ind w:firstLine="560"/>
              <w:jc w:val="both"/>
            </w:pPr>
            <w:r>
              <w:rPr>
                <w:rFonts w:ascii="宋体" w:hAnsi="宋体" w:cs="宋体" w:eastAsia="宋体"/>
                <w:sz w:val="28"/>
              </w:rPr>
              <w:t>4.根据现状调查与评估结论，分类别提出保护利用合理化建议。</w:t>
            </w:r>
          </w:p>
          <w:p>
            <w:pPr>
              <w:pStyle w:val="null3"/>
              <w:jc w:val="both"/>
            </w:pPr>
            <w:r>
              <w:rPr>
                <w:rFonts w:ascii="宋体" w:hAnsi="宋体" w:cs="宋体" w:eastAsia="宋体"/>
                <w:sz w:val="28"/>
                <w:b/>
              </w:rPr>
              <w:t>三、</w:t>
            </w:r>
            <w:r>
              <w:rPr>
                <w:rFonts w:ascii="宋体" w:hAnsi="宋体" w:cs="宋体" w:eastAsia="宋体"/>
                <w:sz w:val="28"/>
                <w:b/>
              </w:rPr>
              <w:t>服务</w:t>
            </w:r>
            <w:r>
              <w:rPr>
                <w:rFonts w:ascii="宋体" w:hAnsi="宋体" w:cs="宋体" w:eastAsia="宋体"/>
                <w:sz w:val="28"/>
                <w:b/>
              </w:rPr>
              <w:t>周期</w:t>
            </w:r>
          </w:p>
          <w:p>
            <w:pPr>
              <w:pStyle w:val="null3"/>
              <w:ind w:firstLine="560"/>
              <w:jc w:val="both"/>
            </w:pPr>
            <w:r>
              <w:rPr>
                <w:rFonts w:ascii="宋体" w:hAnsi="宋体" w:cs="宋体" w:eastAsia="宋体"/>
                <w:sz w:val="28"/>
              </w:rPr>
              <w:t>根据采购人要求进行。</w:t>
            </w:r>
          </w:p>
          <w:p>
            <w:pPr>
              <w:pStyle w:val="null3"/>
              <w:jc w:val="both"/>
            </w:pPr>
            <w:r>
              <w:rPr>
                <w:rFonts w:ascii="宋体" w:hAnsi="宋体" w:cs="宋体" w:eastAsia="宋体"/>
                <w:sz w:val="28"/>
                <w:b/>
              </w:rPr>
              <w:t>四</w:t>
            </w:r>
            <w:r>
              <w:rPr>
                <w:rFonts w:ascii="宋体" w:hAnsi="宋体" w:cs="宋体" w:eastAsia="宋体"/>
                <w:sz w:val="28"/>
                <w:b/>
              </w:rPr>
              <w:t>、</w:t>
            </w:r>
            <w:r>
              <w:rPr>
                <w:rFonts w:ascii="宋体" w:hAnsi="宋体" w:cs="宋体" w:eastAsia="宋体"/>
                <w:sz w:val="28"/>
                <w:b/>
              </w:rPr>
              <w:t>技术要求</w:t>
            </w:r>
          </w:p>
          <w:p>
            <w:pPr>
              <w:pStyle w:val="null3"/>
              <w:ind w:firstLine="560"/>
              <w:jc w:val="both"/>
            </w:pPr>
            <w:r>
              <w:rPr>
                <w:rFonts w:ascii="宋体" w:hAnsi="宋体" w:cs="宋体" w:eastAsia="宋体"/>
                <w:sz w:val="28"/>
              </w:rPr>
              <w:t>1、供应商应事先编制方案报送采购人，并严格按照采购人批准的方案执行。</w:t>
            </w:r>
          </w:p>
          <w:p>
            <w:pPr>
              <w:pStyle w:val="null3"/>
              <w:ind w:firstLine="560"/>
              <w:jc w:val="both"/>
            </w:pPr>
            <w:r>
              <w:rPr>
                <w:rFonts w:ascii="宋体" w:hAnsi="宋体" w:cs="宋体" w:eastAsia="宋体"/>
                <w:sz w:val="28"/>
              </w:rPr>
              <w:t>2、</w:t>
            </w:r>
            <w:r>
              <w:rPr>
                <w:rFonts w:ascii="宋体" w:hAnsi="宋体" w:cs="宋体" w:eastAsia="宋体"/>
                <w:sz w:val="28"/>
              </w:rPr>
              <w:t>依据本项目技术文件的要求，需达到但不限于下列现行主要的中华人民共和国以及省、市或行业的技术标准或规范的要求：</w:t>
            </w:r>
          </w:p>
          <w:p>
            <w:pPr>
              <w:pStyle w:val="null3"/>
              <w:ind w:firstLine="560"/>
              <w:jc w:val="both"/>
            </w:pPr>
            <w:r>
              <w:rPr>
                <w:rFonts w:ascii="宋体" w:hAnsi="宋体" w:cs="宋体" w:eastAsia="宋体"/>
                <w:sz w:val="28"/>
              </w:rPr>
              <w:t>（</w:t>
            </w:r>
            <w:r>
              <w:rPr>
                <w:rFonts w:ascii="宋体" w:hAnsi="宋体" w:cs="宋体" w:eastAsia="宋体"/>
                <w:sz w:val="28"/>
              </w:rPr>
              <w:t>1）《中华人民共和国文物保护法》</w:t>
            </w:r>
            <w:r>
              <w:rPr>
                <w:rFonts w:ascii="宋体" w:hAnsi="宋体" w:cs="宋体" w:eastAsia="宋体"/>
                <w:sz w:val="28"/>
              </w:rPr>
              <w:t>；</w:t>
            </w:r>
          </w:p>
          <w:p>
            <w:pPr>
              <w:pStyle w:val="null3"/>
              <w:ind w:firstLine="560"/>
              <w:jc w:val="both"/>
            </w:pPr>
            <w:r>
              <w:rPr>
                <w:rFonts w:ascii="宋体" w:hAnsi="宋体" w:cs="宋体" w:eastAsia="宋体"/>
                <w:sz w:val="28"/>
              </w:rPr>
              <w:t>（</w:t>
            </w:r>
            <w:r>
              <w:rPr>
                <w:rFonts w:ascii="宋体" w:hAnsi="宋体" w:cs="宋体" w:eastAsia="宋体"/>
                <w:sz w:val="28"/>
              </w:rPr>
              <w:t>2）《省、市、自治区博物馆工作条例》</w:t>
            </w:r>
            <w:r>
              <w:rPr>
                <w:rFonts w:ascii="宋体" w:hAnsi="宋体" w:cs="宋体" w:eastAsia="宋体"/>
                <w:sz w:val="28"/>
              </w:rPr>
              <w:t>；</w:t>
            </w:r>
          </w:p>
          <w:p>
            <w:pPr>
              <w:pStyle w:val="null3"/>
              <w:ind w:firstLine="560"/>
              <w:jc w:val="both"/>
            </w:pPr>
            <w:r>
              <w:rPr>
                <w:rFonts w:ascii="宋体" w:hAnsi="宋体" w:cs="宋体" w:eastAsia="宋体"/>
                <w:sz w:val="28"/>
              </w:rPr>
              <w:t>（</w:t>
            </w:r>
            <w:r>
              <w:rPr>
                <w:rFonts w:ascii="宋体" w:hAnsi="宋体" w:cs="宋体" w:eastAsia="宋体"/>
                <w:sz w:val="28"/>
              </w:rPr>
              <w:t>3）《建筑变形测量规范》JGJ8-2016；</w:t>
            </w:r>
          </w:p>
          <w:p>
            <w:pPr>
              <w:pStyle w:val="null3"/>
              <w:ind w:firstLine="560"/>
              <w:jc w:val="both"/>
            </w:pPr>
            <w:r>
              <w:rPr>
                <w:rFonts w:ascii="宋体" w:hAnsi="宋体" w:cs="宋体" w:eastAsia="宋体"/>
                <w:sz w:val="28"/>
              </w:rPr>
              <w:t>（</w:t>
            </w:r>
            <w:r>
              <w:rPr>
                <w:rFonts w:ascii="宋体" w:hAnsi="宋体" w:cs="宋体" w:eastAsia="宋体"/>
                <w:sz w:val="28"/>
              </w:rPr>
              <w:t>4）《文物建筑健康监测技术规范》T/CSGPC 016-2023；</w:t>
            </w:r>
          </w:p>
          <w:p>
            <w:pPr>
              <w:pStyle w:val="null3"/>
              <w:ind w:firstLine="560"/>
              <w:jc w:val="both"/>
            </w:pPr>
            <w:r>
              <w:rPr>
                <w:rFonts w:ascii="宋体" w:hAnsi="宋体" w:cs="宋体" w:eastAsia="宋体"/>
                <w:sz w:val="28"/>
              </w:rPr>
              <w:t>（</w:t>
            </w:r>
            <w:r>
              <w:rPr>
                <w:rFonts w:ascii="宋体" w:hAnsi="宋体" w:cs="宋体" w:eastAsia="宋体"/>
                <w:sz w:val="28"/>
              </w:rPr>
              <w:t>5）其他国家、省市或行业的相关技术标准、规范。</w:t>
            </w:r>
          </w:p>
          <w:p>
            <w:pPr>
              <w:pStyle w:val="null3"/>
              <w:jc w:val="both"/>
            </w:pPr>
            <w:r>
              <w:rPr>
                <w:rFonts w:ascii="宋体" w:hAnsi="宋体" w:cs="宋体" w:eastAsia="宋体"/>
                <w:sz w:val="28"/>
                <w:b/>
              </w:rPr>
              <w:t>五</w:t>
            </w:r>
            <w:r>
              <w:rPr>
                <w:rFonts w:ascii="宋体" w:hAnsi="宋体" w:cs="宋体" w:eastAsia="宋体"/>
                <w:sz w:val="28"/>
                <w:b/>
              </w:rPr>
              <w:t>、</w:t>
            </w:r>
            <w:r>
              <w:rPr>
                <w:rFonts w:ascii="宋体" w:hAnsi="宋体" w:cs="宋体" w:eastAsia="宋体"/>
                <w:sz w:val="28"/>
                <w:b/>
              </w:rPr>
              <w:t>服务要求</w:t>
            </w:r>
          </w:p>
          <w:p>
            <w:pPr>
              <w:pStyle w:val="null3"/>
              <w:ind w:firstLine="560"/>
              <w:jc w:val="both"/>
            </w:pPr>
            <w:r>
              <w:rPr>
                <w:rFonts w:ascii="宋体" w:hAnsi="宋体" w:cs="宋体" w:eastAsia="宋体"/>
                <w:sz w:val="28"/>
              </w:rPr>
              <w:t>1、服务地点：采购人指定地点。</w:t>
            </w:r>
          </w:p>
          <w:p>
            <w:pPr>
              <w:pStyle w:val="null3"/>
              <w:ind w:firstLine="560"/>
              <w:jc w:val="both"/>
            </w:pPr>
            <w:r>
              <w:rPr>
                <w:rFonts w:ascii="宋体" w:hAnsi="宋体" w:cs="宋体" w:eastAsia="宋体"/>
                <w:sz w:val="28"/>
              </w:rPr>
              <w:t>2、实施周期：自合同签订</w:t>
            </w:r>
            <w:r>
              <w:rPr>
                <w:rFonts w:ascii="宋体" w:hAnsi="宋体" w:cs="宋体" w:eastAsia="宋体"/>
                <w:sz w:val="28"/>
              </w:rPr>
              <w:t>之日起1年</w:t>
            </w:r>
            <w:r>
              <w:rPr>
                <w:rFonts w:ascii="宋体" w:hAnsi="宋体" w:cs="宋体" w:eastAsia="宋体"/>
                <w:sz w:val="28"/>
              </w:rPr>
              <w:t>。</w:t>
            </w:r>
          </w:p>
          <w:p>
            <w:pPr>
              <w:pStyle w:val="null3"/>
              <w:jc w:val="both"/>
            </w:pPr>
            <w:r>
              <w:rPr>
                <w:rFonts w:ascii="宋体" w:hAnsi="宋体" w:cs="宋体" w:eastAsia="宋体"/>
                <w:sz w:val="28"/>
                <w:b/>
              </w:rPr>
              <w:t>六、技术成果</w:t>
            </w:r>
          </w:p>
          <w:p>
            <w:pPr>
              <w:pStyle w:val="null3"/>
              <w:ind w:firstLine="560"/>
              <w:jc w:val="left"/>
            </w:pPr>
            <w:r>
              <w:rPr>
                <w:rFonts w:ascii="宋体" w:hAnsi="宋体" w:cs="宋体" w:eastAsia="宋体"/>
                <w:sz w:val="28"/>
              </w:rPr>
              <w:t>工作结束后，根据采购人要求提供相应技术报告。</w:t>
            </w:r>
          </w:p>
          <w:p>
            <w:pPr>
              <w:pStyle w:val="null3"/>
              <w:jc w:val="both"/>
            </w:pPr>
            <w:r>
              <w:rPr>
                <w:rFonts w:ascii="宋体" w:hAnsi="宋体" w:cs="宋体" w:eastAsia="宋体"/>
                <w:sz w:val="28"/>
              </w:rPr>
              <w:t>注：如有国家最新颁布的标准、规程、验评标准等，按最新的文件执行。</w:t>
            </w:r>
          </w:p>
          <w:p>
            <w:pPr>
              <w:pStyle w:val="null3"/>
              <w:jc w:val="both"/>
            </w:pP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按采购人要求进行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合同生效后，乙方提供的正规发票</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乙方完成所有工作后，提供等额正规发票</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按采购人要求进行</w:t>
      </w:r>
    </w:p>
    <w:p>
      <w:pPr>
        <w:pStyle w:val="null3"/>
        <w:outlineLvl w:val="2"/>
      </w:pPr>
      <w:r>
        <w:rPr>
          <w:sz w:val="28"/>
          <w:b/>
        </w:rPr>
        <w:t>3.4其他要求</w:t>
      </w:r>
    </w:p>
    <w:p>
      <w:pPr>
        <w:pStyle w:val="null3"/>
      </w:pPr>
      <w:r>
        <w:rPr/>
        <w:t>乙方在全部工作结束并提交最终成果报告后，若项目成果未能达到验收标准，且经修改完善后仍不符合验收要求时，乙方退还甲方50%的合同预付款。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基本存款账户开户银行）出具的资信证明文件。依法不需要提供此项的单位应提供相关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响应主体</w:t>
            </w:r>
          </w:p>
        </w:tc>
        <w:tc>
          <w:tcPr>
            <w:tcW w:type="dxa" w:w="3322"/>
          </w:tcPr>
          <w:p>
            <w:pPr>
              <w:pStyle w:val="null3"/>
            </w:pPr>
            <w:r>
              <w:rPr/>
              <w:t>响应供应商需提供有效合格的具有统一社会信用代码的营业执照，其他组织经营的须提供合法凭证，自然人提供身份证明文件。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基本存款账户开户银行）出具的资信证明文件。依法不需要提供此项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提供供应商2024年1月1日以来任意三个月已缴纳的社会保障资金缴存单据或社保机构开具的社会保险参保缴费情况证明；依法不需要缴纳社会保障资金的供应商应提供加盖公章的相关证明文件。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提供供应商2024年1月1日以来任意三个月已缴纳的纳税证明或完税证明（至少包含增值税或企业所得税），依法免税的供应商应提供加盖公章的相关证明文件。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企业能力</w:t>
            </w:r>
          </w:p>
        </w:tc>
        <w:tc>
          <w:tcPr>
            <w:tcW w:type="dxa" w:w="3322"/>
          </w:tcPr>
          <w:p>
            <w:pPr>
              <w:pStyle w:val="null3"/>
            </w:pPr>
            <w:r>
              <w:rPr/>
              <w:t>供应商需具备行政主管部门核发的文物保护工程勘察设计乙级及以上资质。</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履行合同能力的证明材料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书面信用声明</w:t>
            </w:r>
          </w:p>
        </w:tc>
        <w:tc>
          <w:tcPr>
            <w:tcW w:type="dxa" w:w="3322"/>
          </w:tcPr>
          <w:p>
            <w:pPr>
              <w:pStyle w:val="null3"/>
            </w:pPr>
            <w:r>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单位负责人为同一人或者存在控股、管理关系的不同单位不得同时参加同一项目投标。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响应供应商基本情况表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响应文件上法定代表人（负责人）或其授权代表人的签字齐全并加盖公章</w:t>
            </w:r>
          </w:p>
        </w:tc>
        <w:tc>
          <w:tcPr>
            <w:tcW w:type="dxa" w:w="1661"/>
          </w:tcPr>
          <w:p>
            <w:pPr>
              <w:pStyle w:val="null3"/>
            </w:pPr>
            <w:r>
              <w:rPr/>
              <w:t>响应文件封面 技术偏离表 分项报价表 商务偏离表 中小企业声明函 残疾人福利性单位声明函 响应供应商基本情况表 服务方案 标的清单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响应文件封面 技术偏离表 分项报价表 商务偏离表 中小企业声明函 残疾人福利性单位声明函 响应供应商基本情况表 服务方案 标的清单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响应文件封面 技术偏离表 分项报价表 商务偏离表 中小企业声明函 残疾人福利性单位声明函 响应供应商基本情况表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不能有任何采购人不能接受的附加条件</w:t>
            </w:r>
          </w:p>
        </w:tc>
        <w:tc>
          <w:tcPr>
            <w:tcW w:type="dxa" w:w="1661"/>
          </w:tcPr>
          <w:p>
            <w:pPr>
              <w:pStyle w:val="null3"/>
            </w:pPr>
            <w:r>
              <w:rPr/>
              <w:t>响应文件封面 技术偏离表 分项报价表 商务偏离表 中小企业声明函 残疾人福利性单位声明函 响应供应商基本情况表 服务方案 标的清单 响应函 监狱企业的证明文件</w:t>
            </w:r>
          </w:p>
        </w:tc>
      </w:tr>
      <w:tr>
        <w:tc>
          <w:tcPr>
            <w:tcW w:type="dxa" w:w="831"/>
          </w:tcPr>
          <w:p>
            <w:pPr>
              <w:pStyle w:val="null3"/>
            </w:pPr>
            <w:r>
              <w:rPr/>
              <w:t>6</w:t>
            </w:r>
          </w:p>
        </w:tc>
        <w:tc>
          <w:tcPr>
            <w:tcW w:type="dxa" w:w="2492"/>
          </w:tcPr>
          <w:p>
            <w:pPr>
              <w:pStyle w:val="null3"/>
            </w:pPr>
            <w:r>
              <w:rPr/>
              <w:t>商务条款</w:t>
            </w:r>
          </w:p>
        </w:tc>
        <w:tc>
          <w:tcPr>
            <w:tcW w:type="dxa" w:w="3322"/>
          </w:tcPr>
          <w:p>
            <w:pPr>
              <w:pStyle w:val="null3"/>
            </w:pPr>
            <w:r>
              <w:rPr/>
              <w:t>应满足竞争性磋商文件中要求（如合同履行期限、付款方式、响应有效期等）</w:t>
            </w:r>
          </w:p>
        </w:tc>
        <w:tc>
          <w:tcPr>
            <w:tcW w:type="dxa" w:w="1661"/>
          </w:tcPr>
          <w:p>
            <w:pPr>
              <w:pStyle w:val="null3"/>
            </w:pPr>
            <w:r>
              <w:rPr/>
              <w:t>响应文件封面 技术偏离表 分项报价表 商务偏离表 中小企业声明函 残疾人福利性单位声明函 响应供应商基本情况表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1.服务方案（15分）</w:t>
            </w:r>
          </w:p>
        </w:tc>
        <w:tc>
          <w:tcPr>
            <w:tcW w:type="dxa" w:w="2492"/>
          </w:tcPr>
          <w:p>
            <w:pPr>
              <w:pStyle w:val="null3"/>
            </w:pPr>
            <w:r>
              <w:rPr/>
              <w:t>根据各响应供应商针对本项目总体的认识，从项目现状分析、重点难点把控、服务方案对采购要求响应的全面性等方面进行考核。 （1）提供的方案齐全合理，可操作性强得（10-15】分； （2）提供的方案基本满足项目需求得（5-10】分； （3）提供的方案不完整或合理性低得【0-5】分。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确保服务质量的技术组织措施（10分）</w:t>
            </w:r>
          </w:p>
        </w:tc>
        <w:tc>
          <w:tcPr>
            <w:tcW w:type="dxa" w:w="2492"/>
          </w:tcPr>
          <w:p>
            <w:pPr>
              <w:pStyle w:val="null3"/>
            </w:pPr>
            <w:r>
              <w:rPr/>
              <w:t>（1）提供确保服务质量的技术组织措施，措施内容完善，有详细的服务质量保障措施计（5-10】分； （2）提供的措施简陋，基本满足项目需求计（2-5】； （3）未提供或不符合上述情形的计【0-2】分。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确保服务期的进度计划（10分）</w:t>
            </w:r>
          </w:p>
        </w:tc>
        <w:tc>
          <w:tcPr>
            <w:tcW w:type="dxa" w:w="2492"/>
          </w:tcPr>
          <w:p>
            <w:pPr>
              <w:pStyle w:val="null3"/>
            </w:pPr>
            <w:r>
              <w:rPr/>
              <w:t>（1）提供确保服务期的进度计划，包括服务进度表或服务时间节点计划等，计划合理，进度有切实保障及（5-10】分； （2）提供的计划简陋，基本满足项目需求计（2-5】； （3）未提供或不符合上述情形的计【0-2】分。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针对本项目拟投入机械、设备情况（10分）</w:t>
            </w:r>
          </w:p>
        </w:tc>
        <w:tc>
          <w:tcPr>
            <w:tcW w:type="dxa" w:w="2492"/>
          </w:tcPr>
          <w:p>
            <w:pPr>
              <w:pStyle w:val="null3"/>
            </w:pPr>
            <w:r>
              <w:rPr/>
              <w:t>（1）配置齐全、数量性能满足项目使用需求计（7-10】分； （2）提供的设备简陋，基本满足项目需求计（2-7】； （3）未提供或不符合上述情形的计【0-2】分。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廉洁从业及保密保障措施（5分）</w:t>
            </w:r>
          </w:p>
        </w:tc>
        <w:tc>
          <w:tcPr>
            <w:tcW w:type="dxa" w:w="2492"/>
          </w:tcPr>
          <w:p>
            <w:pPr>
              <w:pStyle w:val="null3"/>
            </w:pPr>
            <w:r>
              <w:rPr/>
              <w:t>对项目相关技术人员廉洁从业、保密措施，根据响应单位措施内容按以下标准进行打分。 （1）措施内容完整详尽，符合项目实际情况计(3-5】分； （2）不符合上述情形的计【0-3】分。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合理化建议（5分）</w:t>
            </w:r>
          </w:p>
        </w:tc>
        <w:tc>
          <w:tcPr>
            <w:tcW w:type="dxa" w:w="2492"/>
          </w:tcPr>
          <w:p>
            <w:pPr>
              <w:pStyle w:val="null3"/>
            </w:pPr>
            <w:r>
              <w:rPr/>
              <w:t>提供合理、有效的解决争议的措施以及针对本项目工作提出的合理化建议，根据响应单位措施内容按以下标准进行打分。 （1）建议内容具有积极意义、可行性、合理性计(3-5】分； （2）不符合上述情形的计【0-3】分。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服务承诺（5分）</w:t>
            </w:r>
          </w:p>
        </w:tc>
        <w:tc>
          <w:tcPr>
            <w:tcW w:type="dxa" w:w="2492"/>
          </w:tcPr>
          <w:p>
            <w:pPr>
              <w:pStyle w:val="null3"/>
            </w:pPr>
            <w:r>
              <w:rPr/>
              <w:t>（1）对采购内容的相关技术质量进度要求、时限要求等做出承诺，根据内容详尽程度赋【0-3】分； （2）对后期服务等相关内容做出承诺，内容全面，赋【0-2】分。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人员配备（15分）</w:t>
            </w:r>
          </w:p>
        </w:tc>
        <w:tc>
          <w:tcPr>
            <w:tcW w:type="dxa" w:w="2492"/>
          </w:tcPr>
          <w:p>
            <w:pPr>
              <w:pStyle w:val="null3"/>
            </w:pPr>
            <w:r>
              <w:rPr/>
              <w:t>1.人员分配方案，根据年龄结构、从业经验、技术力量等进行赋分（1）方案齐全合理，可操作性强得(3-5】分；（2）提供的方案不完整或合理性低得【0-3】分； 2.拟派项目负责人具有注册土木工程师（岩土）或注册测绘师资格证书的得4 分，未提供不得分； 3.拟派其他团队成员具有本项目相关专业中级及以上职称证书的，提供一个得 2 分，最多得 6分。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业绩（10分）</w:t>
            </w:r>
          </w:p>
        </w:tc>
        <w:tc>
          <w:tcPr>
            <w:tcW w:type="dxa" w:w="2492"/>
          </w:tcPr>
          <w:p>
            <w:pPr>
              <w:pStyle w:val="null3"/>
            </w:pPr>
            <w:r>
              <w:rPr/>
              <w:t>具有2021年1月1日以后文物勘察、监测、评估类业绩（以合同或中标通知书复印件加盖公章为依据）。每提供一个业绩得2分，满分10分。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详见附件：响应供应商基本情况表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详见附件：技术偏离表</w:t>
      </w:r>
    </w:p>
    <w:p>
      <w:pPr>
        <w:pStyle w:val="null3"/>
        <w:ind w:firstLine="960"/>
      </w:pPr>
      <w:r>
        <w:rPr/>
        <w:t>详见附件：资格证明文件</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