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版本号：240905001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密知保密在线教育培训平台建设项目</w:t>
      </w:r>
    </w:p>
    <w:p>
      <w:pPr>
        <w:pStyle w:val="null3"/>
        <w:jc w:val="center"/>
        <w:outlineLvl w:val="2"/>
      </w:pPr>
      <w:r>
        <w:rPr>
          <w:sz w:val="28"/>
          <w:b/>
        </w:rPr>
        <w:t>采购项目编号：</w:t>
      </w:r>
      <w:r>
        <w:rPr>
          <w:sz w:val="28"/>
          <w:b/>
        </w:rPr>
        <w:t>ZHZB-2024-066</w:t>
      </w:r>
      <w:r>
        <w:br/>
      </w:r>
      <w:r>
        <w:br/>
      </w:r>
      <w:r>
        <w:br/>
      </w:r>
    </w:p>
    <w:p>
      <w:pPr>
        <w:pStyle w:val="null3"/>
        <w:jc w:val="center"/>
        <w:outlineLvl w:val="2"/>
      </w:pPr>
      <w:r>
        <w:rPr>
          <w:sz w:val="28"/>
          <w:b/>
        </w:rPr>
        <w:t>中共西安市委办公厅（本级）</w:t>
      </w:r>
    </w:p>
    <w:p>
      <w:pPr>
        <w:pStyle w:val="null3"/>
        <w:jc w:val="center"/>
        <w:outlineLvl w:val="2"/>
      </w:pPr>
      <w:r>
        <w:rPr>
          <w:sz w:val="28"/>
          <w:b/>
        </w:rPr>
        <w:t>众合国际项目管理有限公司</w:t>
      </w:r>
      <w:r>
        <w:rPr>
          <w:sz w:val="28"/>
          <w:b/>
        </w:rPr>
        <w:t>共同编制</w:t>
      </w:r>
    </w:p>
    <w:p>
      <w:pPr>
        <w:pStyle w:val="null3"/>
        <w:jc w:val="center"/>
        <w:outlineLvl w:val="2"/>
      </w:pPr>
      <w:r>
        <w:rPr>
          <w:sz w:val="28"/>
          <w:b/>
        </w:rPr>
        <w:t>2024年09月05日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众合国际项目管理有限公司</w:t>
      </w:r>
      <w:r>
        <w:rPr/>
        <w:t>（以下简称“代理机构”）受</w:t>
      </w:r>
      <w:r>
        <w:rPr/>
        <w:t>中共西安市委办公厅（本级）</w:t>
      </w:r>
      <w:r>
        <w:rPr/>
        <w:t>委托，拟对</w:t>
      </w:r>
      <w:r>
        <w:rPr/>
        <w:t>密知保密在线教育培训平台建设项目</w:t>
      </w:r>
      <w:r>
        <w:rPr/>
        <w:t>采用竞争性磋商采购方式进行采购，兹邀请供应商参加本项目的竞争性磋商。</w:t>
      </w:r>
    </w:p>
    <w:p>
      <w:pPr>
        <w:pStyle w:val="null3"/>
        <w:outlineLvl w:val="2"/>
      </w:pPr>
      <w:r>
        <w:rPr>
          <w:sz w:val="28"/>
          <w:b/>
        </w:rPr>
        <w:t>一、项目编号：</w:t>
      </w:r>
      <w:r>
        <w:rPr>
          <w:sz w:val="28"/>
          <w:b/>
        </w:rPr>
        <w:t>ZHZB-2024-066</w:t>
      </w:r>
    </w:p>
    <w:p>
      <w:pPr>
        <w:pStyle w:val="null3"/>
        <w:outlineLvl w:val="2"/>
      </w:pPr>
      <w:r>
        <w:rPr>
          <w:sz w:val="28"/>
          <w:b/>
        </w:rPr>
        <w:t>二、项目名称：</w:t>
      </w:r>
      <w:r>
        <w:rPr>
          <w:sz w:val="28"/>
          <w:b/>
        </w:rPr>
        <w:t>密知保密在线教育培训平台建设项目</w:t>
      </w:r>
    </w:p>
    <w:p>
      <w:pPr>
        <w:pStyle w:val="null3"/>
        <w:outlineLvl w:val="2"/>
      </w:pPr>
      <w:r>
        <w:rPr>
          <w:sz w:val="28"/>
          <w:b/>
        </w:rPr>
        <w:t>三、磋商项目简介</w:t>
      </w:r>
    </w:p>
    <w:p>
      <w:pPr>
        <w:pStyle w:val="null3"/>
        <w:ind w:firstLine="480"/>
      </w:pPr>
      <w:r>
        <w:rPr/>
        <w:t>建设“培训+考试”的保密宣传教育互联网平台。可针对各级党政机关和企事业单位人员实现实时、定制且有针对性的保密宣教功能。同时连通现有“西安保密”公众号的资源，及时展示我市最新的保密宣教成果和作品，对社会面公众增强保密意识能够起到有力的支撑效果。</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采购包1（密知保密在线教育培训平台建设项目）：属于专门面向中小企业采购。</w:t>
      </w:r>
    </w:p>
    <w:p>
      <w:pPr>
        <w:pStyle w:val="null3"/>
        <w:ind w:firstLine="480"/>
      </w:pPr>
      <w:r>
        <w:rPr/>
        <w:t>（三）本项目的特定资格要求：</w:t>
      </w:r>
    </w:p>
    <w:p>
      <w:pPr>
        <w:pStyle w:val="null3"/>
      </w:pPr>
      <w:r>
        <w:rPr/>
        <w:t>采购包1：</w:t>
      </w:r>
    </w:p>
    <w:p>
      <w:pPr>
        <w:pStyle w:val="null3"/>
      </w:pPr>
      <w:r>
        <w:rPr/>
        <w:t>1、法定代表人身份证明或法定代表人授权委托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t>2、信用记录：①未被列入“信用中国”网站(www.creditchina.gov.cn/)中“失信被执行人”和“重大税收违法失信主体”当事人名单； ②不处于中国政府采购网(www.ccgp.gov.cn/)“政府采购严重违法失信行为记录名单”中的禁止参加政府采购活动期间。</w:t>
      </w:r>
    </w:p>
    <w:p>
      <w:pPr>
        <w:pStyle w:val="null3"/>
      </w:pPr>
      <w:r>
        <w:rPr/>
        <w:t>3、是否接受联合体：本项目不接受联合体磋商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中共西安市委办公厅（本级）</w:t>
      </w:r>
    </w:p>
    <w:p>
      <w:pPr>
        <w:pStyle w:val="null3"/>
      </w:pPr>
      <w:r>
        <w:rPr/>
        <w:t xml:space="preserve"> 地址： </w:t>
      </w:r>
      <w:r>
        <w:rPr/>
        <w:t>陕西省西安市未央区凤城八路99号</w:t>
      </w:r>
    </w:p>
    <w:p>
      <w:pPr>
        <w:pStyle w:val="null3"/>
      </w:pPr>
      <w:r>
        <w:rPr/>
        <w:t xml:space="preserve"> 邮编： </w:t>
      </w:r>
      <w:r>
        <w:rPr/>
        <w:t>710000</w:t>
      </w:r>
    </w:p>
    <w:p>
      <w:pPr>
        <w:pStyle w:val="null3"/>
      </w:pPr>
      <w:r>
        <w:rPr/>
        <w:t xml:space="preserve"> 联系人： </w:t>
      </w:r>
      <w:r>
        <w:rPr/>
        <w:t>戚弋飞</w:t>
      </w:r>
    </w:p>
    <w:p>
      <w:pPr>
        <w:pStyle w:val="null3"/>
      </w:pPr>
      <w:r>
        <w:rPr/>
        <w:t xml:space="preserve"> 联系电话： </w:t>
      </w:r>
      <w:r>
        <w:rPr/>
        <w:t>13379064946</w:t>
      </w:r>
    </w:p>
    <w:p>
      <w:pPr>
        <w:pStyle w:val="null3"/>
        <w:outlineLvl w:val="3"/>
      </w:pPr>
      <w:r>
        <w:rPr>
          <w:sz w:val="24"/>
          <w:b/>
        </w:rPr>
        <w:t>代理机构：</w:t>
      </w:r>
      <w:r>
        <w:rPr>
          <w:sz w:val="24"/>
          <w:b/>
        </w:rPr>
        <w:t>众合国际项目管理有限公司</w:t>
      </w:r>
    </w:p>
    <w:p>
      <w:pPr>
        <w:pStyle w:val="null3"/>
      </w:pPr>
      <w:r>
        <w:rPr/>
        <w:t xml:space="preserve"> 地址： </w:t>
      </w:r>
      <w:r>
        <w:rPr/>
        <w:t>陕西省西安市莲湖区丰登南路3号1幢306室（丰庆公园北门往西200米PM中心三楼）</w:t>
      </w:r>
    </w:p>
    <w:p>
      <w:pPr>
        <w:pStyle w:val="null3"/>
      </w:pPr>
      <w:r>
        <w:rPr/>
        <w:t xml:space="preserve"> 邮编： </w:t>
      </w:r>
      <w:r>
        <w:rPr/>
        <w:t>710000</w:t>
      </w:r>
    </w:p>
    <w:p>
      <w:pPr>
        <w:pStyle w:val="null3"/>
      </w:pPr>
      <w:r>
        <w:rPr/>
        <w:t xml:space="preserve"> 联系人： </w:t>
      </w:r>
      <w:r>
        <w:rPr/>
        <w:t>王臻</w:t>
      </w:r>
    </w:p>
    <w:p>
      <w:pPr>
        <w:pStyle w:val="null3"/>
      </w:pPr>
      <w:r>
        <w:rPr/>
        <w:t xml:space="preserve"> 联系电话： </w:t>
      </w:r>
      <w:r>
        <w:rPr/>
        <w:t xml:space="preserve"> 15502905959</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采购包1：319,800.00元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招标代理服务费参照国家发展计划委员会计价格[2002]1980号文件及国家发展和改革委员会办公厅颁发的《关于降低部分建设项目收费标准规范收费行为等有关问题的通知》（发改价格[2011]534号）的规定服务类标准，不足捌仟元按照捌仟元（￥8000元）收取。2、成交单位在领取成交通知书前，须向采购代理机构一次性支付采购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中共西安市委办公厅（本级）</w:t>
      </w:r>
      <w:r>
        <w:rPr/>
        <w:t>和</w:t>
      </w:r>
      <w:r>
        <w:rPr/>
        <w:t>众合国际项目管理有限公司</w:t>
      </w:r>
      <w:r>
        <w:rPr/>
        <w:t>享有。对磋商文件中供应商参加本次政府采购活动应当具备的条件，磋商项目技术、服务、商务及其他要求，评审细则及标准由</w:t>
      </w:r>
      <w:r>
        <w:rPr/>
        <w:t>中共西安市委办公厅（本级）</w:t>
      </w:r>
      <w:r>
        <w:rPr/>
        <w:t>负责解释。除上述磋商文件内容，其他内容由</w:t>
      </w:r>
      <w:r>
        <w:rPr/>
        <w:t>众合国际项目管理有限公司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中共西安市委办公厅（本级）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众合国际项目管理有限公司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详见采购合同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众合国际项目管理有限公司</w:t>
      </w:r>
      <w:r>
        <w:rPr/>
        <w:t xml:space="preserve"> 负责答复；供应商对除采购需求外的采购文件的询问、质疑由</w:t>
      </w:r>
      <w:r>
        <w:rPr/>
        <w:t>众合国际项目管理有限公司</w:t>
      </w:r>
      <w:r>
        <w:rPr/>
        <w:t xml:space="preserve"> 负责答复；供应商对采购过程、采购结果的询问、质疑由 </w:t>
      </w:r>
      <w:r>
        <w:rPr/>
        <w:t>众合国际项目管理有限公司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联系人：王臻</w:t>
      </w:r>
    </w:p>
    <w:p>
      <w:pPr>
        <w:pStyle w:val="null3"/>
      </w:pPr>
      <w:r>
        <w:rPr/>
        <w:t>联系电话：15502905959</w:t>
      </w:r>
    </w:p>
    <w:p>
      <w:pPr>
        <w:pStyle w:val="null3"/>
      </w:pPr>
      <w:r>
        <w:rPr/>
        <w:t>地址：陕西省西安市莲湖区丰登南路3号1幢306室（丰庆公园北门往西200米PM中心三楼）</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密知保密在线教育培训平台建设项目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319,800.00</w:t>
      </w:r>
    </w:p>
    <w:p>
      <w:pPr>
        <w:pStyle w:val="null3"/>
      </w:pPr>
      <w:r>
        <w:rPr/>
        <w:t>采购包最高限价（元）: 319,800.00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密知保密在线教育培训平台建设项目</w:t>
            </w:r>
          </w:p>
        </w:tc>
        <w:tc>
          <w:tcPr>
            <w:tcW w:type="dxa" w:w="831"/>
          </w:tcPr>
          <w:p>
            <w:pPr>
              <w:pStyle w:val="null3"/>
              <w:jc w:val="right"/>
            </w:pPr>
            <w:r>
              <w:rPr/>
              <w:t>1.00</w:t>
            </w:r>
          </w:p>
        </w:tc>
        <w:tc>
          <w:tcPr>
            <w:tcW w:type="dxa" w:w="831"/>
          </w:tcPr>
          <w:p>
            <w:pPr>
              <w:pStyle w:val="null3"/>
              <w:jc w:val="right"/>
            </w:pPr>
            <w:r>
              <w:rPr/>
              <w:t>319,800.00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标的名称：密知保密在线教育培训平台建设项目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after="195"/>
            </w:pPr>
            <w:r>
              <w:rPr>
                <w:rFonts w:ascii="宋体" w:hAnsi="宋体" w:cs="宋体" w:eastAsia="宋体"/>
                <w:b/>
              </w:rPr>
              <w:t>一、项目概况</w:t>
            </w:r>
          </w:p>
          <w:p>
            <w:pPr>
              <w:pStyle w:val="null3"/>
              <w:jc w:val="left"/>
            </w:pPr>
            <w:r>
              <w:rPr>
                <w:rFonts w:ascii="arial" w:hAnsi="arial" w:cs="arial" w:eastAsia="arial"/>
                <w:sz w:val="20"/>
                <w:color w:val="000000"/>
              </w:rPr>
              <w:t>建设“培训+考试”的保密宣传教育互联网平台。可针对各级党政机关和企事业单位人员实现实时、定制且有针对性的保密宣教功能。同时连通现有“西安保密”公众号的资源，及时展示我市最新的保密宣教成果和作品，对社会面公众增强保密意识能够起到有力的支撑效果。</w:t>
            </w:r>
          </w:p>
        </w:tc>
      </w:tr>
      <w:tr>
        <w:tc>
          <w:tcPr>
            <w:tcW w:type="dxa" w:w="2769"/>
          </w:tcPr>
          <w:p/>
        </w:tc>
        <w:tc>
          <w:tcPr>
            <w:tcW w:type="dxa" w:w="2769"/>
          </w:tcPr>
          <w:p>
            <w:pPr>
              <w:pStyle w:val="null3"/>
            </w:pPr>
            <w:r>
              <w:rPr/>
              <w:t>2</w:t>
            </w:r>
          </w:p>
        </w:tc>
        <w:tc>
          <w:tcPr>
            <w:tcW w:type="dxa" w:w="2769"/>
          </w:tcPr>
          <w:p>
            <w:pPr>
              <w:pStyle w:val="null3"/>
              <w:spacing w:after="195"/>
            </w:pPr>
            <w:r>
              <w:rPr>
                <w:rFonts w:ascii="宋体" w:hAnsi="宋体" w:cs="宋体" w:eastAsia="宋体"/>
                <w:b/>
              </w:rPr>
              <w:t>二、服务内容</w:t>
            </w:r>
          </w:p>
          <w:p>
            <w:pPr>
              <w:pStyle w:val="null3"/>
              <w:ind w:firstLine="400"/>
              <w:jc w:val="left"/>
            </w:pPr>
            <w:r>
              <w:rPr>
                <w:rFonts w:ascii="arial" w:hAnsi="arial" w:cs="arial" w:eastAsia="arial"/>
                <w:sz w:val="20"/>
                <w:color w:val="000000"/>
              </w:rPr>
              <w:t>保密工作是我们党和国家的一项特殊重要事业，保密工作与维护国家安全和社会稳定息息相关，在我国革命、建设、改革的各个历史时期，都发挥了不可替代的重要作用。保密宣传教育作为保密工作的一项重要内容，是提升涉密人员、机关干部职工乃至全社会公民保守国家秘密，维护国</w:t>
            </w:r>
            <w:r>
              <w:rPr>
                <w:rFonts w:ascii="arial" w:hAnsi="arial" w:cs="arial" w:eastAsia="arial"/>
                <w:sz w:val="20"/>
                <w:color w:val="000000"/>
              </w:rPr>
              <w:t>家</w:t>
            </w:r>
            <w:r>
              <w:rPr>
                <w:rFonts w:ascii="arial" w:hAnsi="arial" w:cs="arial" w:eastAsia="arial"/>
                <w:sz w:val="20"/>
                <w:color w:val="000000"/>
              </w:rPr>
              <w:t>安全意识的重要工作。</w:t>
            </w:r>
          </w:p>
          <w:p>
            <w:pPr>
              <w:pStyle w:val="null3"/>
              <w:ind w:firstLine="400"/>
              <w:jc w:val="left"/>
            </w:pPr>
            <w:r>
              <w:rPr>
                <w:rFonts w:ascii="arial" w:hAnsi="arial" w:cs="arial" w:eastAsia="arial"/>
                <w:sz w:val="20"/>
                <w:color w:val="000000"/>
              </w:rPr>
              <w:t>本项目聚焦保密宣传教育顶层设计，着眼于保密知识普及，全民保密意识、观念提高，法治意识宣传和保密管理能力提升，普及保密法律法规的原则，以宣传贯彻保密工作方针政策、保密法及其配套法规规章为主线，推进保密宣传教育的数字化、网络化、智能化，运用数字信息技术手段，建设符合西安保密本地化特色和需求的保密在线宣教平台，以坚持突出重点、注重宣传创新、完善宣传机制的保密宣传教育格局，为维护国家安全和利益、推动党和国家保密事业发展做出积极贡献。</w:t>
            </w:r>
          </w:p>
          <w:p>
            <w:pPr>
              <w:pStyle w:val="null3"/>
              <w:jc w:val="left"/>
            </w:pPr>
            <w:r>
              <w:rPr>
                <w:rFonts w:ascii="arial" w:hAnsi="arial" w:cs="arial" w:eastAsia="arial"/>
                <w:sz w:val="20"/>
                <w:color w:val="000000"/>
              </w:rPr>
              <w:t>项目将建立一个打破时间、空间、人员结构限制的，具有一定强制性要求的互联网线上保密教育平台，实现对各级党政机关和企事业单位人员开展实时、定制、有针对性的保密宣教功效。项目通过整合、制作保密宣传教育资源形成西安保密局特色的保密宣传教育资源库，针对不同特征的受众群体，打造更加具有针对性的保密宣传教育内容，以警示教育、案例教育等鲜活、生动、直接的形式，拉近保密工作与大众认知的距离，充分发挥保密宣传效果，打造保密宣传教育骨干团队。</w:t>
            </w:r>
          </w:p>
        </w:tc>
      </w:tr>
      <w:tr>
        <w:tc>
          <w:tcPr>
            <w:tcW w:type="dxa" w:w="2769"/>
          </w:tcPr>
          <w:p/>
        </w:tc>
        <w:tc>
          <w:tcPr>
            <w:tcW w:type="dxa" w:w="2769"/>
          </w:tcPr>
          <w:p>
            <w:pPr>
              <w:pStyle w:val="null3"/>
            </w:pPr>
            <w:r>
              <w:rPr/>
              <w:t>3</w:t>
            </w:r>
          </w:p>
        </w:tc>
        <w:tc>
          <w:tcPr>
            <w:tcW w:type="dxa" w:w="2769"/>
          </w:tcPr>
          <w:p>
            <w:pPr>
              <w:pStyle w:val="null3"/>
              <w:spacing w:after="195"/>
            </w:pPr>
            <w:r>
              <w:rPr>
                <w:rFonts w:ascii="宋体" w:hAnsi="宋体" w:cs="宋体" w:eastAsia="宋体"/>
                <w:b/>
              </w:rPr>
              <w:t>三、</w:t>
            </w:r>
            <w:r>
              <w:rPr>
                <w:rFonts w:ascii="宋体" w:hAnsi="宋体" w:cs="宋体" w:eastAsia="宋体"/>
                <w:b/>
              </w:rPr>
              <w:t>服务要求</w:t>
            </w:r>
          </w:p>
          <w:p>
            <w:pPr>
              <w:pStyle w:val="null3"/>
              <w:spacing w:before="135" w:after="135"/>
              <w:jc w:val="left"/>
              <w:outlineLvl w:val="2"/>
            </w:pPr>
            <w:r>
              <w:rPr>
                <w:rFonts w:ascii="arial" w:hAnsi="arial" w:cs="arial" w:eastAsia="arial"/>
                <w:sz w:val="20"/>
                <w:b/>
                <w:color w:val="000000"/>
              </w:rPr>
              <w:t>1、</w:t>
            </w:r>
            <w:r>
              <w:rPr>
                <w:rFonts w:ascii="宋体" w:hAnsi="宋体" w:cs="宋体" w:eastAsia="宋体"/>
                <w:sz w:val="20"/>
                <w:b/>
                <w:color w:val="000000"/>
              </w:rPr>
              <w:t>门户网站</w:t>
            </w:r>
          </w:p>
          <w:p>
            <w:pPr>
              <w:pStyle w:val="null3"/>
              <w:ind w:firstLine="400"/>
              <w:jc w:val="both"/>
            </w:pPr>
            <w:r>
              <w:rPr>
                <w:rFonts w:ascii="arial" w:hAnsi="arial" w:cs="arial" w:eastAsia="arial"/>
                <w:sz w:val="20"/>
                <w:color w:val="000000"/>
              </w:rPr>
              <w:t>保密在线宣教平台门户网站，提供包括资讯功能模块、课程学习模块、攻防演练功能模块、题库练习模块、数据统计模块及考试模块6大功能模块</w:t>
            </w:r>
            <w:r>
              <w:rPr>
                <w:rFonts w:ascii="arial" w:hAnsi="arial" w:cs="arial" w:eastAsia="arial"/>
                <w:sz w:val="20"/>
                <w:color w:val="000000"/>
              </w:rPr>
              <w:t>；</w:t>
            </w:r>
          </w:p>
          <w:p>
            <w:pPr>
              <w:pStyle w:val="null3"/>
              <w:ind w:firstLine="400"/>
              <w:jc w:val="both"/>
            </w:pPr>
            <w:r>
              <w:rPr>
                <w:rFonts w:ascii="arial" w:hAnsi="arial" w:cs="arial" w:eastAsia="arial"/>
                <w:sz w:val="20"/>
                <w:color w:val="000000"/>
              </w:rPr>
              <w:t>资讯模块，平台构建保密资讯集中的PC端信息门户；应用涵盖全国、陕西省内、西安市内重要保密新闻、保密资讯等信息</w:t>
            </w:r>
            <w:r>
              <w:rPr>
                <w:rFonts w:ascii="arial" w:hAnsi="arial" w:cs="arial" w:eastAsia="arial"/>
                <w:sz w:val="20"/>
                <w:color w:val="000000"/>
              </w:rPr>
              <w:t>；</w:t>
            </w:r>
          </w:p>
          <w:p>
            <w:pPr>
              <w:pStyle w:val="null3"/>
              <w:ind w:firstLine="400"/>
              <w:jc w:val="both"/>
            </w:pPr>
            <w:r>
              <w:rPr>
                <w:rFonts w:ascii="arial" w:hAnsi="arial" w:cs="arial" w:eastAsia="arial"/>
                <w:sz w:val="20"/>
                <w:color w:val="000000"/>
              </w:rPr>
              <w:t>课程学习模块，体系化的保密知识让用户学习更系统、更全面。可根据用户属性，分类学习专题，进行专题精准推送，使用户学习针对性更强</w:t>
            </w:r>
            <w:r>
              <w:rPr>
                <w:rFonts w:ascii="arial" w:hAnsi="arial" w:cs="arial" w:eastAsia="arial"/>
                <w:sz w:val="20"/>
                <w:color w:val="000000"/>
              </w:rPr>
              <w:t>；</w:t>
            </w:r>
          </w:p>
          <w:p>
            <w:pPr>
              <w:pStyle w:val="null3"/>
              <w:ind w:firstLine="400"/>
              <w:jc w:val="both"/>
            </w:pPr>
            <w:r>
              <w:rPr>
                <w:rFonts w:ascii="arial" w:hAnsi="arial" w:cs="arial" w:eastAsia="arial"/>
                <w:sz w:val="20"/>
                <w:color w:val="000000"/>
              </w:rPr>
              <w:t>攻防演练模块，攻防演练模块划分为涉密电脑演示、窃听窃视演示、办公设备窃密演示与手机窃密演示等多个子模块；</w:t>
            </w:r>
          </w:p>
          <w:p>
            <w:pPr>
              <w:pStyle w:val="null3"/>
              <w:ind w:firstLine="400"/>
              <w:jc w:val="both"/>
            </w:pPr>
            <w:r>
              <w:rPr>
                <w:rFonts w:ascii="arial" w:hAnsi="arial" w:cs="arial" w:eastAsia="arial"/>
                <w:sz w:val="20"/>
                <w:color w:val="000000"/>
              </w:rPr>
              <w:t>题库练习模块，支持用户根据对保密知识的掌握情况进行有针对性的自主训练。用户可选择单选题、多选题、判断题不同题型的做题方式；可选择专题练习、随机练习与错题巩固等，充分巩固各类知识点，查缺补漏，提升学习效率</w:t>
            </w:r>
            <w:r>
              <w:rPr>
                <w:rFonts w:ascii="arial" w:hAnsi="arial" w:cs="arial" w:eastAsia="arial"/>
                <w:sz w:val="20"/>
                <w:color w:val="000000"/>
              </w:rPr>
              <w:t>；</w:t>
            </w:r>
          </w:p>
          <w:p>
            <w:pPr>
              <w:pStyle w:val="null3"/>
              <w:ind w:firstLine="400"/>
              <w:jc w:val="both"/>
            </w:pPr>
            <w:r>
              <w:rPr>
                <w:rFonts w:ascii="arial" w:hAnsi="arial" w:cs="arial" w:eastAsia="arial"/>
                <w:sz w:val="20"/>
                <w:color w:val="000000"/>
              </w:rPr>
              <w:t>数据统计模块，数据统计记录了考试成绩详情，用户可对学员的每场考试进行统计分析，精准掌握每位学员的学习情况</w:t>
            </w:r>
            <w:r>
              <w:rPr>
                <w:rFonts w:ascii="arial" w:hAnsi="arial" w:cs="arial" w:eastAsia="arial"/>
                <w:sz w:val="20"/>
                <w:color w:val="000000"/>
              </w:rPr>
              <w:t>；</w:t>
            </w:r>
          </w:p>
          <w:p>
            <w:pPr>
              <w:pStyle w:val="null3"/>
              <w:ind w:firstLine="400"/>
              <w:jc w:val="both"/>
            </w:pPr>
            <w:r>
              <w:rPr>
                <w:rFonts w:ascii="arial" w:hAnsi="arial" w:cs="arial" w:eastAsia="arial"/>
                <w:sz w:val="20"/>
                <w:color w:val="000000"/>
              </w:rPr>
              <w:t>考试模块，平台支持两种考试模式，保密学堂专题考试模式、平台考试模式。保密学堂专题考试需用户完成课程后再进行考试，保证用户学习保密知识的充分性，又使用户了解自己对保密知识的掌握程度</w:t>
            </w:r>
            <w:r>
              <w:rPr>
                <w:rFonts w:ascii="arial" w:hAnsi="arial" w:cs="arial" w:eastAsia="arial"/>
                <w:sz w:val="20"/>
                <w:color w:val="000000"/>
              </w:rPr>
              <w:t>；</w:t>
            </w:r>
          </w:p>
          <w:p>
            <w:pPr>
              <w:pStyle w:val="null3"/>
              <w:ind w:firstLine="400"/>
              <w:jc w:val="both"/>
            </w:pPr>
            <w:r>
              <w:rPr>
                <w:rFonts w:ascii="arial" w:hAnsi="arial" w:cs="arial" w:eastAsia="arial"/>
                <w:sz w:val="20"/>
                <w:color w:val="000000"/>
              </w:rPr>
              <w:t>网站支持10000个</w:t>
            </w:r>
            <w:r>
              <w:rPr>
                <w:rFonts w:ascii="arial" w:hAnsi="arial" w:cs="arial" w:eastAsia="arial"/>
                <w:sz w:val="20"/>
                <w:color w:val="000000"/>
              </w:rPr>
              <w:t>以上</w:t>
            </w:r>
            <w:r>
              <w:rPr>
                <w:rFonts w:ascii="arial" w:hAnsi="arial" w:cs="arial" w:eastAsia="arial"/>
                <w:sz w:val="20"/>
                <w:color w:val="000000"/>
              </w:rPr>
              <w:t>普通同时在线用户的性能要求；当1000个用户并发请求同一个中等复杂度的事务时，响应时间不超过5秒</w:t>
            </w:r>
            <w:r>
              <w:rPr>
                <w:rFonts w:ascii="arial" w:hAnsi="arial" w:cs="arial" w:eastAsia="arial"/>
                <w:sz w:val="20"/>
                <w:color w:val="000000"/>
              </w:rPr>
              <w:t>；</w:t>
            </w:r>
            <w:r>
              <w:rPr>
                <w:rFonts w:ascii="arial" w:hAnsi="arial" w:cs="arial" w:eastAsia="arial"/>
                <w:sz w:val="20"/>
                <w:color w:val="000000"/>
              </w:rPr>
              <w:t>系统支持事务性操作平均响应时间&lt;2秒；单次查询平均响应时间</w:t>
            </w:r>
            <w:r>
              <w:rPr>
                <w:rFonts w:ascii="arial" w:hAnsi="arial" w:cs="arial" w:eastAsia="arial"/>
                <w:sz w:val="20"/>
                <w:color w:val="000000"/>
              </w:rPr>
              <w:t>≤</w:t>
            </w:r>
            <w:r>
              <w:rPr>
                <w:rFonts w:ascii="arial" w:hAnsi="arial" w:cs="arial" w:eastAsia="arial"/>
                <w:sz w:val="20"/>
                <w:color w:val="000000"/>
              </w:rPr>
              <w:t>3秒</w:t>
            </w:r>
            <w:r>
              <w:rPr>
                <w:rFonts w:ascii="arial" w:hAnsi="arial" w:cs="arial" w:eastAsia="arial"/>
                <w:sz w:val="20"/>
                <w:color w:val="000000"/>
              </w:rPr>
              <w:t>；</w:t>
            </w:r>
            <w:r>
              <w:rPr>
                <w:rFonts w:ascii="arial" w:hAnsi="arial" w:cs="arial" w:eastAsia="arial"/>
                <w:sz w:val="20"/>
                <w:color w:val="000000"/>
              </w:rPr>
              <w:t>系统支持7×24小时连续运行</w:t>
            </w:r>
            <w:r>
              <w:rPr>
                <w:rFonts w:ascii="arial" w:hAnsi="arial" w:cs="arial" w:eastAsia="arial"/>
                <w:sz w:val="20"/>
                <w:color w:val="000000"/>
              </w:rPr>
              <w:t>；</w:t>
            </w:r>
          </w:p>
          <w:p>
            <w:pPr>
              <w:pStyle w:val="null3"/>
              <w:ind w:firstLine="400"/>
              <w:jc w:val="both"/>
            </w:pPr>
            <w:r>
              <w:rPr>
                <w:rFonts w:ascii="arial" w:hAnsi="arial" w:cs="arial" w:eastAsia="arial"/>
                <w:sz w:val="20"/>
                <w:color w:val="000000"/>
              </w:rPr>
              <w:t>系统支持采用负载均衡、集群等技术，保持系统运行稳定，确保数据不因意外情况丢失或损坏。系统支持对服务器压力的日常监控，对服务器</w:t>
            </w:r>
            <w:r>
              <w:rPr>
                <w:rFonts w:ascii="arial" w:hAnsi="arial" w:cs="arial" w:eastAsia="arial"/>
                <w:sz w:val="20"/>
                <w:color w:val="000000"/>
              </w:rPr>
              <w:t>CPU</w:t>
            </w:r>
            <w:r>
              <w:rPr>
                <w:rFonts w:ascii="arial" w:hAnsi="arial" w:cs="arial" w:eastAsia="arial"/>
                <w:sz w:val="20"/>
                <w:color w:val="000000"/>
              </w:rPr>
              <w:t>、内存、磁盘等资源异常占用情况能及时发现预警并处理</w:t>
            </w:r>
            <w:r>
              <w:rPr>
                <w:rFonts w:ascii="arial" w:hAnsi="arial" w:cs="arial" w:eastAsia="arial"/>
                <w:sz w:val="20"/>
                <w:color w:val="000000"/>
              </w:rPr>
              <w:t>；</w:t>
            </w:r>
          </w:p>
          <w:p>
            <w:pPr>
              <w:pStyle w:val="null3"/>
              <w:ind w:firstLine="400"/>
              <w:jc w:val="both"/>
            </w:pPr>
            <w:r>
              <w:rPr>
                <w:rFonts w:ascii="arial" w:hAnsi="arial" w:cs="arial" w:eastAsia="arial"/>
                <w:sz w:val="20"/>
                <w:color w:val="000000"/>
              </w:rPr>
              <w:t>系统在面临业务增长或用户数量增加时应具备可扩展性，能够随着业务的发展而灵活扩展，包括增加服务器、存储设备等。系统需具备较强的故障恢复能力，采用数据自动备份等措施，保证日常事务的正常运行。</w:t>
            </w:r>
          </w:p>
          <w:p>
            <w:pPr>
              <w:pStyle w:val="null3"/>
              <w:spacing w:before="135" w:after="135"/>
              <w:jc w:val="both"/>
              <w:outlineLvl w:val="2"/>
            </w:pPr>
            <w:r>
              <w:rPr>
                <w:rFonts w:ascii="arial" w:hAnsi="arial" w:cs="arial" w:eastAsia="arial"/>
                <w:sz w:val="20"/>
                <w:b/>
                <w:color w:val="000000"/>
              </w:rPr>
              <w:t>2、</w:t>
            </w:r>
            <w:r>
              <w:rPr>
                <w:rFonts w:ascii="宋体" w:hAnsi="宋体" w:cs="宋体" w:eastAsia="宋体"/>
                <w:sz w:val="20"/>
                <w:b/>
                <w:color w:val="000000"/>
              </w:rPr>
              <w:t>小程序端</w:t>
            </w:r>
          </w:p>
          <w:p>
            <w:pPr>
              <w:pStyle w:val="null3"/>
              <w:ind w:firstLine="400"/>
              <w:jc w:val="both"/>
            </w:pPr>
            <w:r>
              <w:rPr>
                <w:rFonts w:ascii="arial" w:hAnsi="arial" w:cs="arial" w:eastAsia="arial"/>
                <w:sz w:val="20"/>
                <w:color w:val="000000"/>
              </w:rPr>
              <w:t>保密在线宣教平台小程序，提供包括资讯功能模块、课程学习模块、攻防演练功能模块、题库练习模块、数据统计模块及考试模块在内的功能，打破时间和空间的限制，建设触手可及的保密宣教空间；</w:t>
            </w:r>
          </w:p>
          <w:p>
            <w:pPr>
              <w:pStyle w:val="null3"/>
              <w:ind w:firstLine="400"/>
              <w:jc w:val="both"/>
            </w:pPr>
            <w:r>
              <w:rPr>
                <w:rFonts w:ascii="arial" w:hAnsi="arial" w:cs="arial" w:eastAsia="arial"/>
                <w:sz w:val="20"/>
                <w:color w:val="000000"/>
              </w:rPr>
              <w:t>资讯模块，平台构建保密资讯集中的移动端信息门户；应用涵盖全国、陕西省内、西安市内重要保密新闻、保密资讯等信息</w:t>
            </w:r>
            <w:r>
              <w:rPr>
                <w:rFonts w:ascii="arial" w:hAnsi="arial" w:cs="arial" w:eastAsia="arial"/>
                <w:sz w:val="20"/>
                <w:color w:val="000000"/>
              </w:rPr>
              <w:t>；</w:t>
            </w:r>
          </w:p>
          <w:p>
            <w:pPr>
              <w:pStyle w:val="null3"/>
              <w:ind w:firstLine="400"/>
              <w:jc w:val="both"/>
            </w:pPr>
            <w:r>
              <w:rPr>
                <w:rFonts w:ascii="arial" w:hAnsi="arial" w:cs="arial" w:eastAsia="arial"/>
                <w:sz w:val="20"/>
                <w:color w:val="000000"/>
              </w:rPr>
              <w:t>课程学习模块，体系化的保密知识让用户学习更系统、更全面。可根据用户属性，分类学习专题，进行专题精准推送，使用户学习针对性更强</w:t>
            </w:r>
            <w:r>
              <w:rPr>
                <w:rFonts w:ascii="arial" w:hAnsi="arial" w:cs="arial" w:eastAsia="arial"/>
                <w:sz w:val="20"/>
                <w:color w:val="000000"/>
              </w:rPr>
              <w:t>；</w:t>
            </w:r>
          </w:p>
          <w:p>
            <w:pPr>
              <w:pStyle w:val="null3"/>
              <w:ind w:firstLine="400"/>
              <w:jc w:val="both"/>
            </w:pPr>
            <w:r>
              <w:rPr>
                <w:rFonts w:ascii="arial" w:hAnsi="arial" w:cs="arial" w:eastAsia="arial"/>
                <w:sz w:val="20"/>
                <w:color w:val="000000"/>
              </w:rPr>
              <w:t>攻防演练模块，攻防演练模块划分为涉密电脑演示、窃听窃视演示、办公设备窃密演示与手机窃密演示等多个子模块</w:t>
            </w:r>
            <w:r>
              <w:rPr>
                <w:rFonts w:ascii="arial" w:hAnsi="arial" w:cs="arial" w:eastAsia="arial"/>
                <w:sz w:val="20"/>
                <w:color w:val="000000"/>
              </w:rPr>
              <w:t>；</w:t>
            </w:r>
          </w:p>
          <w:p>
            <w:pPr>
              <w:pStyle w:val="null3"/>
              <w:ind w:firstLine="400"/>
              <w:jc w:val="both"/>
            </w:pPr>
            <w:r>
              <w:rPr>
                <w:rFonts w:ascii="arial" w:hAnsi="arial" w:cs="arial" w:eastAsia="arial"/>
                <w:sz w:val="20"/>
                <w:color w:val="000000"/>
              </w:rPr>
              <w:t>题库练习模块，支持用户根据对保密知识的掌握情况进行有针对性的自主训练。用户可选择单选题、多选题、判断题不同题型的做题方式；可选择专题练习、随机练习与错题巩固等，充分巩固各类知识点，查缺补漏，提升学习效率</w:t>
            </w:r>
            <w:r>
              <w:rPr>
                <w:rFonts w:ascii="arial" w:hAnsi="arial" w:cs="arial" w:eastAsia="arial"/>
                <w:sz w:val="20"/>
                <w:color w:val="000000"/>
              </w:rPr>
              <w:t>；</w:t>
            </w:r>
          </w:p>
          <w:p>
            <w:pPr>
              <w:pStyle w:val="null3"/>
              <w:ind w:firstLine="400"/>
              <w:jc w:val="both"/>
            </w:pPr>
            <w:r>
              <w:rPr>
                <w:rFonts w:ascii="arial" w:hAnsi="arial" w:cs="arial" w:eastAsia="arial"/>
                <w:sz w:val="20"/>
                <w:color w:val="000000"/>
              </w:rPr>
              <w:t>数据统计模块，数据统计记录了考试成绩详情，用户可对学员的每场考试进行统计分析，精准掌握每位学员的学习情况</w:t>
            </w:r>
            <w:r>
              <w:rPr>
                <w:rFonts w:ascii="arial" w:hAnsi="arial" w:cs="arial" w:eastAsia="arial"/>
                <w:sz w:val="20"/>
                <w:color w:val="000000"/>
              </w:rPr>
              <w:t>；</w:t>
            </w:r>
          </w:p>
          <w:p>
            <w:pPr>
              <w:pStyle w:val="null3"/>
              <w:ind w:firstLine="400"/>
              <w:jc w:val="both"/>
            </w:pPr>
            <w:r>
              <w:rPr>
                <w:rFonts w:ascii="arial" w:hAnsi="arial" w:cs="arial" w:eastAsia="arial"/>
                <w:sz w:val="20"/>
                <w:color w:val="000000"/>
              </w:rPr>
              <w:t>考试模块，平台支持两种考试模式，保密学堂专题考试模式、平台考试模式。保密学堂专题考试需用户完成课程后再进行考试，保证用户学习保密知识的充分性，又使用户了解自己对保密知识的掌握程度</w:t>
            </w:r>
            <w:r>
              <w:rPr>
                <w:rFonts w:ascii="arial" w:hAnsi="arial" w:cs="arial" w:eastAsia="arial"/>
                <w:sz w:val="20"/>
                <w:color w:val="000000"/>
              </w:rPr>
              <w:t>；</w:t>
            </w:r>
          </w:p>
          <w:p>
            <w:pPr>
              <w:pStyle w:val="null3"/>
              <w:ind w:firstLine="400"/>
              <w:jc w:val="both"/>
            </w:pPr>
            <w:r>
              <w:rPr>
                <w:rFonts w:ascii="arial" w:hAnsi="arial" w:cs="arial" w:eastAsia="arial"/>
                <w:sz w:val="20"/>
                <w:color w:val="000000"/>
              </w:rPr>
              <w:t>小程序UI设计界面简洁清晰、操作高效、风格统一有设计感。小程序开发需预留开放性接口，保证系统升级和扩展性</w:t>
            </w:r>
            <w:r>
              <w:rPr>
                <w:rFonts w:ascii="arial" w:hAnsi="arial" w:cs="arial" w:eastAsia="arial"/>
                <w:sz w:val="20"/>
                <w:color w:val="000000"/>
              </w:rPr>
              <w:t>；</w:t>
            </w:r>
          </w:p>
          <w:p>
            <w:pPr>
              <w:pStyle w:val="null3"/>
              <w:ind w:firstLine="400"/>
              <w:jc w:val="both"/>
            </w:pPr>
            <w:r>
              <w:rPr>
                <w:rFonts w:ascii="arial" w:hAnsi="arial" w:cs="arial" w:eastAsia="arial"/>
                <w:sz w:val="20"/>
                <w:color w:val="000000"/>
              </w:rPr>
              <w:t>服务器用于存储小程序源代码和数据库，服务器需稳定性强、速度快、安全性高；</w:t>
            </w:r>
          </w:p>
          <w:p>
            <w:pPr>
              <w:pStyle w:val="null3"/>
              <w:ind w:firstLine="400"/>
              <w:jc w:val="both"/>
            </w:pPr>
            <w:r>
              <w:rPr>
                <w:rFonts w:ascii="arial" w:hAnsi="arial" w:cs="arial" w:eastAsia="arial"/>
                <w:sz w:val="20"/>
                <w:color w:val="000000"/>
              </w:rPr>
              <w:t>需申请SSL证书并部署到小程序的服务器环境中；</w:t>
            </w:r>
          </w:p>
          <w:p>
            <w:pPr>
              <w:pStyle w:val="null3"/>
              <w:ind w:firstLine="400"/>
              <w:jc w:val="both"/>
            </w:pPr>
            <w:r>
              <w:rPr>
                <w:rFonts w:ascii="arial" w:hAnsi="arial" w:cs="arial" w:eastAsia="arial"/>
                <w:sz w:val="20"/>
                <w:color w:val="000000"/>
              </w:rPr>
              <w:t>数据库设计需协调好各种数据源，保证数据的一致性和有效性；对输入到数据库中的数据要有审核和约束机制；要有认证和授权机制，防止非法用户使用数据库或合法用户非法使用数据库，造成数据泄露、更改或破坏；数据库结构的设计应充分考虑升级、移植的需求，具有良好的扩展性、伸缩性和适度冗余</w:t>
            </w:r>
            <w:r>
              <w:rPr>
                <w:rFonts w:ascii="arial" w:hAnsi="arial" w:cs="arial" w:eastAsia="arial"/>
                <w:sz w:val="20"/>
                <w:color w:val="000000"/>
              </w:rPr>
              <w:t>。</w:t>
            </w:r>
          </w:p>
          <w:p>
            <w:pPr>
              <w:pStyle w:val="null3"/>
              <w:spacing w:before="135" w:after="135"/>
              <w:jc w:val="both"/>
              <w:outlineLvl w:val="2"/>
            </w:pPr>
            <w:r>
              <w:rPr>
                <w:rFonts w:ascii="arial" w:hAnsi="arial" w:cs="arial" w:eastAsia="arial"/>
                <w:sz w:val="20"/>
                <w:b/>
                <w:color w:val="000000"/>
              </w:rPr>
              <w:t>3、</w:t>
            </w:r>
            <w:r>
              <w:rPr>
                <w:rFonts w:ascii="宋体" w:hAnsi="宋体" w:cs="宋体" w:eastAsia="宋体"/>
                <w:sz w:val="20"/>
                <w:b/>
                <w:color w:val="000000"/>
              </w:rPr>
              <w:t>管理后台</w:t>
            </w:r>
          </w:p>
          <w:p>
            <w:pPr>
              <w:pStyle w:val="null3"/>
              <w:ind w:firstLine="400"/>
              <w:jc w:val="both"/>
            </w:pPr>
            <w:r>
              <w:rPr>
                <w:rFonts w:ascii="arial" w:hAnsi="arial" w:cs="arial" w:eastAsia="arial"/>
                <w:sz w:val="20"/>
                <w:color w:val="000000"/>
              </w:rPr>
              <w:t>保密在线宣教平台管理后台的建设，使得管理员能够分配各单位进行培训学习，可视化展现学员们的学习数据，分析用户的学习情况；</w:t>
            </w:r>
          </w:p>
          <w:p>
            <w:pPr>
              <w:pStyle w:val="null3"/>
              <w:ind w:firstLine="400"/>
              <w:jc w:val="both"/>
            </w:pPr>
            <w:r>
              <w:rPr>
                <w:rFonts w:ascii="arial" w:hAnsi="arial" w:cs="arial" w:eastAsia="arial"/>
                <w:sz w:val="20"/>
                <w:color w:val="000000"/>
              </w:rPr>
              <w:t>管理后台系统采用一个统一的终端，用功能权限授予的方式，为不同管理身份的用户提供可控的功能权限；</w:t>
            </w:r>
          </w:p>
          <w:p>
            <w:pPr>
              <w:pStyle w:val="null3"/>
              <w:ind w:firstLine="400"/>
              <w:jc w:val="both"/>
            </w:pPr>
            <w:r>
              <w:rPr>
                <w:rFonts w:ascii="arial" w:hAnsi="arial" w:cs="arial" w:eastAsia="arial"/>
                <w:sz w:val="20"/>
                <w:color w:val="000000"/>
              </w:rPr>
              <w:t>管理后台采用标准的内容管理系统模式，模块化的管理诸如：管理员账户，课程管理，用户数据管理，互动学习内容管理，用户数据统计管理，安全日志管理等整个系统的方方面面；</w:t>
            </w:r>
          </w:p>
          <w:p>
            <w:pPr>
              <w:pStyle w:val="null3"/>
              <w:ind w:firstLine="400"/>
              <w:jc w:val="both"/>
            </w:pPr>
            <w:r>
              <w:rPr>
                <w:rFonts w:ascii="arial" w:hAnsi="arial" w:cs="arial" w:eastAsia="arial"/>
                <w:sz w:val="20"/>
                <w:color w:val="000000"/>
              </w:rPr>
              <w:t>权限管理模块，用户单位设置管理员，可管理本单位用户信息、角色信息、部门信息，基于用户还可跨部门组合不同属性的群组，用于考试、专题发布指定用户对象；管理员可以自由的设置每个人每年的学时数；</w:t>
            </w:r>
          </w:p>
          <w:p>
            <w:pPr>
              <w:pStyle w:val="null3"/>
              <w:ind w:firstLine="400"/>
              <w:jc w:val="both"/>
            </w:pPr>
            <w:r>
              <w:rPr>
                <w:rFonts w:ascii="arial" w:hAnsi="arial" w:cs="arial" w:eastAsia="arial"/>
                <w:sz w:val="20"/>
                <w:color w:val="000000"/>
              </w:rPr>
              <w:t>首页管理模块，平台首页管理包括新闻资讯与平台通知公告，新闻资讯用于发布保密相关的资讯资料，通知公告用于发布平台更新公告和课程、考试上新通知。用户管理员可自行维护资讯功能、更新公告通知，即时、快速传递资讯内容，免去繁杂的信息日常维护；</w:t>
            </w:r>
          </w:p>
          <w:p>
            <w:pPr>
              <w:pStyle w:val="null3"/>
              <w:ind w:firstLine="400"/>
              <w:jc w:val="both"/>
            </w:pPr>
            <w:r>
              <w:rPr>
                <w:rFonts w:ascii="arial" w:hAnsi="arial" w:cs="arial" w:eastAsia="arial"/>
                <w:sz w:val="20"/>
                <w:color w:val="000000"/>
              </w:rPr>
              <w:t>保密学堂管理模块，用于管理平台课程的上传、设定课程标签、发布专题考试、平台考试，基于课程分类和用户属性归类专题内容；</w:t>
            </w:r>
          </w:p>
          <w:p>
            <w:pPr>
              <w:pStyle w:val="null3"/>
              <w:ind w:firstLine="400"/>
              <w:jc w:val="both"/>
            </w:pPr>
            <w:r>
              <w:rPr>
                <w:rFonts w:ascii="arial" w:hAnsi="arial" w:cs="arial" w:eastAsia="arial"/>
                <w:sz w:val="20"/>
                <w:color w:val="000000"/>
              </w:rPr>
              <w:t>题库练习模块，主要维护题库的题目、解析与答案，题目包含单选题、多选题、判断题。</w:t>
            </w:r>
          </w:p>
          <w:p>
            <w:pPr>
              <w:pStyle w:val="null3"/>
              <w:spacing w:before="135" w:after="135"/>
              <w:jc w:val="both"/>
              <w:outlineLvl w:val="2"/>
            </w:pPr>
            <w:r>
              <w:rPr>
                <w:rFonts w:ascii="arial" w:hAnsi="arial" w:cs="arial" w:eastAsia="arial"/>
                <w:sz w:val="20"/>
                <w:b/>
                <w:color w:val="000000"/>
              </w:rPr>
              <w:t>4、</w:t>
            </w:r>
            <w:r>
              <w:rPr>
                <w:rFonts w:ascii="宋体" w:hAnsi="宋体" w:cs="宋体" w:eastAsia="宋体"/>
                <w:sz w:val="20"/>
                <w:b/>
                <w:color w:val="000000"/>
              </w:rPr>
              <w:t>内容制作</w:t>
            </w:r>
          </w:p>
          <w:p>
            <w:pPr>
              <w:pStyle w:val="null3"/>
              <w:jc w:val="both"/>
            </w:pPr>
            <w:r>
              <w:rPr>
                <w:rFonts w:ascii="宋体" w:hAnsi="宋体" w:cs="宋体" w:eastAsia="宋体"/>
              </w:rPr>
              <w:t xml:space="preserve">  </w:t>
            </w:r>
            <w:r>
              <w:rPr>
                <w:rFonts w:ascii="宋体" w:hAnsi="宋体" w:cs="宋体" w:eastAsia="宋体"/>
                <w:sz w:val="20"/>
              </w:rPr>
              <w:t>保密宣教课程内容建设，除了整合西安保密数字化宣传教育平台、“西安保密”公众号的现有资源，还需制作包括文字、图片、动画、视频在内的定制化教育资源。</w:t>
            </w:r>
          </w:p>
          <w:p>
            <w:pPr>
              <w:pStyle w:val="null3"/>
              <w:jc w:val="both"/>
            </w:pPr>
            <w:r>
              <w:rPr>
                <w:rFonts w:ascii="宋体" w:hAnsi="宋体" w:cs="宋体" w:eastAsia="宋体"/>
                <w:sz w:val="20"/>
              </w:rPr>
              <w:t xml:space="preserve">  图片、文字等内容以宣传贯彻保密工作方针政策、保密法及其配套法规规章为核心，涵盖法律法规、保密基础知识、涉密管理、西安保密史、警示案例等相关内容。动画、视频的形式比起其他宣传方式，信息密度更高，更容易为人所接受，视频内容的建设围绕红色保密故事、保密相关法律法规进行制作。课程资源内容打造应充分考虑西安保密教育现状和实际需求，利用视频、动画、漫画等多样的技术手段，打造具有严谨、特色、生动、寓教于乐的系列课程资源。</w:t>
            </w:r>
          </w:p>
          <w:p>
            <w:pPr>
              <w:pStyle w:val="null3"/>
              <w:jc w:val="both"/>
            </w:pPr>
            <w:r>
              <w:rPr>
                <w:rFonts w:ascii="宋体" w:hAnsi="宋体" w:cs="宋体" w:eastAsia="宋体"/>
              </w:rPr>
              <w:t xml:space="preserve">  </w:t>
            </w:r>
            <w:r>
              <w:rPr>
                <w:rFonts w:ascii="宋体" w:hAnsi="宋体" w:cs="宋体" w:eastAsia="宋体"/>
                <w:sz w:val="20"/>
              </w:rPr>
              <w:t>视频课程要求结合保密教育内容，视频图像为</w:t>
            </w:r>
            <w:r>
              <w:rPr>
                <w:rFonts w:ascii="宋体" w:hAnsi="宋体" w:cs="宋体" w:eastAsia="宋体"/>
                <w:sz w:val="20"/>
              </w:rPr>
              <w:t>≥</w:t>
            </w:r>
            <w:r>
              <w:rPr>
                <w:rFonts w:ascii="宋体" w:hAnsi="宋体" w:cs="宋体" w:eastAsia="宋体"/>
                <w:sz w:val="20"/>
              </w:rPr>
              <w:t>25</w:t>
            </w:r>
            <w:r>
              <w:rPr>
                <w:rFonts w:ascii="宋体" w:hAnsi="宋体" w:cs="宋体" w:eastAsia="宋体"/>
                <w:sz w:val="20"/>
              </w:rPr>
              <w:t>帧</w:t>
            </w:r>
            <w:r>
              <w:rPr>
                <w:rFonts w:ascii="calibri" w:hAnsi="calibri" w:cs="calibri" w:eastAsia="calibri"/>
                <w:sz w:val="20"/>
              </w:rPr>
              <w:t>/</w:t>
            </w:r>
            <w:r>
              <w:rPr>
                <w:rFonts w:ascii="宋体" w:hAnsi="宋体" w:cs="宋体" w:eastAsia="宋体"/>
                <w:sz w:val="20"/>
              </w:rPr>
              <w:t>秒，分辨率</w:t>
            </w:r>
            <w:r>
              <w:rPr>
                <w:rFonts w:ascii="宋体" w:hAnsi="宋体" w:cs="宋体" w:eastAsia="宋体"/>
                <w:sz w:val="20"/>
              </w:rPr>
              <w:t>≥</w:t>
            </w:r>
            <w:r>
              <w:rPr>
                <w:rFonts w:ascii="宋体" w:hAnsi="宋体" w:cs="宋体" w:eastAsia="宋体"/>
                <w:sz w:val="20"/>
              </w:rPr>
              <w:t>2048*1080</w:t>
            </w:r>
            <w:r>
              <w:rPr>
                <w:rFonts w:ascii="宋体" w:hAnsi="宋体" w:cs="宋体" w:eastAsia="宋体"/>
                <w:sz w:val="20"/>
              </w:rPr>
              <w:t>，视频格式为</w:t>
            </w:r>
            <w:r>
              <w:rPr>
                <w:rFonts w:ascii="calibri" w:hAnsi="calibri" w:cs="calibri" w:eastAsia="calibri"/>
                <w:sz w:val="20"/>
              </w:rPr>
              <w:t>MP4</w:t>
            </w:r>
            <w:r>
              <w:rPr>
                <w:rFonts w:ascii="宋体" w:hAnsi="宋体" w:cs="宋体" w:eastAsia="宋体"/>
                <w:sz w:val="20"/>
              </w:rPr>
              <w:t>；拍摄采用专业级数字录音设备保证录音质量，音频信号源声音和视频画面要求同步，无交流声或其他杂音等缺陷；伴音清晰、饱满、圆润，无失真、噪声杂音干扰、音量忽大忽小现象。人声与现场声无明显比例失调，人声与背景音乐无明显比例失调；视频图像同步性能稳定，无失步现象，图像无抖动跳跃，色彩无突变，编辑点处图像稳定，白平衡正确，无明显偏色，无明显色差，无明显杂波；字幕准确无误，无错别字、无漏字现象，无错误读音。</w:t>
            </w:r>
          </w:p>
          <w:p>
            <w:pPr>
              <w:pStyle w:val="null3"/>
              <w:jc w:val="left"/>
            </w:pPr>
            <w:r>
              <w:rPr>
                <w:rFonts w:ascii="arial" w:hAnsi="arial" w:cs="arial" w:eastAsia="arial"/>
                <w:sz w:val="21"/>
              </w:rPr>
              <w:t xml:space="preserve">      </w:t>
            </w:r>
            <w:r>
              <w:rPr>
                <w:rFonts w:ascii="宋体" w:hAnsi="宋体" w:cs="宋体" w:eastAsia="宋体"/>
                <w:sz w:val="20"/>
              </w:rPr>
              <w:t>动画课程内容遵循课程主题内容，动画流畅、表演设计合理，动漫为≥25帧/秒，分辨率≥1920*1080，视频格式为MP4。后期合成使用AE软件进行合成，并添加合理后期效果，动画渲染输出，画面无明显曝光及黑场，颜色搭配合理。视频图像为≥25帧/秒，分辨率≥2048*1080，视频格式为MP4。</w:t>
            </w:r>
          </w:p>
        </w:tc>
      </w:tr>
    </w:tbl>
    <w:p>
      <w:pPr>
        <w:pStyle w:val="null3"/>
        <w:outlineLvl w:val="2"/>
      </w:pPr>
      <w:r>
        <w:rPr>
          <w:sz w:val="28"/>
          <w:b/>
        </w:rPr>
        <w:t>3.2.3人员配置要求</w:t>
      </w:r>
    </w:p>
    <w:p>
      <w:pPr>
        <w:pStyle w:val="null3"/>
      </w:pPr>
      <w:r>
        <w:rPr/>
        <w:t>采购包1：</w:t>
      </w:r>
    </w:p>
    <w:p>
      <w:pPr>
        <w:pStyle w:val="null3"/>
      </w:pPr>
      <w:r>
        <w:rPr/>
        <w:t>详见采购文件</w:t>
      </w:r>
    </w:p>
    <w:p>
      <w:pPr>
        <w:pStyle w:val="null3"/>
        <w:outlineLvl w:val="2"/>
      </w:pPr>
      <w:r>
        <w:rPr>
          <w:sz w:val="28"/>
          <w:b/>
        </w:rPr>
        <w:t>3.2.4设施设备要求</w:t>
      </w:r>
    </w:p>
    <w:p>
      <w:pPr>
        <w:pStyle w:val="null3"/>
      </w:pPr>
      <w:r>
        <w:rPr/>
        <w:t>采购包1：</w:t>
      </w:r>
    </w:p>
    <w:p>
      <w:pPr>
        <w:pStyle w:val="null3"/>
      </w:pPr>
      <w:r>
        <w:rPr/>
        <w:t>满足“技术参数与性能指标”要求。</w:t>
      </w:r>
    </w:p>
    <w:p>
      <w:pPr>
        <w:pStyle w:val="null3"/>
        <w:outlineLvl w:val="2"/>
      </w:pPr>
      <w:r>
        <w:rPr>
          <w:sz w:val="28"/>
          <w:b/>
        </w:rPr>
        <w:t>3.2.5其他要求</w:t>
      </w:r>
    </w:p>
    <w:p>
      <w:pPr>
        <w:pStyle w:val="null3"/>
      </w:pPr>
      <w:r>
        <w:rPr/>
        <w:t>采购包1：</w:t>
      </w:r>
    </w:p>
    <w:p>
      <w:pPr>
        <w:pStyle w:val="null3"/>
      </w:pPr>
      <w:r>
        <w:rPr/>
        <w:t>1、自合同签订之日起300个日历日内完成保密在线宣教平台建设项目内容的开发、制作； 2、在系统上线、运行平稳后180个日历日后，对系统进行验收。同时组织相关人员进行系统培训，项目团队对整个项目进行总结，评估项目实施效果，收集用户反馈，为后续的优化和完善提供依据； 3、保密在线宣教平台建设项目内容交付验收之日起，供应商需提供为期1年的7x24小时运维服务，运维工作包括运行环境、网络环境、系统程序、数据库、业务支撑接口、系统升级、漏洞修复等，保证系统长期稳定运行； 4、在系统发生异常时，需安排相关人员进行系统问题修复；在接收到采购方的疑问反馈时，运维人员需对问题进行跟踪，并给予问题回复和处理。</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自合同签订之日起300日历天完成</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详见采购合同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合同签订之日后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在系统上线、运行平稳后180个日历日后，对系统进行验收，验收通过后</w:t>
      </w:r>
      <w:r>
        <w:rPr/>
        <w:t xml:space="preserve"> ，达到付款条件起 </w:t>
      </w:r>
      <w:r>
        <w:rPr/>
        <w:t>10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详见采购合同</w:t>
      </w:r>
    </w:p>
    <w:p>
      <w:pPr>
        <w:pStyle w:val="null3"/>
        <w:outlineLvl w:val="2"/>
      </w:pPr>
      <w:r>
        <w:rPr>
          <w:sz w:val="28"/>
          <w:b/>
        </w:rPr>
        <w:t>3.4其他要求</w:t>
      </w:r>
    </w:p>
    <w:p>
      <w:pPr>
        <w:pStyle w:val="null3"/>
      </w:pPr>
      <w:r>
        <w:rPr/>
        <w:t>1、成交供应商在领取成交通知书前，须向采购代理机构提供纸质版响应文件一正贰副，且提供的响应文件必须与在陕西省政府采购综合管理平台的项目电子化交易系统中递交的电子响应文件内容一致，纸质版响应文件必须装订成册签字盖章。2、如磋商文件中融资相关内容与新政策要求有出入，按照最新要求执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1.供应商为具有独立承担民事责任能力的法人、其他组织或自然人（提供合格有效的法人 或者其他组织的营业执照、事业单位法人证等证明文件或自然人的身份证明）； 2.财务状 况报告:提供2023年度经审计的财务报告（成立时间至磋商截止时间不足一年的可提供成立后任意时段的资产负债表）或磋商截止时间前六个月内其基本账户银行出具的资信证明或政府采购信用担保机构出具的担保函； 3.有依法缴纳税收和社会保障资金的良好记录:（ 1）税收缴纳证明：提供磋商截止时间前半年内任意一个月的纳税证明或完税证明，依法 免税的单位应提供相关证明材料。（2）社会保障资金缴纳证明：提供磋商截止时间前半 年内任意一个月的社会保障资金缴存单据或社保机构开具的社会保险参保缴费情况证明， 依法不需要缴纳社会保障资金的单位应提供相关证明材料。 4.提供参加本次政府采购活动 前三年内在经营活动中没有重大违法记录的书面声明; 5.具有履行本合同所必需的设备和专 业技术能力的承诺。</w:t>
            </w:r>
          </w:p>
        </w:tc>
        <w:tc>
          <w:tcPr>
            <w:tcW w:type="dxa" w:w="1661"/>
          </w:tcPr>
          <w:p>
            <w:pPr>
              <w:pStyle w:val="null3"/>
            </w:pPr>
            <w:r>
              <w:rPr/>
              <w:t>服务内容及服务邀请应答表 中小企业声明函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提供2023年度经审计的财务报告（成立时间至磋商截止时间不足一年的可提供成立后任意 时段的资产负债表）或磋商截止时间前六个月内其基本账户银行出具的资信证明或政府采 购信用担保机构出具的担保函。</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法定代表人身份证明或法定代表人授权委托书</w:t>
            </w:r>
          </w:p>
        </w:tc>
        <w:tc>
          <w:tcPr>
            <w:tcW w:type="dxa" w:w="3322"/>
          </w:tcPr>
          <w:p>
            <w:pPr>
              <w:pStyle w:val="null3"/>
            </w:pPr>
            <w:r>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①未被列入“信用中国”网站(www.creditchina.gov.cn/)中“失信被执行人”和“重大税收违法失信主体”当事人名单； ②不处于中国政府采购网(www.ccgp.gov.cn/)“政府采购严重违法失信行为记录名单”中的禁止参加政府采购活动期间。</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是否接受联合体</w:t>
            </w:r>
          </w:p>
        </w:tc>
        <w:tc>
          <w:tcPr>
            <w:tcW w:type="dxa" w:w="3322"/>
          </w:tcPr>
          <w:p>
            <w:pPr>
              <w:pStyle w:val="null3"/>
            </w:pPr>
            <w:r>
              <w:rPr/>
              <w:t>本项目不接受联合体磋商</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磋商报价</w:t>
            </w:r>
          </w:p>
        </w:tc>
        <w:tc>
          <w:tcPr>
            <w:tcW w:type="dxa" w:w="3322"/>
          </w:tcPr>
          <w:p>
            <w:pPr>
              <w:pStyle w:val="null3"/>
            </w:pPr>
            <w:r>
              <w:rPr/>
              <w:t>投标报价符合唯一性要求；投标报价未超出采购预算或采购最高限价</w:t>
            </w:r>
          </w:p>
        </w:tc>
        <w:tc>
          <w:tcPr>
            <w:tcW w:type="dxa" w:w="1661"/>
          </w:tcPr>
          <w:p>
            <w:pPr>
              <w:pStyle w:val="null3"/>
            </w:pPr>
            <w:r>
              <w:rPr/>
              <w:t>标的清单 报价表</w:t>
            </w:r>
          </w:p>
        </w:tc>
      </w:tr>
      <w:tr>
        <w:tc>
          <w:tcPr>
            <w:tcW w:type="dxa" w:w="831"/>
          </w:tcPr>
          <w:p>
            <w:pPr>
              <w:pStyle w:val="null3"/>
            </w:pPr>
            <w:r>
              <w:rPr/>
              <w:t>3</w:t>
            </w:r>
          </w:p>
        </w:tc>
        <w:tc>
          <w:tcPr>
            <w:tcW w:type="dxa" w:w="2492"/>
          </w:tcPr>
          <w:p>
            <w:pPr>
              <w:pStyle w:val="null3"/>
            </w:pPr>
            <w:r>
              <w:rPr/>
              <w:t>签署、盖章</w:t>
            </w:r>
          </w:p>
        </w:tc>
        <w:tc>
          <w:tcPr>
            <w:tcW w:type="dxa" w:w="3322"/>
          </w:tcPr>
          <w:p>
            <w:pPr>
              <w:pStyle w:val="null3"/>
            </w:pPr>
            <w:r>
              <w:rPr/>
              <w:t>与所投项目名称、项目编号一致，且符合磋商文件签署盖章要求。</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有效期</w:t>
            </w:r>
          </w:p>
        </w:tc>
        <w:tc>
          <w:tcPr>
            <w:tcW w:type="dxa" w:w="3322"/>
          </w:tcPr>
          <w:p>
            <w:pPr>
              <w:pStyle w:val="null3"/>
            </w:pPr>
            <w:r>
              <w:rPr/>
              <w:t>从提交响应文件的截止之日起不少于90天。</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供应商需在项目电子化交易系统中按要求填写《报价表》、《标的清单》并进行电子签章。</w:t>
            </w:r>
          </w:p>
        </w:tc>
        <w:tc>
          <w:tcPr>
            <w:tcW w:type="dxa" w:w="1661"/>
          </w:tcPr>
          <w:p>
            <w:pPr>
              <w:pStyle w:val="null3"/>
            </w:pPr>
            <w:r>
              <w:rPr/>
              <w:t>响应文件封面 标的清单 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对本项目的理解与认识</w:t>
            </w:r>
          </w:p>
        </w:tc>
        <w:tc>
          <w:tcPr>
            <w:tcW w:type="dxa" w:w="2492"/>
          </w:tcPr>
          <w:p>
            <w:pPr>
              <w:pStyle w:val="null3"/>
            </w:pPr>
            <w:r>
              <w:rPr/>
              <w:t>1、供应商对保密在线宣教平台项目建设背景的认识充分，技术指标、建设需求理解透彻，能够充分考虑西安市现有教育资源情况和培训受众需求，根据保密在线宣教平台建设实际需求提出整体方案，方案准确和深入，得(5-8]分； 2、供应商对保密在线宣教平台项目建设背景的认识正确，技术指标、建设需求理解较为全面，能够部分考虑西安市现有教育资源情况和培训受众需求，根据保密在线宣教平台建设实际需求提出整体方案，方案较为准确，有一定深度，得(3-5]分； 3、供应商对保密在线宣教平台项目建设背景有一定认知，能够基本理解技术指标、建设需求，能够提出基本整体方案。得(0-3]分。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项目重难点分析及解决方案</w:t>
            </w:r>
          </w:p>
        </w:tc>
        <w:tc>
          <w:tcPr>
            <w:tcW w:type="dxa" w:w="2492"/>
          </w:tcPr>
          <w:p>
            <w:pPr>
              <w:pStyle w:val="null3"/>
            </w:pPr>
            <w:r>
              <w:rPr/>
              <w:t>提供各供应商对本项目的需求理解定义、重难点分析及针对重难点的解决方案，根据供应商对项目需求理解、定义是否深入准确，对项目重难点分析是否切合项目实际，重难点解决方案科学合理。 1、供应商具有相关行业与实际工作经验，针对本项目关键点及难点把握较为准确，根据响应情况得(5-8]分； 2、供应商对项目工作需求的关键点及难点分析基本到位，根据响应情况得(3-5]分； 3、供应商对于本项目的关键点及难点分析较差，可能造成后期工作中的相关问题，根据响应情况得(0-3]分。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门户网站</w:t>
            </w:r>
          </w:p>
        </w:tc>
        <w:tc>
          <w:tcPr>
            <w:tcW w:type="dxa" w:w="2492"/>
          </w:tcPr>
          <w:p>
            <w:pPr>
              <w:pStyle w:val="null3"/>
            </w:pPr>
            <w:r>
              <w:rPr/>
              <w:t>根据保密在线宣教平台门户网站建设需求，编写详细的保密在线宣教平台门户网站建设方案： 1.充分理解采购人的平台门户网站建设需求，充分满足采购人技术指标要求，实施方案内容全面，思维创新，各功能模块完善，性能可靠，可行性强，根据响应情况得(5-8]分； 2.理解采购人的平台门户网站建设需求，总体满足采购人技术指标要求，实施方案内容完整，能够满足平台门户网站功能模块需求，性能可靠，可行性一般，平台门户网站可行，根据响应情况得(3-5]分； 3.与采购人的平台门户网站建设需求有偏差，采购人技术指标要求满足情况差，合理性和可行性欠缺，根据响应情况得(0-3]分，未提供不得分。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小程序端</w:t>
            </w:r>
          </w:p>
        </w:tc>
        <w:tc>
          <w:tcPr>
            <w:tcW w:type="dxa" w:w="2492"/>
          </w:tcPr>
          <w:p>
            <w:pPr>
              <w:pStyle w:val="null3"/>
            </w:pPr>
            <w:r>
              <w:rPr/>
              <w:t>根据保密在线宣教平台小程序端建设需求，编写详细的保密在线宣教平台小程序端建设方案： 1.充分理解采购人的平台小程序端建设需求，充分满足采购人技术指标要求，实施方案内容全面，思维创新，各功能模块完善，性能可靠，可行性强，根据响应情况得(5-8]分； 2.理解采购人的平台小程序端建设需求，总体满足采购人技术指标要求，实施方案内容完整，能够满足平台小程序端功能模块需求，性能可靠，可行性一般，平台小程序端可行，根据响应情况得(3-5]分； 3.与采购人的平台小程序端建设需求有偏差，采购人技术指标要求满足情况差，合理性和可行性欠缺，根据响应情况得(0-3]分，未提供不得分。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管理后台</w:t>
            </w:r>
          </w:p>
        </w:tc>
        <w:tc>
          <w:tcPr>
            <w:tcW w:type="dxa" w:w="2492"/>
          </w:tcPr>
          <w:p>
            <w:pPr>
              <w:pStyle w:val="null3"/>
            </w:pPr>
            <w:r>
              <w:rPr/>
              <w:t>根据保密在线宣教平台管理后台建设需求，编写详细的管理后台建设方案： 1.充分理解采购人的管理后台建设需求，充分满足采购人技术指标要求，实施方案内容全面，思维创新，管理后台模块功能完善，性能可靠，可行性强，根据响应情况得(7-10]分； 2.理解采购人的管理后台建设需求，总体满足采购人技术指标要求，实施方案内容完整，能够满足管理后台功能模块需求，性能可靠，可行性一般，后台建设可行，根据响应情况得(4-7]分； 3.与采购人的管理后台建设需求有偏差，采购人技术指标要求满足情况差，合理性和可行性欠缺，根据响应情况得(0-4]分，未提供不得分。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内容制作</w:t>
            </w:r>
          </w:p>
        </w:tc>
        <w:tc>
          <w:tcPr>
            <w:tcW w:type="dxa" w:w="2492"/>
          </w:tcPr>
          <w:p>
            <w:pPr>
              <w:pStyle w:val="null3"/>
            </w:pPr>
            <w:r>
              <w:rPr/>
              <w:t>根据保密宣教课程内容建设需求编写详细的内容制作方案： 1.充分理解采购人的课程内容需求，主题定位精准，信息密度高，内容制作方案具有创意性、合理性，具有较强的流媒体信息资源制作能力，能高质量、高水平的实现教学目标，最大限度的发挥宣传教育的作用，根据响应情况得(7-10]分； 2.理解采购人的课程内容需求，有合适的主题定位，有一定构思，能实现宣传教育目标，根据响应情况得(4-7]分； 3.与采购人的课程内容需求有偏差，不能较好的实现宣传教育目标，根据响应情况得(0-4]分，未提供不得分；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技术保障</w:t>
            </w:r>
          </w:p>
        </w:tc>
        <w:tc>
          <w:tcPr>
            <w:tcW w:type="dxa" w:w="2492"/>
          </w:tcPr>
          <w:p>
            <w:pPr>
              <w:pStyle w:val="null3"/>
            </w:pPr>
            <w:r>
              <w:rPr/>
              <w:t>供应商拟投入本项目视频拍摄、视频剪辑、后期制作、包装中采用的设备清单，设备性能应完全满足项目需要、运行正常、数量充足，技术先进、性能良好，并提供设备购买的合法证明材料（提供购置发票）： 1.配备齐全、技术先进、性能良好，安全可靠得(7-10分]； 2.配备齐全、技术较先进、性能较良好，安全得(4-7分]； 配备较齐全、技术落后、性能较良好，较安全得(0-4分]；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商务应答表</w:t>
            </w:r>
          </w:p>
        </w:tc>
      </w:tr>
      <w:tr>
        <w:tc>
          <w:tcPr>
            <w:tcW w:type="dxa" w:w="831"/>
            <w:vMerge/>
          </w:tcPr>
          <w:p/>
        </w:tc>
        <w:tc>
          <w:tcPr>
            <w:tcW w:type="dxa" w:w="1661"/>
          </w:tcPr>
          <w:p>
            <w:pPr>
              <w:pStyle w:val="null3"/>
            </w:pPr>
            <w:r>
              <w:rPr/>
              <w:t>人员配置</w:t>
            </w:r>
          </w:p>
        </w:tc>
        <w:tc>
          <w:tcPr>
            <w:tcW w:type="dxa" w:w="2492"/>
          </w:tcPr>
          <w:p>
            <w:pPr>
              <w:pStyle w:val="null3"/>
            </w:pPr>
            <w:r>
              <w:rPr/>
              <w:t>有针对本项目的专业服务团队、组织结构合理、岗位职责明确，具有与本项目相适应的各专业技术人员。 1.项目负责人具有计算机技术与软件相关专业中级以上资格证书及职称得2分，（提供相关证明材料）。 团队配置人员数量达到5人以上（含项目负责人），人员配备合理、分工明确，技术能力、经验等情况进行综合评价，根据响应情况计(0-3]分，未提供不得分。（提供相关证明材料）</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进度和质量保证措施</w:t>
            </w:r>
          </w:p>
        </w:tc>
        <w:tc>
          <w:tcPr>
            <w:tcW w:type="dxa" w:w="2492"/>
          </w:tcPr>
          <w:p>
            <w:pPr>
              <w:pStyle w:val="null3"/>
            </w:pPr>
            <w:r>
              <w:rPr/>
              <w:t>对各供应商提供服务的质量保证措施及进度保证措施等方面进行赋分。 1.质量保证措施及进度保证措施具体可靠，实施性强，适合本项目，得（4-6］分； 2.质量保证措施及进度保证措施较具体可靠，实施性较强，较适合本项目，得（2-4］分； 3.质量保证措施及进度保证措施较具体，可实施性一般，得（0-2］分；未提供不得分。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售后服务</w:t>
            </w:r>
          </w:p>
        </w:tc>
        <w:tc>
          <w:tcPr>
            <w:tcW w:type="dxa" w:w="2492"/>
          </w:tcPr>
          <w:p>
            <w:pPr>
              <w:pStyle w:val="null3"/>
            </w:pPr>
            <w:r>
              <w:rPr/>
              <w:t>供应商应提供包括但不限于①质保期②售后服务体系③服务内容④应急预案 1.售后服务方案完整，可行性强得（4-6］分； 2.售后服务方案较完整，可行性一般得（2-4］分； 3.售后服务方案不完整，可执行性差计或无本方案计（0-2］分。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企业实力</w:t>
            </w:r>
          </w:p>
        </w:tc>
        <w:tc>
          <w:tcPr>
            <w:tcW w:type="dxa" w:w="2492"/>
          </w:tcPr>
          <w:p>
            <w:pPr>
              <w:pStyle w:val="null3"/>
            </w:pPr>
            <w:r>
              <w:rPr/>
              <w:t>1.具有国家版权局颁发的云课堂类、竞答类、实训类相关的计算机软件著作权登记证书，以上3类证书，每个有效证书计1分，最高得3分； 2.具有版权局颁发的教育类作品著作权证书，每个有效证书计1分，最高得3分。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供应商提供2021年7月至今承接过的类似项目业绩，以合同复印件加盖公章为准，每提供一份计1分，满分5分，未提供不得分。 注：业绩以合同签订时间为准。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满足磋商文件要求且最终磋商报价最低的投标价为评审基准价，其价格分为满分。 磋商报价得分=（评审基准价／最终磋商报价）×价格权值×100。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详见附件：政府采购合同.docx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