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版本号：250110001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新建西安城市环线公路北段（连霍高速至外环高速段）项目对涉及的湿地公园及省级重要湿地生态影响评价报告编制技术服务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CTSD2024(Z)-FW-051</w:t>
      </w:r>
      <w:r>
        <w:br/>
      </w:r>
      <w:r>
        <w:br/>
      </w:r>
      <w:r>
        <w:br/>
      </w:r>
    </w:p>
    <w:p>
      <w:pPr>
        <w:pStyle w:val="null3"/>
        <w:jc w:val="center"/>
        <w:outlineLvl w:val="2"/>
      </w:pPr>
      <w:r>
        <w:rPr>
          <w:rFonts w:ascii="仿宋_GB2312" w:hAnsi="仿宋_GB2312" w:cs="仿宋_GB2312" w:eastAsia="仿宋_GB2312"/>
          <w:sz w:val="28"/>
          <w:b/>
        </w:rPr>
        <w:t>西安市公路工程管理处</w:t>
      </w:r>
    </w:p>
    <w:p>
      <w:pPr>
        <w:pStyle w:val="null3"/>
        <w:jc w:val="center"/>
        <w:outlineLvl w:val="2"/>
      </w:pPr>
      <w:r>
        <w:rPr>
          <w:rFonts w:ascii="仿宋_GB2312" w:hAnsi="仿宋_GB2312" w:cs="仿宋_GB2312" w:eastAsia="仿宋_GB2312"/>
          <w:sz w:val="28"/>
          <w:b/>
        </w:rPr>
        <w:t>城投时代（陕西）项目管理有限公司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城投时代（陕西）项目管理有限公司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西安市公路工程管理处</w:t>
      </w:r>
      <w:r>
        <w:rPr>
          <w:rFonts w:ascii="仿宋_GB2312" w:hAnsi="仿宋_GB2312" w:cs="仿宋_GB2312" w:eastAsia="仿宋_GB2312"/>
        </w:rPr>
        <w:t>委托，拟对</w:t>
      </w:r>
      <w:r>
        <w:rPr>
          <w:rFonts w:ascii="仿宋_GB2312" w:hAnsi="仿宋_GB2312" w:cs="仿宋_GB2312" w:eastAsia="仿宋_GB2312"/>
        </w:rPr>
        <w:t>新建西安城市环线公路北段（连霍高速至外环高速段）项目对涉及的湿地公园及省级重要湿地生态影响评价报告编制技术服务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CTSD2024(Z)-FW-051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新建西安城市环线公路北段（连霍高速至外环高速段）项目对涉及的湿地公园及省级重要湿地生态影响评价报告编制技术服务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新建西安城市环线公路北段(连霍高速至外环高速段)为高速公路段，起点为连霍高速临潼立交，终点为外环高速太平立交，全长约54.61公里。从东向西依次为新建连霍高速至京昆高速联络线 11.57公里、利用京昆高速西安港立交至拟建的高陵南立交7.3公里、新建京昆高速至外环高速联络线 35.74 公里。对涉及的湿地公园及省级重要湿地生态影响评价报告编制技术服务，并通过林业部门的审查，最终获得批复。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采购包1（新建西安城市环线公路北段（连霍高速至外环高速段）项目对涉及的湿地公园及 省级重要湿地生态影响评价报告编制技术服务）：属于专门面向中小企业采购。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1、法定代表人授权委托书：非法定代表人参加磋商的，须提供法定代表人授权委托书及被授权人身份证原件；法定代表人参加磋商时,只须提供法定代表人身份证原件。</w:t>
      </w:r>
    </w:p>
    <w:p>
      <w:pPr>
        <w:pStyle w:val="null3"/>
      </w:pPr>
      <w:r>
        <w:rPr>
          <w:rFonts w:ascii="仿宋_GB2312" w:hAnsi="仿宋_GB2312" w:cs="仿宋_GB2312" w:eastAsia="仿宋_GB2312"/>
        </w:rPr>
        <w:t>2、信用记录：申请人不得为“信用中国”网站（www.creditchina.gov.cn）严重失信主体和重大税收违法失信主体的供应商，不得为中国政府采购网（www.ccgp.gov.cn）政府采购严重违法失信行为记录名单中被财政部门禁止参加政府采购活动的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rFonts w:ascii="仿宋_GB2312" w:hAnsi="仿宋_GB2312" w:cs="仿宋_GB2312" w:eastAsia="仿宋_GB2312"/>
        </w:rPr>
        <w:t>3、控股关系：申请人应具备行政主管部门单位负责人为同一人或者存在直接控股、管理关系的不同投标人，不得参加本次采购活动。</w:t>
      </w:r>
    </w:p>
    <w:p>
      <w:pPr>
        <w:pStyle w:val="null3"/>
      </w:pPr>
      <w:r>
        <w:rPr>
          <w:rFonts w:ascii="仿宋_GB2312" w:hAnsi="仿宋_GB2312" w:cs="仿宋_GB2312" w:eastAsia="仿宋_GB2312"/>
        </w:rPr>
        <w:t>4、联合体：本项目不接受联合体磋商，不允许分包。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西安市公路工程管理处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含光南路218号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13359187990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城投时代（陕西）项目管理有限公司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陕西省西安市未央区陕西省西安市经济技术开发区凤城七路联益中心11楼1103-01室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朱媛媛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029-89160083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代理服务费收费标准：本项目收取代理服务费：10000.00元 代理服务费用收取对象：中标/成交供应商 代理服务费收费标准：1、参照国家计委计价格[2002]1980号及发改办价格[2003]857号通知规定。 2、支付方式：成交供应商应在领取通知书的同时，支付本项目代理服务费。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西安市公路工程管理处</w:t>
      </w:r>
      <w:r>
        <w:rPr>
          <w:rFonts w:ascii="仿宋_GB2312" w:hAnsi="仿宋_GB2312" w:cs="仿宋_GB2312" w:eastAsia="仿宋_GB2312"/>
        </w:rPr>
        <w:t>和</w:t>
      </w:r>
      <w:r>
        <w:rPr>
          <w:rFonts w:ascii="仿宋_GB2312" w:hAnsi="仿宋_GB2312" w:cs="仿宋_GB2312" w:eastAsia="仿宋_GB2312"/>
        </w:rPr>
        <w:t>城投时代（陕西）项目管理有限公司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西安市公路工程管理处</w:t>
      </w:r>
      <w:r>
        <w:rPr>
          <w:rFonts w:ascii="仿宋_GB2312" w:hAnsi="仿宋_GB2312" w:cs="仿宋_GB2312" w:eastAsia="仿宋_GB2312"/>
        </w:rPr>
        <w:t>负责解释。除上述磋商文件内容，其他内容由</w:t>
      </w:r>
      <w:r>
        <w:rPr>
          <w:rFonts w:ascii="仿宋_GB2312" w:hAnsi="仿宋_GB2312" w:cs="仿宋_GB2312" w:eastAsia="仿宋_GB2312"/>
        </w:rPr>
        <w:t>城投时代（陕西）项目管理有限公司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西安市公路工程管理处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城投时代（陕西）项目管理有限公司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编制成果必须符合国家现行有关标准规定和采购文件的具体要求。通过林业部门的审查，最终获得批复。</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联系人：朱媛媛</w:t>
      </w:r>
    </w:p>
    <w:p>
      <w:pPr>
        <w:pStyle w:val="null3"/>
      </w:pPr>
      <w:r>
        <w:rPr>
          <w:rFonts w:ascii="仿宋_GB2312" w:hAnsi="仿宋_GB2312" w:cs="仿宋_GB2312" w:eastAsia="仿宋_GB2312"/>
        </w:rPr>
        <w:t>联系电话：029-89160083</w:t>
      </w:r>
    </w:p>
    <w:p>
      <w:pPr>
        <w:pStyle w:val="null3"/>
      </w:pPr>
      <w:r>
        <w:rPr>
          <w:rFonts w:ascii="仿宋_GB2312" w:hAnsi="仿宋_GB2312" w:cs="仿宋_GB2312" w:eastAsia="仿宋_GB2312"/>
        </w:rPr>
        <w:t>地址：陕西省西安市经济技术开发区凤城七路联益中心5楼501室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新建西安城市环线公路北段(连霍高速至外环高速段)为高速公路段，起点为连霍高速临潼立交，终点为外环高速太平立交，全长约54.61公里。从东向西依次为新建连霍高速至京昆高速联络线 11.57公里、利用京昆高速西安港立交至拟建的高陵南立交7.3公里、新建京昆高速至外环高速联络线 35.74 公里。对涉及的湿地公园及省级重要湿地生态影响评价报告编制技术服务，并通过林业部门的审查，最终获得批复。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780,000.00</w:t>
      </w:r>
    </w:p>
    <w:p>
      <w:pPr>
        <w:pStyle w:val="null3"/>
      </w:pPr>
      <w:r>
        <w:rPr>
          <w:rFonts w:ascii="仿宋_GB2312" w:hAnsi="仿宋_GB2312" w:cs="仿宋_GB2312" w:eastAsia="仿宋_GB2312"/>
        </w:rPr>
        <w:t>采购包最高限价（元）: 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新建西安城市环线公路北段（连霍高速至外环高速段）项目对涉及的湿地公园及省级重要湿地生态影响评价报告编制技术服务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标的名称：新建西安城市环线公路北段（连霍高速至外环高速段）项目对涉及的湿地公园及省级重要湿地生态影响评价报告编制技术服务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tc>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服务范围：</w:t>
            </w:r>
            <w:r>
              <w:rPr>
                <w:rFonts w:ascii="仿宋_GB2312" w:hAnsi="仿宋_GB2312" w:cs="仿宋_GB2312" w:eastAsia="仿宋_GB2312"/>
              </w:rPr>
              <w:t>甲方委托乙方开展</w:t>
            </w:r>
            <w:r>
              <w:rPr>
                <w:rFonts w:ascii="仿宋_GB2312" w:hAnsi="仿宋_GB2312" w:cs="仿宋_GB2312" w:eastAsia="仿宋_GB2312"/>
              </w:rPr>
              <w:t>新建西安城市环线公路北段（连霍高速至外环高速段）对涉及的湿地公园及省级重要湿地生态影响评价报告编制工作，</w:t>
            </w:r>
            <w:r>
              <w:rPr>
                <w:rFonts w:ascii="仿宋_GB2312" w:hAnsi="仿宋_GB2312" w:cs="仿宋_GB2312" w:eastAsia="仿宋_GB2312"/>
              </w:rPr>
              <w:t>在乙方收到甲方提供的基本资料后，进行现场调查，编制</w:t>
            </w:r>
            <w:r>
              <w:rPr>
                <w:rFonts w:ascii="仿宋_GB2312" w:hAnsi="仿宋_GB2312" w:cs="仿宋_GB2312" w:eastAsia="仿宋_GB2312"/>
              </w:rPr>
              <w:t>《对陕西泾阳泾河国家湿地公园的生态影响评价报告》、《涉及陕西泾河湿地选址选线征求意见书》</w:t>
            </w:r>
          </w:p>
          <w:p>
            <w:pPr>
              <w:pStyle w:val="null3"/>
            </w:pPr>
            <w:r>
              <w:rPr>
                <w:rFonts w:ascii="仿宋_GB2312" w:hAnsi="仿宋_GB2312" w:cs="仿宋_GB2312" w:eastAsia="仿宋_GB2312"/>
              </w:rPr>
              <w:t>二</w:t>
            </w:r>
            <w:r>
              <w:rPr>
                <w:rFonts w:ascii="仿宋_GB2312" w:hAnsi="仿宋_GB2312" w:cs="仿宋_GB2312" w:eastAsia="仿宋_GB2312"/>
              </w:rPr>
              <w:t>、服务要求</w:t>
            </w:r>
            <w:r>
              <w:rPr>
                <w:rFonts w:ascii="仿宋_GB2312" w:hAnsi="仿宋_GB2312" w:cs="仿宋_GB2312" w:eastAsia="仿宋_GB2312"/>
              </w:rPr>
              <w:t>：</w:t>
            </w:r>
            <w:r>
              <w:rPr>
                <w:rFonts w:ascii="仿宋_GB2312" w:hAnsi="仿宋_GB2312" w:cs="仿宋_GB2312" w:eastAsia="仿宋_GB2312"/>
              </w:rPr>
              <w:t>按期完成，通过</w:t>
            </w:r>
            <w:r>
              <w:rPr>
                <w:rFonts w:ascii="仿宋_GB2312" w:hAnsi="仿宋_GB2312" w:cs="仿宋_GB2312" w:eastAsia="仿宋_GB2312"/>
              </w:rPr>
              <w:t>林业部门的审查，最终获得批复。</w:t>
            </w:r>
          </w:p>
          <w:p>
            <w:pPr>
              <w:pStyle w:val="null3"/>
            </w:pP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服务标准：</w:t>
            </w:r>
            <w:r>
              <w:rPr>
                <w:rFonts w:ascii="仿宋_GB2312" w:hAnsi="仿宋_GB2312" w:cs="仿宋_GB2312" w:eastAsia="仿宋_GB2312"/>
              </w:rPr>
              <w:t>编制成果必须符合国家现行有关标准规定和采购文件的具体要求。</w:t>
            </w:r>
          </w:p>
          <w:p>
            <w:pPr>
              <w:pStyle w:val="null3"/>
              <w:jc w:val="left"/>
            </w:pPr>
            <w:r>
              <w:rPr>
                <w:rFonts w:ascii="仿宋_GB2312" w:hAnsi="仿宋_GB2312" w:cs="仿宋_GB2312" w:eastAsia="仿宋_GB2312"/>
              </w:rPr>
              <w:t>四、成果交付：乙方应向甲方交付最终成果纸质版6份、电子版1份。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供应商自行配备满足采购需求的相应设备。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安全目标：在合同期间出现的安全问题由投标人自行负责，与发包人无关。</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合同签订后120日内完成，如遇不可抗拒因素，时限相应顺延。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编制成果必须符合国家现行有关标准规定和采购文件的具体要求。通过林业部门的审查，最终获得批复。</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由于本项目拟按特许经营模式实施，待社会资本方成立项目公司(SPV公司)后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甲方建设内容等发生变更造成乙方延期工作、延迟交付成果的，责任由甲方承担并顺延工作期限。如因甲方未能按时向乙方提供资料等原因，造成乙方工作延期，责任由甲方承担并尽快向乙方提供所需资料等。 2.因乙方原因导致成果未按时完成，对甲方造成影响的，责任由乙方承担并尽快完成。因乙方技术原因导致方案或报告评审。 3.因履行本合同发生争议，由合同双方协商解决，协商不成的，提交西安仲裁委员会仲裁。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1.乙方在项目实施过程中形成的所有原始资料、过程资料、最终成果及所涉知识产权归甲方所有，未经甲方书面同意，所有资料不得以任何方式、任何理由向第三方披露或提供，不得向任何人透露有关内容。 2.双方均有义务对属于对方的技术和经济秘密进行保护，未经同意不得将对方的资料、成果用于本合同以外的项目。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1.提供合法有效的法人或其他组织的营业执照等证明文件，自然人参与的提供其身份证原件。 2.提供磋商截止时间前6个月内至少一个月的依法缴纳税收的相关凭据（时间以税款所属日期为准)，依法免税或无须缴纳税收的供应商应提供相关证明材料；提供磋商截止时间前6个月内至少一个月的社会保障资金的相关材料，依法不需要缴纳社会保障金的供应商需具有社保部门出具的证明文件。 3.参加本次政府采购活动前3年内在经营活动中没有重大违法记录，以及未被列入严重失信主体、重大税收违法失信主体、政府采购严重违法失信行为记录名单的书面声明。 4.磋商单位具有履行合同所需的设备和专业技术能力。（提供承诺函） 5.磋商单位具备法律、行政法规规定的其他条件。（提供承诺函）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供应商资格证明材料 中小企业声明函 残疾人福利性单位声明函 标的清单 响应函 响应文件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提供经会计师事务所审计的2023年度的财务审计报告或开标前3个月内供应商基本存款账户开户银行出具的资信证明及开户许可证（基本存款账户信息）。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供应商资格证明材料 响应文件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供应商资格证明材料 响应函 响应文件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非法定代表人参加磋商的，须提供法定代表人授权委托书及被授权人身份证原件；法定代表人参加磋商时,只须提供法定代表人身份证原件。</w:t>
            </w:r>
          </w:p>
        </w:tc>
        <w:tc>
          <w:tcPr>
            <w:tcW w:type="dxa" w:w="1661"/>
          </w:tcPr>
          <w:p>
            <w:pPr>
              <w:pStyle w:val="null3"/>
            </w:pPr>
            <w:r>
              <w:rPr>
                <w:rFonts w:ascii="仿宋_GB2312" w:hAnsi="仿宋_GB2312" w:cs="仿宋_GB2312" w:eastAsia="仿宋_GB2312"/>
              </w:rPr>
              <w:t>供应商资格证明材料 响应文件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供应商资格证明材料 响应文件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申请人应具备行政主管部门单位负责人为同一人或者存在直接控股、管理关系的不同投标人，不得参加本次采购活动。</w:t>
            </w:r>
          </w:p>
        </w:tc>
        <w:tc>
          <w:tcPr>
            <w:tcW w:type="dxa" w:w="1661"/>
          </w:tcPr>
          <w:p>
            <w:pPr>
              <w:pStyle w:val="null3"/>
            </w:pPr>
            <w:r>
              <w:rPr>
                <w:rFonts w:ascii="仿宋_GB2312" w:hAnsi="仿宋_GB2312" w:cs="仿宋_GB2312" w:eastAsia="仿宋_GB2312"/>
              </w:rPr>
              <w:t>供应商资格证明材料 响应文件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本项目不接受联合体磋商，不允许分包。</w:t>
            </w:r>
          </w:p>
        </w:tc>
        <w:tc>
          <w:tcPr>
            <w:tcW w:type="dxa" w:w="1661"/>
          </w:tcPr>
          <w:p>
            <w:pPr>
              <w:pStyle w:val="null3"/>
            </w:pPr>
            <w:r>
              <w:rPr>
                <w:rFonts w:ascii="仿宋_GB2312" w:hAnsi="仿宋_GB2312" w:cs="仿宋_GB2312" w:eastAsia="仿宋_GB2312"/>
              </w:rPr>
              <w:t>供应商资格证明材料 响应文件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供应商资格证明材料 标的清单 报价表 响应函 响应文件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按照磋商文件规定要求签署、盖章的。法定代表人或法定代表人授权书（如已授权，则由授权代表签署）</w:t>
            </w:r>
          </w:p>
        </w:tc>
        <w:tc>
          <w:tcPr>
            <w:tcW w:type="dxa" w:w="1661"/>
          </w:tcPr>
          <w:p>
            <w:pPr>
              <w:pStyle w:val="null3"/>
            </w:pPr>
            <w:r>
              <w:rPr>
                <w:rFonts w:ascii="仿宋_GB2312" w:hAnsi="仿宋_GB2312" w:cs="仿宋_GB2312" w:eastAsia="仿宋_GB2312"/>
              </w:rPr>
              <w:t>响应文件封面 供应商资格证明材料 分项报价表 中小企业声明函 残疾人福利性单位声明函 商务应答表 标的清单 服务内容及服务要求应答表 报价表 响应函 响应文件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中小企业声明函 残疾人福利性单位声明函 报价表 响应函 响应文件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 标的清单 报价表 响应函 响应文件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满足本磋商文件中标注的实质性条款（服务期限、服务地点、支付方式、支付约定）要求的</w:t>
            </w:r>
          </w:p>
        </w:tc>
        <w:tc>
          <w:tcPr>
            <w:tcW w:type="dxa" w:w="1661"/>
          </w:tcPr>
          <w:p>
            <w:pPr>
              <w:pStyle w:val="null3"/>
            </w:pPr>
            <w:r>
              <w:rPr>
                <w:rFonts w:ascii="仿宋_GB2312" w:hAnsi="仿宋_GB2312" w:cs="仿宋_GB2312" w:eastAsia="仿宋_GB2312"/>
              </w:rPr>
              <w:t>供应商资格证明材料 分项报价表 商务应答表 标的清单 服务内容及服务要求应答表 报价表 响应函 响应文件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供应商资格证明材料 中小企业声明函 残疾人福利性单位声明函 商务应答表 标的清单 服务内容及服务要求应答表 报价表 响应函 响应文件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供应商资格证明材料 中小企业声明函 残疾人福利性单位声明函 商务应答表 标的清单 服务内容及服务要求应答表 报价表 响应函 响应文件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项目团队 配置</w:t>
            </w:r>
          </w:p>
        </w:tc>
        <w:tc>
          <w:tcPr>
            <w:tcW w:type="dxa" w:w="2492"/>
          </w:tcPr>
          <w:p>
            <w:pPr>
              <w:pStyle w:val="null3"/>
            </w:pPr>
            <w:r>
              <w:rPr>
                <w:rFonts w:ascii="仿宋_GB2312" w:hAnsi="仿宋_GB2312" w:cs="仿宋_GB2312" w:eastAsia="仿宋_GB2312"/>
              </w:rPr>
              <w:t>1、拟派技术负责人具有林业（林草）类专业高级职称得2分,未提供不得分。 2、项目团队其他成员每有一人具有林业（林草）类专业高级及以上职称得2分 ，中级职称得1分， 未提供不得分 ，满分8分。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2021年12月1日以来（以合同时间为准）完成类似项目业绩，每提供一项得2分， 未提供不得分。满分8分。 注：响应文件中提供完整的合同复印件加盖供应商公章。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总体实施方案包括但不限于针对本技术服务各项内容的实际情况编制，技术规范能够严格执行现行的国家及行业规范、规程和强制性条文。包含服务思路、服务内容、服务依据、工作流程等项目需要的内容，有整体结构，切中关键问题。 1、方案非常完善可行性很高满足采购文件需求同时且优于采购人需求的得25分； 2、方案全面、详尽、完整、针对性强得23分； 3、方案全面较详尽、完整较可行，实施较便捷得20分； 4、方案内容基本完整、可行、专业，方案完善可行性基本满足采购人需求的得15分； 5、基于本项目现状、背景及采购人需求，方案内容简单的得10分。 6、方案内容不全面详尽、可行性不佳的得5分； 7、方案不满足需求的得3分； 8、未提供不得分。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w:t>
            </w:r>
          </w:p>
        </w:tc>
      </w:tr>
      <w:tr>
        <w:tc>
          <w:tcPr>
            <w:tcW w:type="dxa" w:w="831"/>
            <w:vMerge/>
          </w:tcPr>
          <w:p/>
        </w:tc>
        <w:tc>
          <w:tcPr>
            <w:tcW w:type="dxa" w:w="1661"/>
          </w:tcPr>
          <w:p>
            <w:pPr>
              <w:pStyle w:val="null3"/>
            </w:pPr>
            <w:r>
              <w:rPr>
                <w:rFonts w:ascii="仿宋_GB2312" w:hAnsi="仿宋_GB2312" w:cs="仿宋_GB2312" w:eastAsia="仿宋_GB2312"/>
              </w:rPr>
              <w:t>服务项目进度控制措施</w:t>
            </w:r>
          </w:p>
        </w:tc>
        <w:tc>
          <w:tcPr>
            <w:tcW w:type="dxa" w:w="2492"/>
          </w:tcPr>
          <w:p>
            <w:pPr>
              <w:pStyle w:val="null3"/>
            </w:pPr>
            <w:r>
              <w:rPr>
                <w:rFonts w:ascii="仿宋_GB2312" w:hAnsi="仿宋_GB2312" w:cs="仿宋_GB2312" w:eastAsia="仿宋_GB2312"/>
              </w:rPr>
              <w:t>1、服务项目进度安排、工作计划及相关措施。明显优于采购需求的得13分， 2、服务项目进度安排、工作计划及相关措施科学、合理得10分； 3、服务项目进度安排、工作计划及相关措施基本满足采购需要的得8分； 4、服务项目进度安排、工作计划及相关措施相关措施较合理、实时性较强得5分； 5、措施简单但不影响项目实施的得3分； 6、未提供不得分。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w:t>
            </w:r>
          </w:p>
        </w:tc>
      </w:tr>
      <w:tr>
        <w:tc>
          <w:tcPr>
            <w:tcW w:type="dxa" w:w="831"/>
            <w:vMerge/>
          </w:tcPr>
          <w:p/>
        </w:tc>
        <w:tc>
          <w:tcPr>
            <w:tcW w:type="dxa" w:w="1661"/>
          </w:tcPr>
          <w:p>
            <w:pPr>
              <w:pStyle w:val="null3"/>
            </w:pPr>
            <w:r>
              <w:rPr>
                <w:rFonts w:ascii="仿宋_GB2312" w:hAnsi="仿宋_GB2312" w:cs="仿宋_GB2312" w:eastAsia="仿宋_GB2312"/>
              </w:rPr>
              <w:t>项目重点难点分析、应对措施及相关的合理化建议</w:t>
            </w:r>
          </w:p>
        </w:tc>
        <w:tc>
          <w:tcPr>
            <w:tcW w:type="dxa" w:w="2492"/>
          </w:tcPr>
          <w:p>
            <w:pPr>
              <w:pStyle w:val="null3"/>
            </w:pPr>
            <w:r>
              <w:rPr>
                <w:rFonts w:ascii="仿宋_GB2312" w:hAnsi="仿宋_GB2312" w:cs="仿宋_GB2312" w:eastAsia="仿宋_GB2312"/>
              </w:rPr>
              <w:t>1、项目重点难点分析、应对措施及相关的合理化建议，内容完整准确，思路清晰，贴合实际情况的得10分； 2、项目重点难点分析、应对措施及相关的合理化建议，内容基本完整准确，思路相对清晰，比较贴合实际情况的得8分； 3、项目重点难点分析、应对措施及相关的合理化建议，内容较详细，思路一般得6分；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1、确保成果报告准确的质量保证措施，保证报告的权威性、真实性、准确性，符合相关行业的标准要求。明显优于相关行业标准的得10分； 2、质量保证措施内容完整详尽，责任制度明确、可行性强得8分； 3、质量保证措施内容无缺漏能满足项目需求的得7分； 4、质量保证措施基本符合项目需求的得5分； 5、质量保证措施不完整但不影响项目实施的得3分； 6、未提供不得分。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1、根据项目管理组织架构、内部分工和职责等情况进行打分。组织架构设置合理、内部分工和职责明确的得6分； 2、组织架构设置合理、内部分工和职责不够明确的得3分； 3、未提供不得分。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供应商提供的服务承诺应说明向采购人提供的各项服务内容、质量标准、保密措施、后续服务承诺。以上4项承诺完整提供的得8分，不能完整提供或未提供不得分。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 分统一按照下列公式计算：磋商报价得分=（磋商基准价/磋商报价）×价格权值×100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