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版本号：HRC-ZBDL-2024-02017-220250117001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职工食堂运营补助项目(二次)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HRC-ZBDL-2024-02017-2</w:t>
      </w:r>
      <w:r>
        <w:br/>
      </w:r>
      <w:r>
        <w:br/>
      </w:r>
      <w:r>
        <w:br/>
      </w:r>
    </w:p>
    <w:p>
      <w:pPr>
        <w:pStyle w:val="null3"/>
        <w:jc w:val="center"/>
        <w:outlineLvl w:val="2"/>
      </w:pPr>
      <w:r>
        <w:rPr>
          <w:rFonts w:ascii="仿宋_GB2312" w:hAnsi="仿宋_GB2312" w:cs="仿宋_GB2312" w:eastAsia="仿宋_GB2312"/>
          <w:sz w:val="28"/>
          <w:b/>
        </w:rPr>
        <w:t>西安市公共卫生中心（西安市应急医疗中心）</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2025年01月21日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西安市公共卫生中心（西安市应急医疗中心）</w:t>
      </w:r>
      <w:r>
        <w:rPr>
          <w:rFonts w:ascii="仿宋_GB2312" w:hAnsi="仿宋_GB2312" w:cs="仿宋_GB2312" w:eastAsia="仿宋_GB2312"/>
        </w:rPr>
        <w:t>委托，拟对</w:t>
      </w:r>
      <w:r>
        <w:rPr>
          <w:rFonts w:ascii="仿宋_GB2312" w:hAnsi="仿宋_GB2312" w:cs="仿宋_GB2312" w:eastAsia="仿宋_GB2312"/>
        </w:rPr>
        <w:t>职工食堂运营补助项目(二次)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HRC-ZBDL-2024-02017-2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职工食堂运营补助项目(二次)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职工食堂运营补助项目，主要保障医院职工正常就餐需求，确保食品的品质和卫生安全，合同履行期限：2025-1-22至2026-1-21（具体服务起止日期可随合同签订时间相应顺延），预算金额300000元（大写人民币：叁拾万元整）。根据医院的特殊性，可能随时接到上级紧急应急事件处理等情况，就餐区域和就餐人数随时增加或减少，日常就餐人数约30—80人不等，食堂工作人员根据院方实际情况可增加或减少，以满足日常工作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采购包1（职工食堂运营补助项目）：属于专门面向中小企业采购。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1、营业执照等主体资格证明文件：合法注册的法人应提供营业执照（或事业法人证）、组织机构代码证、税务登记证或统一社会信用代码的营业执照或其他组织应提供合法证明文件或自然人提供身份证件。</w:t>
      </w:r>
    </w:p>
    <w:p>
      <w:pPr>
        <w:pStyle w:val="null3"/>
      </w:pPr>
      <w:r>
        <w:rPr>
          <w:rFonts w:ascii="仿宋_GB2312" w:hAnsi="仿宋_GB2312" w:cs="仿宋_GB2312" w:eastAsia="仿宋_GB2312"/>
        </w:rPr>
        <w:t>2、基本资格条件承诺函：根据《陕西省财政厅关于进一步优化政府采购营商环境有关事项的通知》（陕财办采〔2023〕4号）文件要求，本项目对《中华人民共和国政府采购法实施条例》第十七条第一款第（二）项、第（三）项、第（四）项要求提供的有关材料进行简化。供应商参与本项目只需以书面形式提供规定格式的《基本资格条件承诺函》。供应商应对承诺内容的真实性、合法性、有效性负责。经调查核实为虚假承诺的，视同为“提供虚假材料谋取中标、成交”的违法行为，依照《中华人民共和国政府采购法》等法律法规追究相应责任。 不提供《基本资格条件承诺函》的供应商需提交如下资格证明文件： ①2022年或2023年经审计的财务报告或在响应文件递交截止时间前六个月内其基本开户银行出具的资信证明或信用担保机构出具的投标担保函（以上三种形式的资料提供任何一种即可）； ②提供采购活动前6月内依法纳税和缴纳社保的证明（至少提供一个月的纳税和缴纳社保的证明）,依法不需要缴纳社保及依法免税的供应商则需提供相应的合法证明材料； ③ 提供具有履行合同所必需的设备和专业技术能力的承诺；（格式自拟） ④参加政府采购活动前 3 年内，在经营活动中没有重大违法记录的书面声明（格式自拟）。</w:t>
      </w:r>
    </w:p>
    <w:p>
      <w:pPr>
        <w:pStyle w:val="null3"/>
      </w:pPr>
      <w:r>
        <w:rPr>
          <w:rFonts w:ascii="仿宋_GB2312" w:hAnsi="仿宋_GB2312" w:cs="仿宋_GB2312" w:eastAsia="仿宋_GB2312"/>
        </w:rPr>
        <w:t>3、授权委托书：法定代表人授权书及被授权人身份证明（附法定代表人身份证复印件）（法定代表人直接磋商只需提交其身份证明）。</w:t>
      </w:r>
    </w:p>
    <w:p>
      <w:pPr>
        <w:pStyle w:val="null3"/>
      </w:pPr>
      <w:r>
        <w:rPr>
          <w:rFonts w:ascii="仿宋_GB2312" w:hAnsi="仿宋_GB2312" w:cs="仿宋_GB2312" w:eastAsia="仿宋_GB2312"/>
        </w:rPr>
        <w:t>4、信用查询：供应商不得为“信用中国”网站（www.creditchina.gov.cn）中列入“失信被执行人”（中国执行信息公开网http://zxgk.court.gov.cn/shixin）和“重大税收违法失信主体”，不得为中国政府采购网（www.ccgp.gov.cn）政府采购“严重违法失信行为信息记录”中被财政部门禁止参加政府采购活动的供应商。 （信用记录由采购代理机构在响应文件资格审查阶段通过互联网或者相关系统查询，供应商可不提供。对信用查询结果不符合的供应商，采购人和采购代理机构将拒绝其参与政府采购活动，查询结果以纸质方式留存）</w:t>
      </w:r>
    </w:p>
    <w:p>
      <w:pPr>
        <w:pStyle w:val="null3"/>
      </w:pPr>
      <w:r>
        <w:rPr>
          <w:rFonts w:ascii="仿宋_GB2312" w:hAnsi="仿宋_GB2312" w:cs="仿宋_GB2312" w:eastAsia="仿宋_GB2312"/>
        </w:rPr>
        <w:t>5、非联合体投标：供应商提供《非联合体、不分包投标声明》，供应商应提交的相关资格证明材料视为独立响应，不分包；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西安市公共卫生中心（西安市应急医疗中心）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西安市高陵区渭阳大道5588号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029-86088979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18681802917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张宏生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中标（成交）供应商的中标（成交）金额为基数，按照《国家计委关于印发〈采购代理服务收费管理暂行办法〉的通知》（计价格〔2002〕1980号）规定，招标金额100万元以下项目（含100万元）按标准收取，招标金额100万元以上项目按照标准下浮20%收取，由中标（成交）供应商向受托方支付。（代理服务费不足6000元按6000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西安市公共卫生中心（西安市应急医疗中心）</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西安市公共卫生中心（西安市应急医疗中心）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西安市公共卫生中心（西安市应急医疗中心）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联系人：王琛</w:t>
      </w:r>
    </w:p>
    <w:p>
      <w:pPr>
        <w:pStyle w:val="null3"/>
      </w:pPr>
      <w:r>
        <w:rPr>
          <w:rFonts w:ascii="仿宋_GB2312" w:hAnsi="仿宋_GB2312" w:cs="仿宋_GB2312" w:eastAsia="仿宋_GB2312"/>
        </w:rPr>
        <w:t>联系电话：18681802917</w:t>
      </w:r>
    </w:p>
    <w:p>
      <w:pPr>
        <w:pStyle w:val="null3"/>
      </w:pPr>
      <w:r>
        <w:rPr>
          <w:rFonts w:ascii="仿宋_GB2312" w:hAnsi="仿宋_GB2312" w:cs="仿宋_GB2312" w:eastAsia="仿宋_GB2312"/>
        </w:rPr>
        <w:t>地址：陕西省西安市雁塔区曲江新区雁翔路3269号旺座曲江E座29层2901号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职工食堂运营补助项目，主要保障医院职工正常就餐需求，确保食品的品质和卫生安全，合同履行期限：2025-1-22至2026-1-21（具体服务起止日期可随合同签订时间相应顺延），预算金额300000元（大写人民币：叁拾万元整）。根据医院的特殊性，可能随时接到上级紧急应急事件处理等情况，就餐区域和就餐人数随时增加或减少，日常就餐人数约30—80人不等，食堂工作人员根据院方实际情况可增加或减少，以满足日常工作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职工食堂运营补助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标的名称：职工食堂运营补助</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pPr>
              <w:pStyle w:val="null3"/>
            </w:pPr>
            <w:r>
              <w:rPr>
                <w:rFonts w:ascii="仿宋_GB2312" w:hAnsi="仿宋_GB2312" w:cs="仿宋_GB2312" w:eastAsia="仿宋_GB2312"/>
              </w:rPr>
              <w:t>★</w:t>
            </w: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jc w:val="both"/>
            </w:pPr>
            <w:r>
              <w:rPr>
                <w:rFonts w:ascii="仿宋_GB2312" w:hAnsi="仿宋_GB2312" w:cs="仿宋_GB2312" w:eastAsia="仿宋_GB2312"/>
                <w:b/>
              </w:rPr>
              <w:t>一</w:t>
            </w:r>
            <w:r>
              <w:rPr>
                <w:rFonts w:ascii="仿宋_GB2312" w:hAnsi="仿宋_GB2312" w:cs="仿宋_GB2312" w:eastAsia="仿宋_GB2312"/>
                <w:b/>
              </w:rPr>
              <w:t>、</w:t>
            </w:r>
            <w:r>
              <w:rPr>
                <w:rFonts w:ascii="仿宋_GB2312" w:hAnsi="仿宋_GB2312" w:cs="仿宋_GB2312" w:eastAsia="仿宋_GB2312"/>
                <w:b/>
              </w:rPr>
              <w:t>服务内容</w:t>
            </w:r>
          </w:p>
          <w:p>
            <w:pPr>
              <w:pStyle w:val="null3"/>
              <w:ind w:firstLine="400"/>
              <w:jc w:val="both"/>
            </w:pPr>
            <w:r>
              <w:rPr>
                <w:rFonts w:ascii="仿宋_GB2312" w:hAnsi="仿宋_GB2312" w:cs="仿宋_GB2312" w:eastAsia="仿宋_GB2312"/>
              </w:rPr>
              <w:t>1</w:t>
            </w:r>
            <w:r>
              <w:rPr>
                <w:rFonts w:ascii="仿宋_GB2312" w:hAnsi="仿宋_GB2312" w:cs="仿宋_GB2312" w:eastAsia="仿宋_GB2312"/>
              </w:rPr>
              <w:t>、主要保障医院职工正常就餐需求，确保食品的品质和卫生安全，就餐标准每人每天</w:t>
            </w:r>
            <w:r>
              <w:rPr>
                <w:rFonts w:ascii="仿宋_GB2312" w:hAnsi="仿宋_GB2312" w:cs="仿宋_GB2312" w:eastAsia="仿宋_GB2312"/>
              </w:rPr>
              <w:t>30</w:t>
            </w:r>
            <w:r>
              <w:rPr>
                <w:rFonts w:ascii="仿宋_GB2312" w:hAnsi="仿宋_GB2312" w:cs="仿宋_GB2312" w:eastAsia="仿宋_GB2312"/>
              </w:rPr>
              <w:t>元。单位补贴</w:t>
            </w:r>
            <w:r>
              <w:rPr>
                <w:rFonts w:ascii="仿宋_GB2312" w:hAnsi="仿宋_GB2312" w:cs="仿宋_GB2312" w:eastAsia="仿宋_GB2312"/>
              </w:rPr>
              <w:t>23</w:t>
            </w:r>
            <w:r>
              <w:rPr>
                <w:rFonts w:ascii="仿宋_GB2312" w:hAnsi="仿宋_GB2312" w:cs="仿宋_GB2312" w:eastAsia="仿宋_GB2312"/>
              </w:rPr>
              <w:t>元</w:t>
            </w:r>
            <w:r>
              <w:rPr>
                <w:rFonts w:ascii="仿宋_GB2312" w:hAnsi="仿宋_GB2312" w:cs="仿宋_GB2312" w:eastAsia="仿宋_GB2312"/>
              </w:rPr>
              <w:t>/</w:t>
            </w:r>
            <w:r>
              <w:rPr>
                <w:rFonts w:ascii="仿宋_GB2312" w:hAnsi="仿宋_GB2312" w:cs="仿宋_GB2312" w:eastAsia="仿宋_GB2312"/>
              </w:rPr>
              <w:t>日（早餐</w:t>
            </w:r>
            <w:r>
              <w:rPr>
                <w:rFonts w:ascii="仿宋_GB2312" w:hAnsi="仿宋_GB2312" w:cs="仿宋_GB2312" w:eastAsia="仿宋_GB2312"/>
              </w:rPr>
              <w:t>3</w:t>
            </w:r>
            <w:r>
              <w:rPr>
                <w:rFonts w:ascii="仿宋_GB2312" w:hAnsi="仿宋_GB2312" w:cs="仿宋_GB2312" w:eastAsia="仿宋_GB2312"/>
              </w:rPr>
              <w:t>元</w:t>
            </w:r>
            <w:r>
              <w:rPr>
                <w:rFonts w:ascii="仿宋_GB2312" w:hAnsi="仿宋_GB2312" w:cs="仿宋_GB2312" w:eastAsia="仿宋_GB2312"/>
              </w:rPr>
              <w:t>/</w:t>
            </w:r>
            <w:r>
              <w:rPr>
                <w:rFonts w:ascii="仿宋_GB2312" w:hAnsi="仿宋_GB2312" w:cs="仿宋_GB2312" w:eastAsia="仿宋_GB2312"/>
              </w:rPr>
              <w:t>日，午餐</w:t>
            </w:r>
            <w:r>
              <w:rPr>
                <w:rFonts w:ascii="仿宋_GB2312" w:hAnsi="仿宋_GB2312" w:cs="仿宋_GB2312" w:eastAsia="仿宋_GB2312"/>
              </w:rPr>
              <w:t>20</w:t>
            </w:r>
            <w:r>
              <w:rPr>
                <w:rFonts w:ascii="仿宋_GB2312" w:hAnsi="仿宋_GB2312" w:cs="仿宋_GB2312" w:eastAsia="仿宋_GB2312"/>
              </w:rPr>
              <w:t>元</w:t>
            </w:r>
            <w:r>
              <w:rPr>
                <w:rFonts w:ascii="仿宋_GB2312" w:hAnsi="仿宋_GB2312" w:cs="仿宋_GB2312" w:eastAsia="仿宋_GB2312"/>
              </w:rPr>
              <w:t>/</w:t>
            </w:r>
            <w:r>
              <w:rPr>
                <w:rFonts w:ascii="仿宋_GB2312" w:hAnsi="仿宋_GB2312" w:cs="仿宋_GB2312" w:eastAsia="仿宋_GB2312"/>
              </w:rPr>
              <w:t>日），个人支付</w:t>
            </w:r>
            <w:r>
              <w:rPr>
                <w:rFonts w:ascii="仿宋_GB2312" w:hAnsi="仿宋_GB2312" w:cs="仿宋_GB2312" w:eastAsia="仿宋_GB2312"/>
              </w:rPr>
              <w:t>7</w:t>
            </w:r>
            <w:r>
              <w:rPr>
                <w:rFonts w:ascii="仿宋_GB2312" w:hAnsi="仿宋_GB2312" w:cs="仿宋_GB2312" w:eastAsia="仿宋_GB2312"/>
              </w:rPr>
              <w:t>元</w:t>
            </w:r>
            <w:r>
              <w:rPr>
                <w:rFonts w:ascii="仿宋_GB2312" w:hAnsi="仿宋_GB2312" w:cs="仿宋_GB2312" w:eastAsia="仿宋_GB2312"/>
              </w:rPr>
              <w:t>/</w:t>
            </w:r>
            <w:r>
              <w:rPr>
                <w:rFonts w:ascii="仿宋_GB2312" w:hAnsi="仿宋_GB2312" w:cs="仿宋_GB2312" w:eastAsia="仿宋_GB2312"/>
              </w:rPr>
              <w:t>日（早餐</w:t>
            </w:r>
            <w:r>
              <w:rPr>
                <w:rFonts w:ascii="仿宋_GB2312" w:hAnsi="仿宋_GB2312" w:cs="仿宋_GB2312" w:eastAsia="仿宋_GB2312"/>
              </w:rPr>
              <w:t>2</w:t>
            </w:r>
            <w:r>
              <w:rPr>
                <w:rFonts w:ascii="仿宋_GB2312" w:hAnsi="仿宋_GB2312" w:cs="仿宋_GB2312" w:eastAsia="仿宋_GB2312"/>
              </w:rPr>
              <w:t>元</w:t>
            </w:r>
            <w:r>
              <w:rPr>
                <w:rFonts w:ascii="仿宋_GB2312" w:hAnsi="仿宋_GB2312" w:cs="仿宋_GB2312" w:eastAsia="仿宋_GB2312"/>
              </w:rPr>
              <w:t>/</w:t>
            </w:r>
            <w:r>
              <w:rPr>
                <w:rFonts w:ascii="仿宋_GB2312" w:hAnsi="仿宋_GB2312" w:cs="仿宋_GB2312" w:eastAsia="仿宋_GB2312"/>
              </w:rPr>
              <w:t>日，晚餐</w:t>
            </w:r>
            <w:r>
              <w:rPr>
                <w:rFonts w:ascii="仿宋_GB2312" w:hAnsi="仿宋_GB2312" w:cs="仿宋_GB2312" w:eastAsia="仿宋_GB2312"/>
              </w:rPr>
              <w:t>5</w:t>
            </w:r>
            <w:r>
              <w:rPr>
                <w:rFonts w:ascii="仿宋_GB2312" w:hAnsi="仿宋_GB2312" w:cs="仿宋_GB2312" w:eastAsia="仿宋_GB2312"/>
              </w:rPr>
              <w:t>元</w:t>
            </w:r>
            <w:r>
              <w:rPr>
                <w:rFonts w:ascii="仿宋_GB2312" w:hAnsi="仿宋_GB2312" w:cs="仿宋_GB2312" w:eastAsia="仿宋_GB2312"/>
              </w:rPr>
              <w:t>/</w:t>
            </w:r>
            <w:r>
              <w:rPr>
                <w:rFonts w:ascii="仿宋_GB2312" w:hAnsi="仿宋_GB2312" w:cs="仿宋_GB2312" w:eastAsia="仿宋_GB2312"/>
              </w:rPr>
              <w:t>日），采取自助就餐模式，每月按就餐人数据实结算餐费。甲方主要提供就餐场地、水、电费用，现有就餐设备的使用（设备不够需自行购买）；乙方负责食材采购（米、面、油及肉类食品进货必须有合格证明）加工、设备维修保养的费用、天然气使用费、工作人员燃气安全培训及天然气公司工作接洽等。</w:t>
            </w:r>
          </w:p>
          <w:p>
            <w:pPr>
              <w:pStyle w:val="null3"/>
              <w:jc w:val="both"/>
            </w:pPr>
            <w:r>
              <w:rPr>
                <w:rFonts w:ascii="仿宋_GB2312" w:hAnsi="仿宋_GB2312" w:cs="仿宋_GB2312" w:eastAsia="仿宋_GB2312"/>
              </w:rPr>
              <w:t>2</w:t>
            </w:r>
            <w:r>
              <w:rPr>
                <w:rFonts w:ascii="仿宋_GB2312" w:hAnsi="仿宋_GB2312" w:cs="仿宋_GB2312" w:eastAsia="仿宋_GB2312"/>
              </w:rPr>
              <w:t>、开餐时间：早餐：</w:t>
            </w:r>
            <w:r>
              <w:rPr>
                <w:rFonts w:ascii="仿宋_GB2312" w:hAnsi="仿宋_GB2312" w:cs="仿宋_GB2312" w:eastAsia="仿宋_GB2312"/>
              </w:rPr>
              <w:t>07</w:t>
            </w:r>
            <w:r>
              <w:rPr>
                <w:rFonts w:ascii="仿宋_GB2312" w:hAnsi="仿宋_GB2312" w:cs="仿宋_GB2312" w:eastAsia="仿宋_GB2312"/>
              </w:rPr>
              <w:t>：</w:t>
            </w:r>
            <w:r>
              <w:rPr>
                <w:rFonts w:ascii="仿宋_GB2312" w:hAnsi="仿宋_GB2312" w:cs="仿宋_GB2312" w:eastAsia="仿宋_GB2312"/>
              </w:rPr>
              <w:t>00</w:t>
            </w:r>
            <w:r>
              <w:rPr>
                <w:rFonts w:ascii="仿宋_GB2312" w:hAnsi="仿宋_GB2312" w:cs="仿宋_GB2312" w:eastAsia="仿宋_GB2312"/>
              </w:rPr>
              <w:t>——</w:t>
            </w:r>
            <w:r>
              <w:rPr>
                <w:rFonts w:ascii="仿宋_GB2312" w:hAnsi="仿宋_GB2312" w:cs="仿宋_GB2312" w:eastAsia="仿宋_GB2312"/>
              </w:rPr>
              <w:t>09</w:t>
            </w:r>
            <w:r>
              <w:rPr>
                <w:rFonts w:ascii="仿宋_GB2312" w:hAnsi="仿宋_GB2312" w:cs="仿宋_GB2312" w:eastAsia="仿宋_GB2312"/>
              </w:rPr>
              <w:t>:</w:t>
            </w:r>
            <w:r>
              <w:rPr>
                <w:rFonts w:ascii="仿宋_GB2312" w:hAnsi="仿宋_GB2312" w:cs="仿宋_GB2312" w:eastAsia="仿宋_GB2312"/>
              </w:rPr>
              <w:t>00</w:t>
            </w:r>
          </w:p>
          <w:p>
            <w:pPr>
              <w:pStyle w:val="null3"/>
              <w:jc w:val="both"/>
            </w:pPr>
            <w:r>
              <w:rPr>
                <w:rFonts w:ascii="仿宋_GB2312" w:hAnsi="仿宋_GB2312" w:cs="仿宋_GB2312" w:eastAsia="仿宋_GB2312"/>
              </w:rPr>
              <w:t>中餐：</w:t>
            </w:r>
            <w:r>
              <w:rPr>
                <w:rFonts w:ascii="仿宋_GB2312" w:hAnsi="仿宋_GB2312" w:cs="仿宋_GB2312" w:eastAsia="仿宋_GB2312"/>
              </w:rPr>
              <w:t>11</w:t>
            </w:r>
            <w:r>
              <w:rPr>
                <w:rFonts w:ascii="仿宋_GB2312" w:hAnsi="仿宋_GB2312" w:cs="仿宋_GB2312" w:eastAsia="仿宋_GB2312"/>
              </w:rPr>
              <w:t>:</w:t>
            </w:r>
            <w:r>
              <w:rPr>
                <w:rFonts w:ascii="仿宋_GB2312" w:hAnsi="仿宋_GB2312" w:cs="仿宋_GB2312" w:eastAsia="仿宋_GB2312"/>
              </w:rPr>
              <w:t>30</w:t>
            </w:r>
            <w:r>
              <w:rPr>
                <w:rFonts w:ascii="仿宋_GB2312" w:hAnsi="仿宋_GB2312" w:cs="仿宋_GB2312" w:eastAsia="仿宋_GB2312"/>
              </w:rPr>
              <w:t>——</w:t>
            </w:r>
            <w:r>
              <w:rPr>
                <w:rFonts w:ascii="仿宋_GB2312" w:hAnsi="仿宋_GB2312" w:cs="仿宋_GB2312" w:eastAsia="仿宋_GB2312"/>
              </w:rPr>
              <w:t>12</w:t>
            </w:r>
            <w:r>
              <w:rPr>
                <w:rFonts w:ascii="仿宋_GB2312" w:hAnsi="仿宋_GB2312" w:cs="仿宋_GB2312" w:eastAsia="仿宋_GB2312"/>
              </w:rPr>
              <w:t>:</w:t>
            </w:r>
            <w:r>
              <w:rPr>
                <w:rFonts w:ascii="仿宋_GB2312" w:hAnsi="仿宋_GB2312" w:cs="仿宋_GB2312" w:eastAsia="仿宋_GB2312"/>
              </w:rPr>
              <w:t>30</w:t>
            </w:r>
          </w:p>
          <w:p>
            <w:pPr>
              <w:pStyle w:val="null3"/>
              <w:jc w:val="both"/>
            </w:pPr>
            <w:r>
              <w:rPr>
                <w:rFonts w:ascii="仿宋_GB2312" w:hAnsi="仿宋_GB2312" w:cs="仿宋_GB2312" w:eastAsia="仿宋_GB2312"/>
              </w:rPr>
              <w:t>晚餐：</w:t>
            </w:r>
            <w:r>
              <w:rPr>
                <w:rFonts w:ascii="仿宋_GB2312" w:hAnsi="仿宋_GB2312" w:cs="仿宋_GB2312" w:eastAsia="仿宋_GB2312"/>
              </w:rPr>
              <w:t>17</w:t>
            </w:r>
            <w:r>
              <w:rPr>
                <w:rFonts w:ascii="仿宋_GB2312" w:hAnsi="仿宋_GB2312" w:cs="仿宋_GB2312" w:eastAsia="仿宋_GB2312"/>
              </w:rPr>
              <w:t>:</w:t>
            </w:r>
            <w:r>
              <w:rPr>
                <w:rFonts w:ascii="仿宋_GB2312" w:hAnsi="仿宋_GB2312" w:cs="仿宋_GB2312" w:eastAsia="仿宋_GB2312"/>
              </w:rPr>
              <w:t>00</w:t>
            </w:r>
            <w:r>
              <w:rPr>
                <w:rFonts w:ascii="仿宋_GB2312" w:hAnsi="仿宋_GB2312" w:cs="仿宋_GB2312" w:eastAsia="仿宋_GB2312"/>
              </w:rPr>
              <w:t>——</w:t>
            </w:r>
            <w:r>
              <w:rPr>
                <w:rFonts w:ascii="仿宋_GB2312" w:hAnsi="仿宋_GB2312" w:cs="仿宋_GB2312" w:eastAsia="仿宋_GB2312"/>
              </w:rPr>
              <w:t>18</w:t>
            </w:r>
            <w:r>
              <w:rPr>
                <w:rFonts w:ascii="仿宋_GB2312" w:hAnsi="仿宋_GB2312" w:cs="仿宋_GB2312" w:eastAsia="仿宋_GB2312"/>
              </w:rPr>
              <w:t>:</w:t>
            </w:r>
            <w:r>
              <w:rPr>
                <w:rFonts w:ascii="仿宋_GB2312" w:hAnsi="仿宋_GB2312" w:cs="仿宋_GB2312" w:eastAsia="仿宋_GB2312"/>
              </w:rPr>
              <w:t>00</w:t>
            </w:r>
          </w:p>
          <w:p>
            <w:pPr>
              <w:pStyle w:val="null3"/>
              <w:jc w:val="both"/>
            </w:pPr>
            <w:r>
              <w:rPr>
                <w:rFonts w:ascii="仿宋_GB2312" w:hAnsi="仿宋_GB2312" w:cs="仿宋_GB2312" w:eastAsia="仿宋_GB2312"/>
              </w:rPr>
              <w:t>早餐：早餐菜三款、粥一款、面食二款（馒头、饼等必须自制，不得外购）、小吃一款、咸菜一款、杂粮一款、豆浆、鸡蛋。</w:t>
            </w:r>
          </w:p>
          <w:p>
            <w:pPr>
              <w:pStyle w:val="null3"/>
              <w:jc w:val="both"/>
            </w:pPr>
            <w:r>
              <w:rPr>
                <w:rFonts w:ascii="仿宋_GB2312" w:hAnsi="仿宋_GB2312" w:cs="仿宋_GB2312" w:eastAsia="仿宋_GB2312"/>
              </w:rPr>
              <w:t>中餐：主菜（纯肉）一款、荤菜一款、素菜一款、汤一款，米饭一款、面食一款、时令水果一款。</w:t>
            </w:r>
          </w:p>
          <w:p>
            <w:pPr>
              <w:pStyle w:val="null3"/>
              <w:jc w:val="both"/>
            </w:pPr>
            <w:r>
              <w:rPr>
                <w:rFonts w:ascii="仿宋_GB2312" w:hAnsi="仿宋_GB2312" w:cs="仿宋_GB2312" w:eastAsia="仿宋_GB2312"/>
              </w:rPr>
              <w:t>晚餐：荤菜一款、素菜一款、咸菜一款、炒米饭一款、特色小吃一款、面食一款、稀饭一款。</w:t>
            </w:r>
          </w:p>
          <w:p>
            <w:pPr>
              <w:pStyle w:val="null3"/>
              <w:jc w:val="both"/>
            </w:pPr>
            <w:r>
              <w:rPr>
                <w:rFonts w:ascii="仿宋_GB2312" w:hAnsi="仿宋_GB2312" w:cs="仿宋_GB2312" w:eastAsia="仿宋_GB2312"/>
              </w:rPr>
              <w:t>每日早、中、晚三餐需按照以上要求安排饭菜，每天主菜、面食不得重样。按照季节不同，提供适宜的食品，冬天菜肴保暖，夏天提供清凉食品。</w:t>
            </w:r>
          </w:p>
          <w:p>
            <w:pPr>
              <w:pStyle w:val="null3"/>
              <w:jc w:val="both"/>
            </w:pPr>
            <w:r>
              <w:rPr>
                <w:rFonts w:ascii="仿宋_GB2312" w:hAnsi="仿宋_GB2312" w:cs="仿宋_GB2312" w:eastAsia="仿宋_GB2312"/>
                <w:b/>
              </w:rPr>
              <w:t>二、</w:t>
            </w:r>
            <w:r>
              <w:rPr>
                <w:rFonts w:ascii="仿宋_GB2312" w:hAnsi="仿宋_GB2312" w:cs="仿宋_GB2312" w:eastAsia="仿宋_GB2312"/>
                <w:b/>
              </w:rPr>
              <w:t>技术要求</w:t>
            </w:r>
          </w:p>
          <w:p>
            <w:pPr>
              <w:pStyle w:val="null3"/>
              <w:jc w:val="both"/>
            </w:pPr>
            <w:r>
              <w:rPr>
                <w:rFonts w:ascii="仿宋_GB2312" w:hAnsi="仿宋_GB2312" w:cs="仿宋_GB2312" w:eastAsia="仿宋_GB2312"/>
              </w:rPr>
              <w:t>1</w:t>
            </w:r>
            <w:r>
              <w:rPr>
                <w:rFonts w:ascii="仿宋_GB2312" w:hAnsi="仿宋_GB2312" w:cs="仿宋_GB2312" w:eastAsia="仿宋_GB2312"/>
              </w:rPr>
              <w:t>、保证准时、保质、保量地提供膳食服务；</w:t>
            </w:r>
          </w:p>
          <w:p>
            <w:pPr>
              <w:pStyle w:val="null3"/>
              <w:jc w:val="both"/>
            </w:pPr>
            <w:r>
              <w:rPr>
                <w:rFonts w:ascii="仿宋_GB2312" w:hAnsi="仿宋_GB2312" w:cs="仿宋_GB2312" w:eastAsia="仿宋_GB2312"/>
              </w:rPr>
              <w:t>2</w:t>
            </w:r>
            <w:r>
              <w:rPr>
                <w:rFonts w:ascii="仿宋_GB2312" w:hAnsi="仿宋_GB2312" w:cs="仿宋_GB2312" w:eastAsia="仿宋_GB2312"/>
              </w:rPr>
              <w:t>、保证微笑服务，满足就餐人员的各种合理要求；</w:t>
            </w:r>
          </w:p>
          <w:p>
            <w:pPr>
              <w:pStyle w:val="null3"/>
              <w:jc w:val="both"/>
            </w:pPr>
            <w:r>
              <w:rPr>
                <w:rFonts w:ascii="仿宋_GB2312" w:hAnsi="仿宋_GB2312" w:cs="仿宋_GB2312" w:eastAsia="仿宋_GB2312"/>
              </w:rPr>
              <w:t>3</w:t>
            </w:r>
            <w:r>
              <w:rPr>
                <w:rFonts w:ascii="仿宋_GB2312" w:hAnsi="仿宋_GB2312" w:cs="仿宋_GB2312" w:eastAsia="仿宋_GB2312"/>
              </w:rPr>
              <w:t>、严格加工过程中的卫生标准，保证食品卫生符合我国《食品卫生法</w:t>
            </w:r>
            <w:r>
              <w:rPr>
                <w:rFonts w:ascii="仿宋_GB2312" w:hAnsi="仿宋_GB2312" w:cs="仿宋_GB2312" w:eastAsia="仿宋_GB2312"/>
              </w:rPr>
              <w:t>》《中华人民共和国食品安全法</w:t>
            </w:r>
            <w:r>
              <w:rPr>
                <w:rFonts w:ascii="仿宋_GB2312" w:hAnsi="仿宋_GB2312" w:cs="仿宋_GB2312" w:eastAsia="仿宋_GB2312"/>
              </w:rPr>
              <w:t>》的要求；</w:t>
            </w:r>
          </w:p>
          <w:p>
            <w:pPr>
              <w:pStyle w:val="null3"/>
              <w:jc w:val="both"/>
            </w:pPr>
            <w:r>
              <w:rPr>
                <w:rFonts w:ascii="仿宋_GB2312" w:hAnsi="仿宋_GB2312" w:cs="仿宋_GB2312" w:eastAsia="仿宋_GB2312"/>
              </w:rPr>
              <w:t>4</w:t>
            </w:r>
            <w:r>
              <w:rPr>
                <w:rFonts w:ascii="仿宋_GB2312" w:hAnsi="仿宋_GB2312" w:cs="仿宋_GB2312" w:eastAsia="仿宋_GB2312"/>
              </w:rPr>
              <w:t>、无条件接受就餐人员和院方对食品卫生、质量及服务等各方面的监督；</w:t>
            </w:r>
          </w:p>
          <w:p>
            <w:pPr>
              <w:pStyle w:val="null3"/>
              <w:jc w:val="both"/>
            </w:pPr>
            <w:r>
              <w:rPr>
                <w:rFonts w:ascii="仿宋_GB2312" w:hAnsi="仿宋_GB2312" w:cs="仿宋_GB2312" w:eastAsia="仿宋_GB2312"/>
              </w:rPr>
              <w:t>5</w:t>
            </w:r>
            <w:r>
              <w:rPr>
                <w:rFonts w:ascii="仿宋_GB2312" w:hAnsi="仿宋_GB2312" w:cs="仿宋_GB2312" w:eastAsia="仿宋_GB2312"/>
              </w:rPr>
              <w:t>、接受就餐人员善意、合理的建议和意见，不断提高服务水平；</w:t>
            </w:r>
          </w:p>
          <w:p>
            <w:pPr>
              <w:pStyle w:val="null3"/>
              <w:jc w:val="both"/>
            </w:pPr>
            <w:r>
              <w:rPr>
                <w:rFonts w:ascii="仿宋_GB2312" w:hAnsi="仿宋_GB2312" w:cs="仿宋_GB2312" w:eastAsia="仿宋_GB2312"/>
              </w:rPr>
              <w:t>6</w:t>
            </w:r>
            <w:r>
              <w:rPr>
                <w:rFonts w:ascii="仿宋_GB2312" w:hAnsi="仿宋_GB2312" w:cs="仿宋_GB2312" w:eastAsia="仿宋_GB2312"/>
              </w:rPr>
              <w:t>、对于合理的投诉，能够当场处理的做到当场处理的，用于投诉处理的时间不多于两个工作日。</w:t>
            </w:r>
          </w:p>
          <w:p>
            <w:pPr>
              <w:pStyle w:val="null3"/>
              <w:jc w:val="both"/>
            </w:pPr>
            <w:r>
              <w:rPr>
                <w:rFonts w:ascii="仿宋_GB2312" w:hAnsi="仿宋_GB2312" w:cs="仿宋_GB2312" w:eastAsia="仿宋_GB2312"/>
                <w:b/>
              </w:rPr>
              <w:t>三</w:t>
            </w:r>
            <w:r>
              <w:rPr>
                <w:rFonts w:ascii="仿宋_GB2312" w:hAnsi="仿宋_GB2312" w:cs="仿宋_GB2312" w:eastAsia="仿宋_GB2312"/>
                <w:b/>
              </w:rPr>
              <w:t>、服务要求</w:t>
            </w:r>
          </w:p>
          <w:p>
            <w:pPr>
              <w:pStyle w:val="null3"/>
              <w:jc w:val="both"/>
            </w:pPr>
            <w:r>
              <w:rPr>
                <w:rFonts w:ascii="仿宋_GB2312" w:hAnsi="仿宋_GB2312" w:cs="仿宋_GB2312" w:eastAsia="仿宋_GB2312"/>
              </w:rPr>
              <w:t>1</w:t>
            </w:r>
            <w:r>
              <w:rPr>
                <w:rFonts w:ascii="仿宋_GB2312" w:hAnsi="仿宋_GB2312" w:cs="仿宋_GB2312" w:eastAsia="仿宋_GB2312"/>
              </w:rPr>
              <w:t>、食堂工作人员根据院方就餐人数的增减合理安排人员，满足日常工作需求，所有人员需持有健康证。</w:t>
            </w:r>
          </w:p>
          <w:p>
            <w:pPr>
              <w:pStyle w:val="null3"/>
              <w:jc w:val="both"/>
            </w:pPr>
            <w:r>
              <w:rPr>
                <w:rFonts w:ascii="仿宋_GB2312" w:hAnsi="仿宋_GB2312" w:cs="仿宋_GB2312" w:eastAsia="仿宋_GB2312"/>
              </w:rPr>
              <w:t>2</w:t>
            </w:r>
            <w:r>
              <w:rPr>
                <w:rFonts w:ascii="仿宋_GB2312" w:hAnsi="仿宋_GB2312" w:cs="仿宋_GB2312" w:eastAsia="仿宋_GB2312"/>
              </w:rPr>
              <w:t>、每餐前后必须对餐桌、餐厅进行清洁，保持用餐环境整洁无污迹，无油渍。每天定期对餐厅进行消毒。</w:t>
            </w:r>
          </w:p>
          <w:p>
            <w:pPr>
              <w:pStyle w:val="null3"/>
              <w:jc w:val="both"/>
            </w:pPr>
            <w:r>
              <w:rPr>
                <w:rFonts w:ascii="仿宋_GB2312" w:hAnsi="仿宋_GB2312" w:cs="仿宋_GB2312" w:eastAsia="仿宋_GB2312"/>
              </w:rPr>
              <w:t>3</w:t>
            </w:r>
            <w:r>
              <w:rPr>
                <w:rFonts w:ascii="仿宋_GB2312" w:hAnsi="仿宋_GB2312" w:cs="仿宋_GB2312" w:eastAsia="仿宋_GB2312"/>
              </w:rPr>
              <w:t>、保持餐厅各设施设备运行正常。</w:t>
            </w:r>
          </w:p>
          <w:p>
            <w:pPr>
              <w:pStyle w:val="null3"/>
              <w:jc w:val="both"/>
            </w:pPr>
            <w:r>
              <w:rPr>
                <w:rFonts w:ascii="仿宋_GB2312" w:hAnsi="仿宋_GB2312" w:cs="仿宋_GB2312" w:eastAsia="仿宋_GB2312"/>
              </w:rPr>
              <w:t>4</w:t>
            </w:r>
            <w:r>
              <w:rPr>
                <w:rFonts w:ascii="仿宋_GB2312" w:hAnsi="仿宋_GB2312" w:cs="仿宋_GB2312" w:eastAsia="仿宋_GB2312"/>
              </w:rPr>
              <w:t>、食品储存符合国家级卫生标准。生、熟、冷、热食分开，环境卫生整洁。</w:t>
            </w:r>
          </w:p>
          <w:p>
            <w:pPr>
              <w:pStyle w:val="null3"/>
              <w:jc w:val="both"/>
            </w:pPr>
            <w:r>
              <w:rPr>
                <w:rFonts w:ascii="仿宋_GB2312" w:hAnsi="仿宋_GB2312" w:cs="仿宋_GB2312" w:eastAsia="仿宋_GB2312"/>
              </w:rPr>
              <w:t>5</w:t>
            </w:r>
            <w:r>
              <w:rPr>
                <w:rFonts w:ascii="仿宋_GB2312" w:hAnsi="仿宋_GB2312" w:cs="仿宋_GB2312" w:eastAsia="仿宋_GB2312"/>
              </w:rPr>
              <w:t>、厨房内的清洁标准符合国家卫生要求。对有关油烟通道、排风通道、管道、灶面、灶台等的清洁应列为日常清洁任务。</w:t>
            </w:r>
          </w:p>
          <w:p>
            <w:pPr>
              <w:pStyle w:val="null3"/>
              <w:jc w:val="both"/>
            </w:pPr>
            <w:r>
              <w:rPr>
                <w:rFonts w:ascii="仿宋_GB2312" w:hAnsi="仿宋_GB2312" w:cs="仿宋_GB2312" w:eastAsia="仿宋_GB2312"/>
              </w:rPr>
              <w:t>6</w:t>
            </w:r>
            <w:r>
              <w:rPr>
                <w:rFonts w:ascii="仿宋_GB2312" w:hAnsi="仿宋_GB2312" w:cs="仿宋_GB2312" w:eastAsia="仿宋_GB2312"/>
              </w:rPr>
              <w:t>、每餐消毒后对餐具卫生进行抽查，每餐食品留样</w:t>
            </w:r>
            <w:r>
              <w:rPr>
                <w:rFonts w:ascii="仿宋_GB2312" w:hAnsi="仿宋_GB2312" w:cs="仿宋_GB2312" w:eastAsia="仿宋_GB2312"/>
              </w:rPr>
              <w:t>72</w:t>
            </w:r>
            <w:r>
              <w:rPr>
                <w:rFonts w:ascii="仿宋_GB2312" w:hAnsi="仿宋_GB2312" w:cs="仿宋_GB2312" w:eastAsia="仿宋_GB2312"/>
              </w:rPr>
              <w:t>小时。</w:t>
            </w:r>
          </w:p>
          <w:p>
            <w:pPr>
              <w:pStyle w:val="null3"/>
              <w:jc w:val="both"/>
            </w:pPr>
            <w:r>
              <w:rPr>
                <w:rFonts w:ascii="仿宋_GB2312" w:hAnsi="仿宋_GB2312" w:cs="仿宋_GB2312" w:eastAsia="仿宋_GB2312"/>
              </w:rPr>
              <w:t>7</w:t>
            </w:r>
            <w:r>
              <w:rPr>
                <w:rFonts w:ascii="仿宋_GB2312" w:hAnsi="仿宋_GB2312" w:cs="仿宋_GB2312" w:eastAsia="仿宋_GB2312"/>
              </w:rPr>
              <w:t>、为采购单位职工提供安全、卫生、营养、快捷、便利的高品质的餐饮管理和膳食服务；</w:t>
            </w:r>
          </w:p>
          <w:p>
            <w:pPr>
              <w:pStyle w:val="null3"/>
              <w:jc w:val="both"/>
            </w:pPr>
            <w:r>
              <w:rPr>
                <w:rFonts w:ascii="仿宋_GB2312" w:hAnsi="仿宋_GB2312" w:cs="仿宋_GB2312" w:eastAsia="仿宋_GB2312"/>
              </w:rPr>
              <w:t>8</w:t>
            </w:r>
            <w:r>
              <w:rPr>
                <w:rFonts w:ascii="仿宋_GB2312" w:hAnsi="仿宋_GB2312" w:cs="仿宋_GB2312" w:eastAsia="仿宋_GB2312"/>
              </w:rPr>
              <w:t>、食品储存符合国家级卫生标准；</w:t>
            </w:r>
          </w:p>
          <w:p>
            <w:pPr>
              <w:pStyle w:val="null3"/>
              <w:jc w:val="both"/>
            </w:pPr>
            <w:r>
              <w:rPr>
                <w:rFonts w:ascii="仿宋_GB2312" w:hAnsi="仿宋_GB2312" w:cs="仿宋_GB2312" w:eastAsia="仿宋_GB2312"/>
              </w:rPr>
              <w:t>9</w:t>
            </w:r>
            <w:r>
              <w:rPr>
                <w:rFonts w:ascii="仿宋_GB2312" w:hAnsi="仿宋_GB2312" w:cs="仿宋_GB2312" w:eastAsia="仿宋_GB2312"/>
              </w:rPr>
              <w:t>、中标人聘请的厨师须具有中式烹饪师资格证特级厨师三级及以上资质（签订合同之前提供厨师资格证书原件查验）；</w:t>
            </w:r>
          </w:p>
          <w:p>
            <w:pPr>
              <w:pStyle w:val="null3"/>
              <w:jc w:val="both"/>
            </w:pPr>
            <w:r>
              <w:rPr>
                <w:rFonts w:ascii="仿宋_GB2312" w:hAnsi="仿宋_GB2312" w:cs="仿宋_GB2312" w:eastAsia="仿宋_GB2312"/>
              </w:rPr>
              <w:t>10</w:t>
            </w:r>
            <w:r>
              <w:rPr>
                <w:rFonts w:ascii="仿宋_GB2312" w:hAnsi="仿宋_GB2312" w:cs="仿宋_GB2312" w:eastAsia="仿宋_GB2312"/>
              </w:rPr>
              <w:t>、对原料进行初加工时，应按照有关操作规程的要求，查验、拣选、浸泡、冲洗原料，保证盛放容器和加工用具符合卫生要求。</w:t>
            </w:r>
          </w:p>
          <w:p>
            <w:pPr>
              <w:pStyle w:val="null3"/>
              <w:jc w:val="both"/>
            </w:pPr>
            <w:r>
              <w:rPr>
                <w:rFonts w:ascii="仿宋_GB2312" w:hAnsi="仿宋_GB2312" w:cs="仿宋_GB2312" w:eastAsia="仿宋_GB2312"/>
              </w:rPr>
              <w:t>11</w:t>
            </w:r>
            <w:r>
              <w:rPr>
                <w:rFonts w:ascii="仿宋_GB2312" w:hAnsi="仿宋_GB2312" w:cs="仿宋_GB2312" w:eastAsia="仿宋_GB2312"/>
              </w:rPr>
              <w:t>、集体用餐的膳食可以采用冷藏、加热保温或者高温灭菌以及符合要求的其他方式进行加工；</w:t>
            </w:r>
          </w:p>
          <w:p>
            <w:pPr>
              <w:pStyle w:val="null3"/>
              <w:jc w:val="both"/>
            </w:pPr>
            <w:r>
              <w:rPr>
                <w:rFonts w:ascii="仿宋_GB2312" w:hAnsi="仿宋_GB2312" w:cs="仿宋_GB2312" w:eastAsia="仿宋_GB2312"/>
              </w:rPr>
              <w:t>12</w:t>
            </w:r>
            <w:r>
              <w:rPr>
                <w:rFonts w:ascii="仿宋_GB2312" w:hAnsi="仿宋_GB2312" w:cs="仿宋_GB2312" w:eastAsia="仿宋_GB2312"/>
              </w:rPr>
              <w:t>、采用加热保温方式加工的，应当在膳食烧煮后加热保温，使膳食在食用前中心温度始终保持在</w:t>
            </w:r>
            <w:r>
              <w:rPr>
                <w:rFonts w:ascii="仿宋_GB2312" w:hAnsi="仿宋_GB2312" w:cs="仿宋_GB2312" w:eastAsia="仿宋_GB2312"/>
              </w:rPr>
              <w:t>65</w:t>
            </w:r>
            <w:r>
              <w:rPr>
                <w:rFonts w:ascii="仿宋_GB2312" w:hAnsi="仿宋_GB2312" w:cs="仿宋_GB2312" w:eastAsia="仿宋_GB2312"/>
              </w:rPr>
              <w:t>℃以上；</w:t>
            </w:r>
          </w:p>
          <w:p>
            <w:pPr>
              <w:pStyle w:val="null3"/>
              <w:jc w:val="both"/>
            </w:pPr>
            <w:r>
              <w:rPr>
                <w:rFonts w:ascii="仿宋_GB2312" w:hAnsi="仿宋_GB2312" w:cs="仿宋_GB2312" w:eastAsia="仿宋_GB2312"/>
              </w:rPr>
              <w:t>13</w:t>
            </w:r>
            <w:r>
              <w:rPr>
                <w:rFonts w:ascii="仿宋_GB2312" w:hAnsi="仿宋_GB2312" w:cs="仿宋_GB2312" w:eastAsia="仿宋_GB2312"/>
              </w:rPr>
              <w:t>、冷藏方式加工的膳食从烧熟至食用的时间不超过</w:t>
            </w:r>
            <w:r>
              <w:rPr>
                <w:rFonts w:ascii="仿宋_GB2312" w:hAnsi="仿宋_GB2312" w:cs="仿宋_GB2312" w:eastAsia="仿宋_GB2312"/>
              </w:rPr>
              <w:t>24</w:t>
            </w:r>
            <w:r>
              <w:rPr>
                <w:rFonts w:ascii="仿宋_GB2312" w:hAnsi="仿宋_GB2312" w:cs="仿宋_GB2312" w:eastAsia="仿宋_GB2312"/>
              </w:rPr>
              <w:t>小时；加热保湿方式加工的膳食从烧熟至食用的时间不得超过</w:t>
            </w:r>
            <w:r>
              <w:rPr>
                <w:rFonts w:ascii="仿宋_GB2312" w:hAnsi="仿宋_GB2312" w:cs="仿宋_GB2312" w:eastAsia="仿宋_GB2312"/>
              </w:rPr>
              <w:t>3</w:t>
            </w:r>
            <w:r>
              <w:rPr>
                <w:rFonts w:ascii="仿宋_GB2312" w:hAnsi="仿宋_GB2312" w:cs="仿宋_GB2312" w:eastAsia="仿宋_GB2312"/>
              </w:rPr>
              <w:t>小时。</w:t>
            </w:r>
          </w:p>
          <w:p>
            <w:pPr>
              <w:pStyle w:val="null3"/>
              <w:jc w:val="both"/>
            </w:pPr>
            <w:r>
              <w:rPr>
                <w:rFonts w:ascii="仿宋_GB2312" w:hAnsi="仿宋_GB2312" w:cs="仿宋_GB2312" w:eastAsia="仿宋_GB2312"/>
              </w:rPr>
              <w:t>14</w:t>
            </w:r>
            <w:r>
              <w:rPr>
                <w:rFonts w:ascii="仿宋_GB2312" w:hAnsi="仿宋_GB2312" w:cs="仿宋_GB2312" w:eastAsia="仿宋_GB2312"/>
              </w:rPr>
              <w:t>、严禁使用人工色素、瘦肉精、预制菜、过期产品等；仓库里储存的冷冻食品及备用品时间一般不超过一周，不能长时间存放以免受潮、霉变、生虫等。</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、指定安全检查人员，每天</w:t>
            </w:r>
            <w:r>
              <w:rPr>
                <w:rFonts w:ascii="仿宋_GB2312" w:hAnsi="仿宋_GB2312" w:cs="仿宋_GB2312" w:eastAsia="仿宋_GB2312"/>
                <w:sz w:val="21"/>
              </w:rPr>
              <w:t>上下班</w:t>
            </w:r>
            <w:r>
              <w:rPr>
                <w:rFonts w:ascii="仿宋_GB2312" w:hAnsi="仿宋_GB2312" w:cs="仿宋_GB2312" w:eastAsia="仿宋_GB2312"/>
                <w:sz w:val="21"/>
              </w:rPr>
              <w:t>对天然气、水、电、设备及门窗等安全检查并做好记录。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符合项目实施过程中采购人要求，成交人聘请的厨师须具有中式烹饪师资格证特级厨师三级及以上资质（签订合同之前提供厨师资格证书原件查验）。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符合项目实施过程中采购人要求。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服务要求：符合磋商文件及采购人要求。 服务标准：达到国家、省、市相关行业规范要求的“合格”标准，且符合采购人的要求。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2025-1-22至2026-1-21（具体服务起止日期可随合同签订时间相应顺延）。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采取自助就餐模式，每月按就餐人数据实结算餐费。1-4月份服务餐费，将于财政拨款到达后支付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5-10月份服务餐费每月按就餐人数据实结算餐费</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根据年终财务结算要求，将于2025年11月预付2025年11月1日至2026年1月21日服务费用，并在合同履行终止后，根据合同履行情况及多退少补原则，进行最终结算</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实行两轮报价。第一轮报价后，磋商小组可以根据项目实施情况调整采购需求，第二轮报价为最终报价。如采购需求没有实质性变化，各供应商的报价应逐次降低，本次报价超过上次报价的，为无效报价。 2、成交供应商在领取成交通知书前，需向采购代理机构提交加盖公章的纸质版响应文件三套，成交供应商应保持投标文件纸质版内容与系统上传内容完全一致，否则将承担一切法律责任）。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合法注册的法人应提供营业执照（或事业法人证）、组织机构代码证、税务登记证或统一社会信用代码的营业执照或其他组织应提供合法证明文件或自然人提供身份证件。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陕西省财政厅关于进一步优化政府采购营商环境有关事项的通知》（陕财办采〔2023〕4号）文件要求，本项目对《中华人民共和国政府采购法实施条例》第十七条第一款第（二）项、第（三）项、第（四）项要求提供的有关材料进行简化。供应商参与本项目只需以书面形式提供规定格式的《基本资格条件承诺函》。供应商应对承诺内容的真实性、合法性、有效性负责。经调查核实为虚假承诺的，视同为“提供虚假材料谋取中标、成交”的违法行为，依照《中华人民共和国政府采购法》等法律法规追究相应责任。 不提供《基本资格条件承诺函》的供应商需提交如下资格证明文件： ①2022年或2023年经审计的财务报告或在响应文件递交截止时间前六个月内其基本开户银行出具的资信证明或信用担保机构出具的投标担保函（以上三种形式的资料提供任何一种即可）； ②提供采购活动前6月内依法纳税和缴纳社保的证明（至少提供一个月的纳税和缴纳社保的证明）,依法不需要缴纳社保及依法免税的供应商则需提供相应的合法证明材料； ③ 提供具有履行合同所必需的设备和专业技术能力的承诺；（格式自拟） ④参加政府采购活动前 3 年内，在经营活动中没有重大违法记录的书面声明（格式自拟）。</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法定代表人授权书及被授权人身份证明（附法定代表人身份证复印件）（法定代表人直接磋商只需提交其身份证明）。</w:t>
            </w:r>
          </w:p>
        </w:tc>
        <w:tc>
          <w:tcPr>
            <w:tcW w:type="dxa" w:w="1661"/>
          </w:tcPr>
          <w:p>
            <w:pPr>
              <w:pStyle w:val="null3"/>
            </w:pPr>
            <w:r>
              <w:rPr>
                <w:rFonts w:ascii="仿宋_GB2312" w:hAnsi="仿宋_GB2312" w:cs="仿宋_GB2312" w:eastAsia="仿宋_GB2312"/>
              </w:rPr>
              <w:t>法定代表授权书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不得为中国政府采购网（www.ccgp.gov.cn）政府采购“严重违法失信行为信息记录”中被财政部门禁止参加政府采购活动的供应商。 （信用记录由采购代理机构在响应文件资格审查阶段通过互联网或者相关系统查询，供应商可不提供。对信用查询结果不符合的供应商，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供应商提供《非联合体、不分包投标声明》，供应商应提交的相关资格证明材料视为独立响应，不分包；</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响应文件封面 资格证明文件 商务、技术条款响应偏离表 分项报价表 供应商认为需要提供的其他资料 法定代表授权书 中小企业声明函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资格证明文件 商务、技术条款响应偏离表 法定代表授权书 分项报价表 中小企业声明函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详细评审90.0000分</w:t>
            </w:r>
          </w:p>
          <w:p>
            <w:pPr>
              <w:pStyle w:val="null3"/>
            </w:pPr>
            <w:r>
              <w:rPr>
                <w:rFonts w:ascii="仿宋_GB2312" w:hAnsi="仿宋_GB2312" w:cs="仿宋_GB2312" w:eastAsia="仿宋_GB2312"/>
              </w:rPr>
              <w:t>报价得分10.0000分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1、针对本项目制定整体服务方案进行综合评审。方案内容全面、完整、细节考虑到位计8-12分； 2、方案、细节基本明确，描述良好的计4-8（含）分； 3、方案描述符合要求，内容一般的计0-4（含）分。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供餐标准方案</w:t>
            </w:r>
          </w:p>
        </w:tc>
        <w:tc>
          <w:tcPr>
            <w:tcW w:type="dxa" w:w="2492"/>
          </w:tcPr>
          <w:p>
            <w:pPr>
              <w:pStyle w:val="null3"/>
            </w:pPr>
            <w:r>
              <w:rPr>
                <w:rFonts w:ascii="仿宋_GB2312" w:hAnsi="仿宋_GB2312" w:cs="仿宋_GB2312" w:eastAsia="仿宋_GB2312"/>
              </w:rPr>
              <w:t>根据供应商供餐标准方案，日常菜品和特色菜品的丰富程度，推陈出新的能力进行综合评审。1、方案完整，菜品多样、丰富得8-12分；2、方案基本全面、菜品较丰富得4-8（含）分；3、方案简单、菜品一般得0-4（含）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团队组建方案</w:t>
            </w:r>
          </w:p>
        </w:tc>
        <w:tc>
          <w:tcPr>
            <w:tcW w:type="dxa" w:w="2492"/>
          </w:tcPr>
          <w:p>
            <w:pPr>
              <w:pStyle w:val="null3"/>
            </w:pPr>
            <w:r>
              <w:rPr>
                <w:rFonts w:ascii="仿宋_GB2312" w:hAnsi="仿宋_GB2312" w:cs="仿宋_GB2312" w:eastAsia="仿宋_GB2312"/>
              </w:rPr>
              <w:t>根据供应商拟派的项目组成人员的履约能力、厨师等级证书、专业职称、工作经验、工作业绩、管理能力、人员架构合理、专业等打分，提供相关证书等材料完整得4-7分；2、提供相关证书等材料一般得2-4（含）分；3、提供相关证书等材料不全得0-2（含）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具有相应的管理制度，针对不同岗位的培训管理、考核标准、仪容着装要求等，进行综合评审。1、管理制度全面、有效、规范、可行得4-6分；2、管理制度基本有效、可行得2-4（含）分；3、管理制度简单、可行性一般得0-2（含）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质量把控方案</w:t>
            </w:r>
          </w:p>
        </w:tc>
        <w:tc>
          <w:tcPr>
            <w:tcW w:type="dxa" w:w="2492"/>
          </w:tcPr>
          <w:p>
            <w:pPr>
              <w:pStyle w:val="null3"/>
            </w:pPr>
            <w:r>
              <w:rPr>
                <w:rFonts w:ascii="仿宋_GB2312" w:hAnsi="仿宋_GB2312" w:cs="仿宋_GB2312" w:eastAsia="仿宋_GB2312"/>
              </w:rPr>
              <w:t>供应商针对本项目提供的菜品质量、服务质量等把控方案等进行综合评审。1、方案全面完整、明确、合理、可行、针对性强得6-9分；2、方案基本全面、明确、合理、较可行得3-6（含）分；3、方案简单、可行性一般得0-3（含）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管理措施方案</w:t>
            </w:r>
          </w:p>
        </w:tc>
        <w:tc>
          <w:tcPr>
            <w:tcW w:type="dxa" w:w="2492"/>
          </w:tcPr>
          <w:p>
            <w:pPr>
              <w:pStyle w:val="null3"/>
            </w:pPr>
            <w:r>
              <w:rPr>
                <w:rFonts w:ascii="仿宋_GB2312" w:hAnsi="仿宋_GB2312" w:cs="仿宋_GB2312" w:eastAsia="仿宋_GB2312"/>
              </w:rPr>
              <w:t>服务措施有效扎实，管理责任清晰。包括食品卫生安全，人员卫生，环境卫生，垃圾处理方案等，对餐饮用品、清洁材料以及食材的保鲜和存储有严格的质量标准、考核办法，进行综合评审。1、服务措施方案全面具体、针对性强，管理责任清晰，质量标准及考核办法完备，可操作性高得7-10分；2、服务措施方案基本全面、有针对性，管理责任较清晰，质量标准及考核办法较完备，有可操作性得4-7（含）分；3、服务措施方案宽泛、不具体、针对性一般，管理责任清晰度一般，质量标准及考核办法完备性一般，可操作性一般的得0-4（含）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食品保存方案</w:t>
            </w:r>
          </w:p>
        </w:tc>
        <w:tc>
          <w:tcPr>
            <w:tcW w:type="dxa" w:w="2492"/>
          </w:tcPr>
          <w:p>
            <w:pPr>
              <w:pStyle w:val="null3"/>
            </w:pPr>
            <w:r>
              <w:rPr>
                <w:rFonts w:ascii="仿宋_GB2312" w:hAnsi="仿宋_GB2312" w:cs="仿宋_GB2312" w:eastAsia="仿宋_GB2312"/>
              </w:rPr>
              <w:t>原材料等食品保存管理方案切实可行，符合本项目的要求，根据响应情况赋分。1、服务措施方案全面具体、具有针对性、可操作性的得7-10（含）分；2、服务措施方案基本全面具体、针对性一般、可操作性一般的得4-7（含）分；3、服务措施方案内容宽泛、高效性一般、可行性一般、针对性差的得0-4（含）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应急管理方案</w:t>
            </w:r>
          </w:p>
        </w:tc>
        <w:tc>
          <w:tcPr>
            <w:tcW w:type="dxa" w:w="2492"/>
          </w:tcPr>
          <w:p>
            <w:pPr>
              <w:pStyle w:val="null3"/>
            </w:pPr>
            <w:r>
              <w:rPr>
                <w:rFonts w:ascii="仿宋_GB2312" w:hAnsi="仿宋_GB2312" w:cs="仿宋_GB2312" w:eastAsia="仿宋_GB2312"/>
              </w:rPr>
              <w:t>供应商提供针对食堂设备、水、电、天然气、火、食物中毒应急预案、公共卫生事件防控及相应的措施；消防预案、群体事件预案、 盗窃预案等紧急事件的处理预案。根据其响应程度赋分。1、突发应急预案保证措施全面、具有高效性、可行性、针对性强得3-5（含）分；2、突发应急预案保证措施内容宽泛、高效性一般、可行性一般、针对性差的得0-3（含）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人员保障方案</w:t>
            </w:r>
          </w:p>
        </w:tc>
        <w:tc>
          <w:tcPr>
            <w:tcW w:type="dxa" w:w="2492"/>
          </w:tcPr>
          <w:p>
            <w:pPr>
              <w:pStyle w:val="null3"/>
            </w:pPr>
            <w:r>
              <w:rPr>
                <w:rFonts w:ascii="仿宋_GB2312" w:hAnsi="仿宋_GB2312" w:cs="仿宋_GB2312" w:eastAsia="仿宋_GB2312"/>
              </w:rPr>
              <w:t>人员保障能力：若出现突发事件能在30分钟之内响应，保障正常供餐（包含厨师，面点师、帮厨、服务主管、服务员、洗消员等人员的正常供应），并能提供实施依据、证明及承诺。保障措施详尽、全面、有效、合理，可实施性强，能提供可实施依据及证明，根据响应情况得3-6分；保障措施较详尽、全面、有效、合理，可实施性一般，根据响应情况得0-3（含）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供应商针对本项目有明确的服务承诺，从食品安全承诺、消防安全承诺、食堂环境卫生承诺、依法用工承诺、厨房设备安全运行承诺、菜品保障承诺等方面进行描述，按其响应程度计（0-4）分。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供应商提供投标截止时间前三年内类似项目业绩（以合同签署页签订日期为准，提供合同复印件加盖公章）每份业绩3分，最多得9分。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 其他供应商的价格分统一按照下列公式计算： 磋商报价得分=（磋商基准价／磋商报价）×价格权值×100注：计算分数时四舍五入取小数点后两位。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详见附件：法定代表授权书</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详见附件：商务、技术条款响应偏离表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详见附件：供应商认为需要提供的其他资料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