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版本号：XHZB-24-05620250122001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2024年支持优势特色产业发展资金项目（茶产业）</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XHZB-24-056</w:t>
      </w:r>
      <w:r>
        <w:br/>
      </w:r>
      <w:r>
        <w:br/>
      </w:r>
      <w:r>
        <w:br/>
      </w:r>
    </w:p>
    <w:p>
      <w:pPr>
        <w:pStyle w:val="null3"/>
        <w:jc w:val="center"/>
        <w:outlineLvl w:val="2"/>
      </w:pPr>
      <w:r>
        <w:rPr>
          <w:rFonts w:ascii="仿宋_GB2312" w:hAnsi="仿宋_GB2312" w:cs="仿宋_GB2312" w:eastAsia="仿宋_GB2312"/>
          <w:sz w:val="28"/>
          <w:b/>
        </w:rPr>
        <w:t>西安市农业农村局（本级）</w:t>
      </w:r>
    </w:p>
    <w:p>
      <w:pPr>
        <w:pStyle w:val="null3"/>
        <w:jc w:val="center"/>
        <w:outlineLvl w:val="2"/>
      </w:pPr>
      <w:r>
        <w:rPr>
          <w:rFonts w:ascii="仿宋_GB2312" w:hAnsi="仿宋_GB2312" w:cs="仿宋_GB2312" w:eastAsia="仿宋_GB2312"/>
          <w:sz w:val="28"/>
          <w:b/>
        </w:rPr>
        <w:t>信宏工程咨询有限公司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信宏工程咨询有限公司</w:t>
      </w:r>
      <w:r>
        <w:rPr>
          <w:rFonts w:ascii="仿宋_GB2312" w:hAnsi="仿宋_GB2312" w:cs="仿宋_GB2312" w:eastAsia="仿宋_GB2312"/>
        </w:rPr>
        <w:t>（以下简称“代理机构”）受</w:t>
      </w:r>
      <w:r>
        <w:rPr>
          <w:rFonts w:ascii="仿宋_GB2312" w:hAnsi="仿宋_GB2312" w:cs="仿宋_GB2312" w:eastAsia="仿宋_GB2312"/>
        </w:rPr>
        <w:t>西安市农业农村局（本级）</w:t>
      </w:r>
      <w:r>
        <w:rPr>
          <w:rFonts w:ascii="仿宋_GB2312" w:hAnsi="仿宋_GB2312" w:cs="仿宋_GB2312" w:eastAsia="仿宋_GB2312"/>
        </w:rPr>
        <w:t>委托，拟对</w:t>
      </w:r>
      <w:r>
        <w:rPr>
          <w:rFonts w:ascii="仿宋_GB2312" w:hAnsi="仿宋_GB2312" w:cs="仿宋_GB2312" w:eastAsia="仿宋_GB2312"/>
        </w:rPr>
        <w:t>2024年支持优势特色产业发展资金项目（茶产业）</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XHZB-24-056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2024年支持优势特色产业发展资金项目（茶产业）</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2024年支持优势特色产业发展资金项目（茶产业），详见招标文件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采购包1（2024年支持优势特色产业发展资金项目（茶产业））：属于专门面向中小企业采购。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1、统一信用代码的营业执照：具有独立承担民事责任能力的法人、其他组织 或自然人，并出具合法有效的营业执照或事业 单位法人证书等国家规定的相关证明， 自然人参与的提供其身份证明；</w:t>
      </w:r>
    </w:p>
    <w:p>
      <w:pPr>
        <w:pStyle w:val="null3"/>
      </w:pPr>
      <w:r>
        <w:rPr>
          <w:rFonts w:ascii="仿宋_GB2312" w:hAnsi="仿宋_GB2312" w:cs="仿宋_GB2312" w:eastAsia="仿宋_GB2312"/>
        </w:rPr>
        <w:t>2、财务状况报告：提供具有财务审计资质单位出具的2022年度或 2023年度财务报告（成立时间至开标时间不足 一年的可提供成立后任意时段的资产负债表）或开标前六个月内其基本账户银行出具的资信 证明（附开户许可证或基本账户证明）或政府采购信用担保机构出具的投标担保函；</w:t>
      </w:r>
    </w:p>
    <w:p>
      <w:pPr>
        <w:pStyle w:val="null3"/>
      </w:pPr>
      <w:r>
        <w:rPr>
          <w:rFonts w:ascii="仿宋_GB2312" w:hAnsi="仿宋_GB2312" w:cs="仿宋_GB2312" w:eastAsia="仿宋_GB2312"/>
        </w:rPr>
        <w:t>3、税收缴纳证明：提供2024年1月1日至今任意一个月已缴纳的纳 税证明或完税证明（包含增值税、企业所得税 、营业税至少一种）；（依法免税的投标人应提供相关文件证明）</w:t>
      </w:r>
    </w:p>
    <w:p>
      <w:pPr>
        <w:pStyle w:val="null3"/>
      </w:pPr>
      <w:r>
        <w:rPr>
          <w:rFonts w:ascii="仿宋_GB2312" w:hAnsi="仿宋_GB2312" w:cs="仿宋_GB2312" w:eastAsia="仿宋_GB2312"/>
        </w:rPr>
        <w:t>4、社会保障资金缴纳证明：提供2024年1月1日至今任意一个月的社保缴费 凭据或社保机构开具的社会保险参保缴费情况 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 能力的说明及承诺；（格式自拟，加盖投标人公章）</w:t>
      </w:r>
    </w:p>
    <w:p>
      <w:pPr>
        <w:pStyle w:val="null3"/>
      </w:pPr>
      <w:r>
        <w:rPr>
          <w:rFonts w:ascii="仿宋_GB2312" w:hAnsi="仿宋_GB2312" w:cs="仿宋_GB2312" w:eastAsia="仿宋_GB2312"/>
        </w:rPr>
        <w:t>6、提供参加政府采购活动前三年内在 经营活动中没有重大违法记录的书面声明：提供参加政府采购活动前三年内在经营活动中没有重大违法记录的书面声明；</w:t>
      </w:r>
    </w:p>
    <w:p>
      <w:pPr>
        <w:pStyle w:val="null3"/>
      </w:pPr>
      <w:r>
        <w:rPr>
          <w:rFonts w:ascii="仿宋_GB2312" w:hAnsi="仿宋_GB2312" w:cs="仿宋_GB2312" w:eastAsia="仿宋_GB2312"/>
        </w:rPr>
        <w:t>7、法定代表人或负责人授权委托书：被授权人参与投标时需提供法定代表人或负责 人授权委托书（附法定代表人或负责人及被授权人身份证复印件）；</w:t>
      </w:r>
    </w:p>
    <w:p>
      <w:pPr>
        <w:pStyle w:val="null3"/>
      </w:pPr>
      <w:r>
        <w:rPr>
          <w:rFonts w:ascii="仿宋_GB2312" w:hAnsi="仿宋_GB2312" w:cs="仿宋_GB2312" w:eastAsia="仿宋_GB2312"/>
        </w:rPr>
        <w:t>8、不得为失信被执行人：投标人不得为“信用中国” 网站（www.creditc hina.gov.cn）中列入失信被执行人和重大税收 违法案件当事人名单的投标人，不得为中国政 府采购网（www.ccgp.gov.cn）政府采购严重 违法失信行为记录名单中被财政部门禁止参加政府采购活动的投标人；（提供书面承诺函，格式自拟加盖投标人公章）</w:t>
      </w:r>
    </w:p>
    <w:p>
      <w:pPr>
        <w:pStyle w:val="null3"/>
      </w:pPr>
      <w:r>
        <w:rPr>
          <w:rFonts w:ascii="仿宋_GB2312" w:hAnsi="仿宋_GB2312" w:cs="仿宋_GB2312" w:eastAsia="仿宋_GB2312"/>
        </w:rPr>
        <w:t>9、单位负责人为同一人或者存在直接 控股、管理关系的不同投标人，不 得参加同一合同项下的政府采购活动：单位负责人为同一人或者存在直接控股、管理 关系的不同投标人，不得参加同一合同项下的 政府采购活动；（提供书面承诺函，格式自拟加盖投标人公章）</w:t>
      </w:r>
    </w:p>
    <w:p>
      <w:pPr>
        <w:pStyle w:val="null3"/>
      </w:pPr>
      <w:r>
        <w:rPr>
          <w:rFonts w:ascii="仿宋_GB2312" w:hAnsi="仿宋_GB2312" w:cs="仿宋_GB2312" w:eastAsia="仿宋_GB2312"/>
        </w:rPr>
        <w:t>10、本项目不接受联合体投标：本项目不接受联合体投标（提供非联合体声明, 格式自拟加盖投标人公章）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西安市农业农村局（本级）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何金莉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029-86787567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信宏工程咨询有限公司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陕西省西安市雁塔区西安曲江新区雁塔南路金辉环球中心C座514室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田丰原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15399081824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代理服务费收费标准：招标代理服务费的收取按照国家计委颁布的《招标代理服务收费管理暂 行办法》（计价格[2002]1980号）中收费标准计取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西安市农业农村局（本级）</w:t>
      </w:r>
      <w:r>
        <w:rPr>
          <w:rFonts w:ascii="仿宋_GB2312" w:hAnsi="仿宋_GB2312" w:cs="仿宋_GB2312" w:eastAsia="仿宋_GB2312"/>
        </w:rPr>
        <w:t>和</w:t>
      </w:r>
      <w:r>
        <w:rPr>
          <w:rFonts w:ascii="仿宋_GB2312" w:hAnsi="仿宋_GB2312" w:cs="仿宋_GB2312" w:eastAsia="仿宋_GB2312"/>
        </w:rPr>
        <w:t>信宏工程咨询有限公司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西安市农业农村局（本级）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信宏工程咨询有限公司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西安市农业农村局（本级）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信宏工程咨询有限公司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信宏工程咨询有限公司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信宏工程咨询有限公司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联系人：田丰原</w:t>
      </w:r>
    </w:p>
    <w:p>
      <w:pPr>
        <w:pStyle w:val="null3"/>
      </w:pPr>
      <w:r>
        <w:rPr>
          <w:rFonts w:ascii="仿宋_GB2312" w:hAnsi="仿宋_GB2312" w:cs="仿宋_GB2312" w:eastAsia="仿宋_GB2312"/>
        </w:rPr>
        <w:t>联系电话：15399081824</w:t>
      </w:r>
    </w:p>
    <w:p>
      <w:pPr>
        <w:pStyle w:val="null3"/>
      </w:pPr>
      <w:r>
        <w:rPr>
          <w:rFonts w:ascii="仿宋_GB2312" w:hAnsi="仿宋_GB2312" w:cs="仿宋_GB2312" w:eastAsia="仿宋_GB2312"/>
        </w:rPr>
        <w:t>地址：西安市雁塔区金滹沱二路金辉环球中心C座514室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2024年支持优势特色产业发展资金项目（茶产业）详见招标文件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优势特色产业发展资金（茶产业）项目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标的名称：优势特色产业发展资金（茶产业）项目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2024年支持优势特色产业发展资金项目（茶产业）</w:t>
            </w:r>
          </w:p>
        </w:tc>
        <w:tc>
          <w:tcPr>
            <w:tcW w:type="dxa" w:w="2076"/>
          </w:tcPr>
          <w:p>
            <w:pPr>
              <w:pStyle w:val="null3"/>
              <w:spacing w:before="180"/>
              <w:ind w:left="105" w:right="150" w:firstLine="338"/>
            </w:pPr>
            <w:r>
              <w:rPr>
                <w:rFonts w:ascii="仿宋_GB2312" w:hAnsi="仿宋_GB2312" w:cs="仿宋_GB2312" w:eastAsia="仿宋_GB2312"/>
                <w:sz w:val="19"/>
                <w:color w:val="000000"/>
              </w:rPr>
              <w:t>采购内容：落实西安农业产业品牌提升计划，组织参加中国国际茶叶博览会等国家重点展会、区域性重点展会;组织区县(开发区)或茶叶龙头企业、茶叶经销企业，开展茶原材料产地溯源活动，举办茶产品各类宣传推介、产销对接、产地行销地行等活动。活动不少于3场次。</w:t>
            </w:r>
          </w:p>
          <w:p>
            <w:pPr>
              <w:pStyle w:val="null3"/>
              <w:spacing w:before="180"/>
              <w:ind w:left="105" w:right="150" w:firstLine="338"/>
            </w:pPr>
            <w:r>
              <w:rPr>
                <w:rFonts w:ascii="仿宋_GB2312" w:hAnsi="仿宋_GB2312" w:cs="仿宋_GB2312" w:eastAsia="仿宋_GB2312"/>
                <w:sz w:val="19"/>
                <w:color w:val="000000"/>
              </w:rPr>
              <w:t>主要功能或目标:高质量完成茶原材料产地溯源，茯茶品牌宣传推介及茶产品产地行、销地行及其他创意营销等相关产销对接活动，全面展示我市茶产业及茶企跨越发展良好态势促进我市茶产品产销精准对接。</w:t>
            </w:r>
          </w:p>
          <w:p>
            <w:pPr>
              <w:pStyle w:val="null3"/>
            </w:pPr>
            <w:r>
              <w:rPr>
                <w:rFonts w:ascii="仿宋_GB2312" w:hAnsi="仿宋_GB2312" w:cs="仿宋_GB2312" w:eastAsia="仿宋_GB2312"/>
                <w:sz w:val="21"/>
                <w:color w:val="000000"/>
              </w:rPr>
              <w:t>绩效考评：完成西安市农业农村局委托的项目绩效工作，实现项目的科学化、规范化、制度化。</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合同签订后20个工作日内，由采购人向中标人支付合同总金额的40%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项目整体服务结束后，付至总价的90%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通过采购人验收合格后，付至总价的100%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统一信用代码的营业执照</w:t>
            </w:r>
          </w:p>
        </w:tc>
        <w:tc>
          <w:tcPr>
            <w:tcW w:type="dxa" w:w="3322"/>
          </w:tcPr>
          <w:p>
            <w:pPr>
              <w:pStyle w:val="null3"/>
            </w:pPr>
            <w:r>
              <w:rPr>
                <w:rFonts w:ascii="仿宋_GB2312" w:hAnsi="仿宋_GB2312" w:cs="仿宋_GB2312" w:eastAsia="仿宋_GB2312"/>
              </w:rPr>
              <w:t>具有独立承担民事责任能力的法人、其他组织 或自然人，并出具合法有效的营业执照或事业 单位法人证书等国家规定的相关证明， 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提供具有财务审计资质单位出具的2022年度或 2023年度财务报告（成立时间至开标时间不足 一年的可提供成立后任意时段的资产负债表）或开标前六个月内其基本账户银行出具的资信 证明（附开户许可证或基本账户证明）或政府采购信用担保机构出具的投标担保函；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提供2024年1月1日至今任意一个月已缴纳的纳 税证明或完税证明（包含增值税、企业所得税 、营业税至少一种）；（依法免税的投标人应提供相关文件证明）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提供2024年1月1日至今任意一个月的社保缴费 凭据或社保机构开具的社会保险参保缴费情况 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 能力的说明及承诺；（格式自拟，加盖投标人公章）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 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法定代表人或负责人授权委托书</w:t>
            </w:r>
          </w:p>
        </w:tc>
        <w:tc>
          <w:tcPr>
            <w:tcW w:type="dxa" w:w="3322"/>
          </w:tcPr>
          <w:p>
            <w:pPr>
              <w:pStyle w:val="null3"/>
            </w:pPr>
            <w:r>
              <w:rPr>
                <w:rFonts w:ascii="仿宋_GB2312" w:hAnsi="仿宋_GB2312" w:cs="仿宋_GB2312" w:eastAsia="仿宋_GB2312"/>
              </w:rPr>
              <w:t>被授权人参与投标时需提供法定代表人或负责 人授权委托书（附法定代表人或负责人及被授权人身份证复印件）；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不得为失信被执行人</w:t>
            </w:r>
          </w:p>
        </w:tc>
        <w:tc>
          <w:tcPr>
            <w:tcW w:type="dxa" w:w="3322"/>
          </w:tcPr>
          <w:p>
            <w:pPr>
              <w:pStyle w:val="null3"/>
            </w:pPr>
            <w:r>
              <w:rPr>
                <w:rFonts w:ascii="仿宋_GB2312" w:hAnsi="仿宋_GB2312" w:cs="仿宋_GB2312" w:eastAsia="仿宋_GB2312"/>
              </w:rPr>
              <w:t>投标人不得为“信用中国” 网站（www.creditc hina.gov.cn）中列入失信被执行人和重大税收 违法案件当事人名单的投标人，不得为中国政 府采购网（www.ccgp.gov.cn）政府采购严重 违法失信行为记录名单中被财政部门禁止参加政府采购活动的投标人；（提供书面承诺函，格式自拟加盖投标人公章）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 控股、管理关系的不同投标人，不 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 关系的不同投标人，不得参加同一合同项下的 政府采购活动；（提供书面承诺函，格式自拟加盖投标人公章）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本项目不接受联合体投标（提供非联合体声明, 格式自拟加盖投标人公章）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投标人认为有必要补充说明的事宜.docx 商务应答表 服务方案 标的清单 报价表 响应函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w:t>
            </w:r>
          </w:p>
        </w:tc>
        <w:tc>
          <w:tcPr>
            <w:tcW w:type="dxa" w:w="2492"/>
          </w:tcPr>
          <w:p>
            <w:pPr>
              <w:pStyle w:val="null3"/>
            </w:pPr>
            <w:r>
              <w:rPr>
                <w:rFonts w:ascii="仿宋_GB2312" w:hAnsi="仿宋_GB2312" w:cs="仿宋_GB2312" w:eastAsia="仿宋_GB2312"/>
              </w:rPr>
              <w:t>1.根据供应商针对本项目提供的服务方案（包括但不限于项目的理解程度、合理可行的工作流程，明确的服务目标等）进行综合评分：内容完整科学，符合项目实际及需求，可操作性强，得(10-15]分；内容完整，基本符合项目实际需求，可操作，得(5-10]分。内容缺项，可操作性差，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服务方案2</w:t>
            </w:r>
          </w:p>
        </w:tc>
        <w:tc>
          <w:tcPr>
            <w:tcW w:type="dxa" w:w="2492"/>
          </w:tcPr>
          <w:p>
            <w:pPr>
              <w:pStyle w:val="null3"/>
            </w:pPr>
            <w:r>
              <w:rPr>
                <w:rFonts w:ascii="仿宋_GB2312" w:hAnsi="仿宋_GB2312" w:cs="仿宋_GB2312" w:eastAsia="仿宋_GB2312"/>
              </w:rPr>
              <w:t>2.根据供应商针对本项目提供的工作方案、项目进度安排进行综合评分：详细的工作计划和进度安排，具有时效性，可以在服务期内完成计(10-15]分；工作计划详细，时间进度安排一般(5-10]分； 工作计划不够详细，时间进度安排欠合理(0-5]分。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服务方案3</w:t>
            </w:r>
          </w:p>
        </w:tc>
        <w:tc>
          <w:tcPr>
            <w:tcW w:type="dxa" w:w="2492"/>
          </w:tcPr>
          <w:p>
            <w:pPr>
              <w:pStyle w:val="null3"/>
            </w:pPr>
            <w:r>
              <w:rPr>
                <w:rFonts w:ascii="仿宋_GB2312" w:hAnsi="仿宋_GB2312" w:cs="仿宋_GB2312" w:eastAsia="仿宋_GB2312"/>
              </w:rPr>
              <w:t>3.根据供应商针对本项目提供的项目组织方案的清晰度，客观性、合理性、准确性，可执行性等综合评定：组织方案科学合理，清晰可行得(8-12]分；方案较为合理，可行性一般得(4-8]分；方案不够合理可行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服务承诺及质量保证措施</w:t>
            </w:r>
          </w:p>
        </w:tc>
        <w:tc>
          <w:tcPr>
            <w:tcW w:type="dxa" w:w="2492"/>
          </w:tcPr>
          <w:p>
            <w:pPr>
              <w:pStyle w:val="null3"/>
            </w:pPr>
            <w:r>
              <w:rPr>
                <w:rFonts w:ascii="仿宋_GB2312" w:hAnsi="仿宋_GB2312" w:cs="仿宋_GB2312" w:eastAsia="仿宋_GB2312"/>
              </w:rPr>
              <w:t>根据供应商提供的服务承诺及质量承诺、应急措施的完整性、可行性进行综合评分： 内容完整、可行得(8-12]分； 内容较为完整、可行性一般得(4-8]分； 内容不够完整可行得(0-4]分。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重点、难点分析与解决方案</w:t>
            </w:r>
          </w:p>
        </w:tc>
        <w:tc>
          <w:tcPr>
            <w:tcW w:type="dxa" w:w="2492"/>
          </w:tcPr>
          <w:p>
            <w:pPr>
              <w:pStyle w:val="null3"/>
            </w:pPr>
            <w:r>
              <w:rPr>
                <w:rFonts w:ascii="仿宋_GB2312" w:hAnsi="仿宋_GB2312" w:cs="仿宋_GB2312" w:eastAsia="仿宋_GB2312"/>
              </w:rPr>
              <w:t>根据供应商提供的重点、难点分析与解决方案进行综合评分： 重点、难点把握分析到位，解决措施科学完善、切实可行，得(8-12]分； 重点、难点把握分析基本到位，解决措施较完善，可行性较强的，得(4-8]分； 分析简单，针对性欠缺，措施内容空泛，可行性较差得(0-4]分。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组织机构</w:t>
            </w:r>
          </w:p>
        </w:tc>
        <w:tc>
          <w:tcPr>
            <w:tcW w:type="dxa" w:w="2492"/>
          </w:tcPr>
          <w:p>
            <w:pPr>
              <w:pStyle w:val="null3"/>
            </w:pPr>
            <w:r>
              <w:rPr>
                <w:rFonts w:ascii="仿宋_GB2312" w:hAnsi="仿宋_GB2312" w:cs="仿宋_GB2312" w:eastAsia="仿宋_GB2312"/>
              </w:rPr>
              <w:t>1、服务团队（5分） 针对本项目所配人员满足项目服务要求，配制科学合理，组织机构合理，满足要求，按其响应程度计(0-5]分。 2、保证措施（5分） 针对本项目工作有具体的人员保障措施，按其响应程度计 (0-5]分。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根据供应商提供的企业管理制度：制度齐全可执行性强，得（3-5]分；较齐全，较可行，得（1-3]分；有制度，不齐全，不可行（0-1]分。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提供2021年1月1日至今类似项目业绩，以签字盖章合同扫描件为准。没提供一个2分，满分6分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根据供应商所提供针对本项目的售后服务方案及承诺0-3分。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满足招标文件且报价最低的价格为评标基准价，其价格分为满分10分，其他各投标人的报价按下列计算公式计算：（Y/X）*10=Z X=投标价，Y=基准价，Z=报价得分；报价不完整的，得0分。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详见附件：投标人认为有必要补充说明的事宜.docx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