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版本号：RH采字【20250905】号20251011001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2025年西安市农业农村局农情监管平台运维项目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RH采字【20250905】号</w:t>
      </w:r>
      <w:r>
        <w:br/>
      </w:r>
      <w:r>
        <w:br/>
      </w:r>
      <w:r>
        <w:br/>
      </w:r>
    </w:p>
    <w:p>
      <w:pPr>
        <w:pStyle w:val="null3"/>
        <w:jc w:val="center"/>
        <w:outlineLvl w:val="2"/>
      </w:pPr>
      <w:r>
        <w:rPr>
          <w:rFonts w:ascii="仿宋_GB2312" w:hAnsi="仿宋_GB2312" w:cs="仿宋_GB2312" w:eastAsia="仿宋_GB2312"/>
          <w:sz w:val="28"/>
          <w:b/>
        </w:rPr>
        <w:t>西安市农业信息网络中心</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西安市农业信息网络中心</w:t>
      </w:r>
      <w:r>
        <w:rPr>
          <w:rFonts w:ascii="仿宋_GB2312" w:hAnsi="仿宋_GB2312" w:cs="仿宋_GB2312" w:eastAsia="仿宋_GB2312"/>
        </w:rPr>
        <w:t>委托，拟对</w:t>
      </w:r>
      <w:r>
        <w:rPr>
          <w:rFonts w:ascii="仿宋_GB2312" w:hAnsi="仿宋_GB2312" w:cs="仿宋_GB2312" w:eastAsia="仿宋_GB2312"/>
        </w:rPr>
        <w:t>2025年西安市农业农村局农情监管平台运维项目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RH采字【20250905】号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2025年西安市农业农村局农情监管平台运维项目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该项目主要涉及我市农业农村局2022年建设的农情监管系统的系统数据的年度更新。确保2025年卫星影像、气象数据、农情监测数据按时更新。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采购包1（2025年西安市农业农村局农情监管平台运维项目）：属于专门面向中小企业采购。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 ：响应供应商需提供有效合格的具有统一社会信用代码的营业执照，其他组织经营的须提供合法凭证，自然人提供身份证明文件。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 ：法定代表人参加投标的，须提供本人身份证加盖公章的复印件；法定代表人授权他人参加投标的，须提供法定代表人授权委托书及被授权代表的身份证复印件。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 ：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pPr>
        <w:pStyle w:val="null3"/>
      </w:pPr>
      <w:r>
        <w:rPr>
          <w:rFonts w:ascii="仿宋_GB2312" w:hAnsi="仿宋_GB2312" w:cs="仿宋_GB2312" w:eastAsia="仿宋_GB2312"/>
        </w:rPr>
        <w:t>4、社会保障资金缴纳证明 ：提供供应商2025年1月1日以来任意三个月已缴纳的社会保障资金缴存单据或社保机构开具的社会保险参保缴费情况证明；依法不需要缴纳社会保障资金的供应商应提供加盖公章的相关证明文件。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 ：提供供应商2025年1月1日以来任意三个月已缴纳的纳税证明或完税证明（至少包含增值税或企业所得税），依法免税的供应商应提供加盖公章的相关证明文件。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6、履行合同能力的证明材料 ：具备履行合同所必需的设备和专业技术能力的证明材料(由供应商根据项目需求提供说明材料或者承诺)。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 ：单位负责人为同一人或者存在直接控股、管理关系的不同供应商，不得参加本次采购活动。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西安市农业信息网络中心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张津津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029-86789047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15229990068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 企业名称：瑞恒项目管理有限公司 开户银行：工行西安城南科技支行（行号：1027 9100 0023） 账 号：3700024819200044620 转账事由：（项目名称）代理服务费 咨询电话：15229990068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西安市农业信息网络中心</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西安市农业信息网络中心</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西安市农业信息网络中心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联系电话：15229990068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该项目主要涉及我市农业农村局2022年建设的农情监管系统的系统数据的年度更新。确保2025年卫星影像、气象数据、农情监测数据按时更新。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1,025,400.00</w:t>
      </w:r>
    </w:p>
    <w:p>
      <w:pPr>
        <w:pStyle w:val="null3"/>
      </w:pPr>
      <w:r>
        <w:rPr>
          <w:rFonts w:ascii="仿宋_GB2312" w:hAnsi="仿宋_GB2312" w:cs="仿宋_GB2312" w:eastAsia="仿宋_GB2312"/>
        </w:rPr>
        <w:t>采购包最高限价（元）: 1,025,400.00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农情监管平台运维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1,025,400.00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标的名称：农情监管平台运维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、项目概况</w:t>
            </w:r>
          </w:p>
          <w:p>
            <w:pPr>
              <w:pStyle w:val="null3"/>
              <w:ind w:firstLine="480"/>
              <w:jc w:val="left"/>
            </w:pPr>
            <w:r>
              <w:rPr>
                <w:rFonts w:ascii="仿宋_GB2312" w:hAnsi="仿宋_GB2312" w:cs="仿宋_GB2312" w:eastAsia="仿宋_GB2312"/>
                <w:sz w:val="24"/>
              </w:rPr>
              <w:t>该项目主要涉及我市农业农村局</w:t>
            </w:r>
            <w:r>
              <w:rPr>
                <w:rFonts w:ascii="仿宋_GB2312" w:hAnsi="仿宋_GB2312" w:cs="仿宋_GB2312" w:eastAsia="仿宋_GB2312"/>
                <w:sz w:val="24"/>
              </w:rPr>
              <w:t>2022年建设的农情监管系统的系统数据的年度更新。确保2025年卫星影像、气象数据、农情监测数据按时更新。</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、服务内容</w:t>
            </w:r>
          </w:p>
          <w:p>
            <w:pPr>
              <w:pStyle w:val="null3"/>
              <w:jc w:val="left"/>
            </w:pPr>
            <w:r>
              <w:rPr>
                <w:rFonts w:ascii="仿宋_GB2312" w:hAnsi="仿宋_GB2312" w:cs="仿宋_GB2312" w:eastAsia="仿宋_GB2312"/>
                <w:sz w:val="24"/>
              </w:rPr>
              <w:t xml:space="preserve">  1、数据运维：涉农数据采集处理更新；更新卫星影像，维护耕地、种植、长势、设施大棚、“非粮化”、“大棚房”等监测数据；</w:t>
            </w:r>
          </w:p>
          <w:p>
            <w:pPr>
              <w:pStyle w:val="null3"/>
              <w:jc w:val="left"/>
            </w:pPr>
            <w:r>
              <w:rPr>
                <w:rFonts w:ascii="仿宋_GB2312" w:hAnsi="仿宋_GB2312" w:cs="仿宋_GB2312" w:eastAsia="仿宋_GB2312"/>
                <w:sz w:val="24"/>
              </w:rPr>
              <w:t xml:space="preserve">  2、技术支持：服务业务部门，基于农情监测数据生成农情分析报告；</w:t>
            </w:r>
          </w:p>
          <w:p>
            <w:pPr>
              <w:pStyle w:val="null3"/>
              <w:jc w:val="left"/>
            </w:pPr>
            <w:r>
              <w:rPr>
                <w:rFonts w:ascii="仿宋_GB2312" w:hAnsi="仿宋_GB2312" w:cs="仿宋_GB2312" w:eastAsia="仿宋_GB2312"/>
                <w:sz w:val="24"/>
              </w:rPr>
              <w:t xml:space="preserve">  3、云服务器运维安全措施及节点运维；</w:t>
            </w:r>
          </w:p>
          <w:p>
            <w:pPr>
              <w:pStyle w:val="null3"/>
              <w:jc w:val="left"/>
            </w:pPr>
            <w:r>
              <w:rPr>
                <w:rFonts w:ascii="仿宋_GB2312" w:hAnsi="仿宋_GB2312" w:cs="仿宋_GB2312" w:eastAsia="仿宋_GB2312"/>
                <w:sz w:val="24"/>
              </w:rPr>
              <w:t xml:space="preserve">  4、根据工作实际需求，对系统功能进行即时升级、更新、优化。</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、技术要求</w:t>
            </w:r>
          </w:p>
          <w:p>
            <w:pPr>
              <w:pStyle w:val="null3"/>
              <w:ind w:firstLine="480"/>
              <w:jc w:val="left"/>
            </w:pPr>
            <w:r>
              <w:rPr>
                <w:rFonts w:ascii="仿宋_GB2312" w:hAnsi="仿宋_GB2312" w:cs="仿宋_GB2312" w:eastAsia="仿宋_GB2312"/>
                <w:sz w:val="24"/>
              </w:rPr>
              <w:t>要求获取高分辨率影像数据不少于</w:t>
            </w:r>
            <w:r>
              <w:rPr>
                <w:rFonts w:ascii="仿宋_GB2312" w:hAnsi="仿宋_GB2312" w:cs="仿宋_GB2312" w:eastAsia="仿宋_GB2312"/>
                <w:sz w:val="24"/>
              </w:rPr>
              <w:t>4期；中分辨率卫星影像数据不少于12期；要求气象数据包含西安市内主要气象台站每日记录的的气象要素；要求农情监测数据包括西安市农业用地、种植结构、作物长势、设施大棚等；要求更新数据地理位置和数学基础准确，在系统内能够顺利使用；要求结合业务处室需要及时对监测数据进行总结分析，形成相关农情分析报告，并定期形成制式专题报告；云服务器安全：保障访问安全、数据安全，实现风险可控、操作可追溯；节点运维：确保运行稳定、故障可快速恢复，做到管理高效、符合合规要求；系统功能升级优化时，不影响日常工作，适配现有功能与数据，可快速调整，且优化后能收反馈、贴合需求。</w:t>
            </w:r>
          </w:p>
          <w:p>
            <w:pPr>
              <w:pStyle w:val="null3"/>
              <w:jc w:val="left"/>
            </w:pPr>
            <w:r>
              <w:rPr>
                <w:rFonts w:ascii="仿宋_GB2312" w:hAnsi="仿宋_GB2312" w:cs="仿宋_GB2312" w:eastAsia="仿宋_GB2312"/>
                <w:sz w:val="24"/>
              </w:rPr>
              <w:t>四、服务要求</w:t>
            </w:r>
          </w:p>
          <w:p>
            <w:pPr>
              <w:pStyle w:val="null3"/>
              <w:ind w:firstLine="480"/>
              <w:jc w:val="left"/>
            </w:pPr>
            <w:r>
              <w:rPr>
                <w:rFonts w:ascii="仿宋_GB2312" w:hAnsi="仿宋_GB2312" w:cs="仿宋_GB2312" w:eastAsia="仿宋_GB2312"/>
                <w:sz w:val="24"/>
              </w:rPr>
              <w:t>根据</w:t>
            </w:r>
            <w:r>
              <w:rPr>
                <w:rFonts w:ascii="仿宋_GB2312" w:hAnsi="仿宋_GB2312" w:cs="仿宋_GB2312" w:eastAsia="仿宋_GB2312"/>
                <w:sz w:val="24"/>
              </w:rPr>
              <w:t>2025年西安市农业农村局农情监管平台运维项目的要求，乙方需提</w:t>
            </w:r>
            <w:r>
              <w:rPr>
                <w:rFonts w:ascii="仿宋_GB2312" w:hAnsi="仿宋_GB2312" w:cs="仿宋_GB2312" w:eastAsia="仿宋_GB2312"/>
                <w:sz w:val="24"/>
                <w:color w:val="2C3E50"/>
              </w:rPr>
              <w:t>供全天候技术支持，包括</w:t>
            </w:r>
            <w:r>
              <w:rPr>
                <w:rFonts w:ascii="仿宋_GB2312" w:hAnsi="仿宋_GB2312" w:cs="仿宋_GB2312" w:eastAsia="仿宋_GB2312"/>
                <w:sz w:val="24"/>
                <w:color w:val="2C3E50"/>
              </w:rPr>
              <w:t>长期驻场技术人员</w:t>
            </w:r>
            <w:r>
              <w:rPr>
                <w:rFonts w:ascii="仿宋_GB2312" w:hAnsi="仿宋_GB2312" w:cs="仿宋_GB2312" w:eastAsia="仿宋_GB2312"/>
                <w:sz w:val="24"/>
              </w:rPr>
              <w:t>，确保数据更新的准确性和时效性，并定期提交验证报告。乙方应根据甲方需求及时升级系统功能，并记录所有升级活动。每年至少两次，</w:t>
            </w:r>
            <w:r>
              <w:rPr>
                <w:rFonts w:ascii="仿宋_GB2312" w:hAnsi="仿宋_GB2312" w:cs="仿宋_GB2312" w:eastAsia="仿宋_GB2312"/>
                <w:sz w:val="24"/>
              </w:rPr>
              <w:t>乙方需对甲方人员进行系统操作和维护培训</w:t>
            </w:r>
            <w:r>
              <w:rPr>
                <w:rFonts w:ascii="仿宋_GB2312" w:hAnsi="仿宋_GB2312" w:cs="仿宋_GB2312" w:eastAsia="仿宋_GB2312"/>
                <w:sz w:val="24"/>
              </w:rPr>
              <w:t>。乙方还需定期向甲方提交包括农情监测和系统运维在内的详细报告。为应对可能的系统故障，乙方应建立应急响应机制以快速恢复服务。此外，乙方须建立严格的质量控制流程，确保所有服务成果满足甲方要求，并指定专门的项目协调人员负责日常沟通和协调工作，至少保证每月一次的项目进度汇报会议，以确保项目的顺利进行。</w:t>
            </w:r>
          </w:p>
          <w:p>
            <w:pPr>
              <w:pStyle w:val="null3"/>
              <w:jc w:val="left"/>
            </w:pPr>
            <w:r>
              <w:rPr>
                <w:rFonts w:ascii="仿宋_GB2312" w:hAnsi="仿宋_GB2312" w:cs="仿宋_GB2312" w:eastAsia="仿宋_GB2312"/>
                <w:sz w:val="24"/>
              </w:rPr>
              <w:t>五</w:t>
            </w:r>
            <w:r>
              <w:rPr>
                <w:rFonts w:ascii="仿宋_GB2312" w:hAnsi="仿宋_GB2312" w:cs="仿宋_GB2312" w:eastAsia="仿宋_GB2312"/>
                <w:sz w:val="24"/>
              </w:rPr>
              <w:t>、商务要求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一）服务期限</w:t>
            </w:r>
          </w:p>
          <w:p>
            <w:pPr>
              <w:pStyle w:val="null3"/>
              <w:ind w:firstLine="480"/>
              <w:jc w:val="left"/>
            </w:pPr>
            <w:r>
              <w:rPr>
                <w:rFonts w:ascii="仿宋_GB2312" w:hAnsi="仿宋_GB2312" w:cs="仿宋_GB2312" w:eastAsia="仿宋_GB2312"/>
                <w:sz w:val="24"/>
              </w:rPr>
              <w:t>自</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11月25日起至202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11月24日止。</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款项结算</w:t>
            </w:r>
          </w:p>
          <w:p>
            <w:pPr>
              <w:pStyle w:val="null3"/>
              <w:ind w:firstLine="480"/>
              <w:jc w:val="left"/>
            </w:pPr>
            <w:r>
              <w:rPr>
                <w:rFonts w:ascii="仿宋_GB2312" w:hAnsi="仿宋_GB2312" w:cs="仿宋_GB2312" w:eastAsia="仿宋_GB2312"/>
                <w:sz w:val="24"/>
              </w:rPr>
              <w:t>付款条件说明：</w:t>
            </w:r>
            <w:r>
              <w:rPr>
                <w:rFonts w:ascii="仿宋_GB2312" w:hAnsi="仿宋_GB2312" w:cs="仿宋_GB2312" w:eastAsia="仿宋_GB2312"/>
                <w:sz w:val="24"/>
              </w:rPr>
              <w:t>①合同签订后，乙方开具相应金额发票，甲方收到发票后20日内支付第一笔款项，为总合同金额的</w:t>
            </w:r>
            <w:r>
              <w:rPr>
                <w:rFonts w:ascii="仿宋_GB2312" w:hAnsi="仿宋_GB2312" w:cs="仿宋_GB2312" w:eastAsia="仿宋_GB2312"/>
                <w:sz w:val="24"/>
              </w:rPr>
              <w:t>7</w:t>
            </w:r>
            <w:r>
              <w:rPr>
                <w:rFonts w:ascii="仿宋_GB2312" w:hAnsi="仿宋_GB2312" w:cs="仿宋_GB2312" w:eastAsia="仿宋_GB2312"/>
                <w:sz w:val="24"/>
              </w:rPr>
              <w:t>0%；</w:t>
            </w:r>
          </w:p>
          <w:p>
            <w:pPr>
              <w:pStyle w:val="null3"/>
              <w:ind w:firstLine="480"/>
              <w:jc w:val="left"/>
            </w:pPr>
            <w:r>
              <w:rPr>
                <w:rFonts w:ascii="仿宋_GB2312" w:hAnsi="仿宋_GB2312" w:cs="仿宋_GB2312" w:eastAsia="仿宋_GB2312"/>
                <w:sz w:val="24"/>
              </w:rPr>
              <w:t>②项目完成通过采购人验收</w:t>
            </w:r>
            <w:r>
              <w:rPr>
                <w:rFonts w:ascii="仿宋_GB2312" w:hAnsi="仿宋_GB2312" w:cs="仿宋_GB2312" w:eastAsia="仿宋_GB2312"/>
                <w:sz w:val="24"/>
              </w:rPr>
              <w:t>并提交完整验收资料后，</w:t>
            </w:r>
            <w:r>
              <w:rPr>
                <w:rFonts w:ascii="仿宋_GB2312" w:hAnsi="仿宋_GB2312" w:cs="仿宋_GB2312" w:eastAsia="仿宋_GB2312"/>
                <w:sz w:val="24"/>
              </w:rPr>
              <w:t>乙方开具相应金额发票</w:t>
            </w:r>
            <w:r>
              <w:rPr>
                <w:rFonts w:ascii="仿宋_GB2312" w:hAnsi="仿宋_GB2312" w:cs="仿宋_GB2312" w:eastAsia="仿宋_GB2312"/>
                <w:sz w:val="24"/>
              </w:rPr>
              <w:t>，</w:t>
            </w:r>
            <w:r>
              <w:rPr>
                <w:rFonts w:ascii="仿宋_GB2312" w:hAnsi="仿宋_GB2312" w:cs="仿宋_GB2312" w:eastAsia="仿宋_GB2312"/>
                <w:sz w:val="24"/>
              </w:rPr>
              <w:t>甲方收到发票后</w:t>
            </w:r>
            <w:r>
              <w:rPr>
                <w:rFonts w:ascii="仿宋_GB2312" w:hAnsi="仿宋_GB2312" w:cs="仿宋_GB2312" w:eastAsia="仿宋_GB2312"/>
                <w:sz w:val="24"/>
              </w:rPr>
              <w:t>20日内支付剩余总合同金额的</w:t>
            </w:r>
            <w:r>
              <w:rPr>
                <w:rFonts w:ascii="仿宋_GB2312" w:hAnsi="仿宋_GB2312" w:cs="仿宋_GB2312" w:eastAsia="仿宋_GB2312"/>
                <w:sz w:val="24"/>
              </w:rPr>
              <w:t>3</w:t>
            </w:r>
            <w:r>
              <w:rPr>
                <w:rFonts w:ascii="仿宋_GB2312" w:hAnsi="仿宋_GB2312" w:cs="仿宋_GB2312" w:eastAsia="仿宋_GB2312"/>
                <w:sz w:val="24"/>
              </w:rPr>
              <w:t>0%。</w:t>
            </w:r>
          </w:p>
          <w:p>
            <w:pPr>
              <w:pStyle w:val="null3"/>
              <w:ind w:firstLine="480"/>
              <w:jc w:val="left"/>
            </w:pPr>
            <w:r>
              <w:rPr>
                <w:rFonts w:ascii="仿宋_GB2312" w:hAnsi="仿宋_GB2312" w:cs="仿宋_GB2312" w:eastAsia="仿宋_GB2312"/>
                <w:sz w:val="24"/>
              </w:rPr>
              <w:t>（三）成果交付要求</w:t>
            </w:r>
          </w:p>
          <w:p>
            <w:pPr>
              <w:pStyle w:val="null3"/>
              <w:ind w:firstLine="480"/>
              <w:jc w:val="left"/>
            </w:pPr>
            <w:r>
              <w:rPr>
                <w:rFonts w:ascii="仿宋_GB2312" w:hAnsi="仿宋_GB2312" w:cs="仿宋_GB2312" w:eastAsia="仿宋_GB2312"/>
                <w:sz w:val="24"/>
              </w:rPr>
              <w:t>文档成果包括但不限于以下内容：工作报告</w:t>
            </w:r>
            <w:r>
              <w:rPr>
                <w:rFonts w:ascii="仿宋_GB2312" w:hAnsi="仿宋_GB2312" w:cs="仿宋_GB2312" w:eastAsia="仿宋_GB2312"/>
                <w:sz w:val="24"/>
              </w:rPr>
              <w:t>12期、遥感监测报告12期、系统运维报告12期、年度监测报告1份、数据检验报告1份、耕地土壤墒情监测专题报告12期、粮食长势监测专题报告4期、作物受损情况监测专题报告4期、设施大棚面积监测专题报告4期。数据成果包括但不限于：影像成果及监测成果，内容包含：覆盖西安市全域高分辨率影像4期；覆盖西安市全域中分辨率影像12期；农情监测年度更新数据一套（包括西安市农业用地、种植结构、作物长势、设施大棚等数据）。由气象站推送的西安市内国家站和区域站记录每日气象要素数据。图件成果：包含冬小麦、玉米种植空间分布图种植空间分布图、冬小麦、玉米关键生育期长势空间分布图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）质量要求</w:t>
            </w:r>
          </w:p>
          <w:p>
            <w:pPr>
              <w:pStyle w:val="null3"/>
              <w:ind w:firstLine="480"/>
              <w:jc w:val="left"/>
            </w:pPr>
            <w:r>
              <w:rPr>
                <w:rFonts w:ascii="仿宋_GB2312" w:hAnsi="仿宋_GB2312" w:cs="仿宋_GB2312" w:eastAsia="仿宋_GB2312"/>
                <w:sz w:val="24"/>
              </w:rPr>
              <w:t>监测数据须覆盖西安市涉农监测区域，成果需满足农情监测要求，数据分析结果直观可靠。</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如一方违反合同中所规定的义务，违约方在收到守约方要求纠正其违约行为的书面通知之日，应立即停止其违约行为，违约方向守约方承担本合同总金额</w:t>
            </w:r>
            <w:r>
              <w:rPr>
                <w:rFonts w:ascii="仿宋_GB2312" w:hAnsi="仿宋_GB2312" w:cs="仿宋_GB2312" w:eastAsia="仿宋_GB2312"/>
                <w:sz w:val="24"/>
              </w:rPr>
              <w:t>10%的违约金，并在三十(30)日内赔偿守约方因此受到的所有损失。</w:t>
            </w:r>
          </w:p>
          <w:p>
            <w:pPr>
              <w:pStyle w:val="null3"/>
              <w:ind w:firstLine="480"/>
              <w:jc w:val="both"/>
            </w:pPr>
            <w:r>
              <w:rPr>
                <w:rFonts w:ascii="仿宋_GB2312" w:hAnsi="仿宋_GB2312" w:cs="仿宋_GB2312" w:eastAsia="仿宋_GB2312"/>
                <w:sz w:val="24"/>
              </w:rPr>
              <w:t>如甲方逾期二十</w:t>
            </w:r>
            <w:r>
              <w:rPr>
                <w:rFonts w:ascii="仿宋_GB2312" w:hAnsi="仿宋_GB2312" w:cs="仿宋_GB2312" w:eastAsia="仿宋_GB2312"/>
                <w:sz w:val="24"/>
              </w:rPr>
              <w:t>(20)日未向乙方支付到期款项，经乙方合理催告后，甲方仍拒绝支付的，乙方可经书面通知甲方而终止合同。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根据项目实际情况，按采购人要求配置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根据项目实际情况，按采购人要求配置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自2025年11月25日起至2026年11月24日止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合同签订后，乙方开具相应金额发票，甲方收到发票后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项目完成通过采购人验收并提交完整验收资料后，乙方开具相应金额发票，甲方收到发票后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2、请成交供应商在领取成交通知书时，向招标代理机构递交纸质版响应文件（纸质文件与线上评审电子文件保持一致）正本壹份、副本贰份，电子版响应文件（U盘）贰份。 3、根据《西安市财政局关于促进政府采购公平竞争优化营商环境的通知》市财函[2021]431号文第16条 供应商登记免费领取采购文件的，如不参与项目投标，应在递交投标（或响应）文件截止时间前一日以书面形式告知采购代理机构（联系电话：15229990068）。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应符合磋商文件中签字、签章要求，且无遗漏</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技术偏离表.docx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 （9分）</w:t>
            </w:r>
          </w:p>
        </w:tc>
        <w:tc>
          <w:tcPr>
            <w:tcW w:type="dxa" w:w="2492"/>
          </w:tcPr>
          <w:p>
            <w:pPr>
              <w:pStyle w:val="null3"/>
            </w:pPr>
            <w:r>
              <w:rPr>
                <w:rFonts w:ascii="仿宋_GB2312" w:hAnsi="仿宋_GB2312" w:cs="仿宋_GB2312" w:eastAsia="仿宋_GB2312"/>
              </w:rPr>
              <w:t>一、评审内容 根据供应商针对本项目的需求理解提出针对本项目的总体方案，内容包括：①运维服务分析及目标②运维服务工作范围及工作方法③重难点分析及解决方案 二、评审标准 1、完整性：方案须全面，对评审内容中的各项要求有详细描述及说明； 2、可实施性：切合本项目实际情况，实施步骤清晰、合理； 3、针对性：方案能够紧扣项目实际情况，内容科学合理。 三、赋分标准（满分9分） ①运维服务分析及目标：每完全满足一项评审标准得1分，存在瑕疵得0.5分，满分3 分； ②运维服务工作范围及工作方法：每完全满足一项评审标准得1分，存在瑕疵得0.5分，满分3 分； ③重难点分析及解决方案：每完全满足一项评审标准得1分，存在瑕疵得0.5分，满分3 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运维服务方案 （24分）</w:t>
            </w:r>
          </w:p>
        </w:tc>
        <w:tc>
          <w:tcPr>
            <w:tcW w:type="dxa" w:w="2492"/>
          </w:tcPr>
          <w:p>
            <w:pPr>
              <w:pStyle w:val="null3"/>
            </w:pPr>
            <w:r>
              <w:rPr>
                <w:rFonts w:ascii="仿宋_GB2312" w:hAnsi="仿宋_GB2312" w:cs="仿宋_GB2312" w:eastAsia="仿宋_GB2312"/>
              </w:rPr>
              <w:t>一、评审内容 提出针对本项目的运维服务方案，包含：①数据运维方案②技术支持方案③云服务器运维安全措施及节点运维方案④系统功能升级、更新、优化方案 二、评审标准 1、完整性：方案须全面，对评审内容中的各项要求有详细描述及说明； 2、可实施性：切合本项目实际情况，实施步骤清晰、合理； 3、针对性：方案能够紧扣项目实际情况，内容科学合理。 三、赋分标准（满分24分） ①数据运维方案：每完全满足一项评审标准得2分，存在瑕疵得1分，满分6分； ②技术支持方案：每完全满足一项评审标准得2分，存在瑕疵得1分，满分6分； ③云服务器运维安全措施及节点运维方案：每完全满足一项评审标准得2分，存在瑕疵得1分，满分6分； ④系统功能升级、更新、优化方案：每完全满足一项评审标准得2分，存在瑕疵得1分，满分6分。 瑕疵是指存在不完全满足评分标准，但项目仍可实施。</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安全、保密、质量管理方案（9分）</w:t>
            </w:r>
          </w:p>
        </w:tc>
        <w:tc>
          <w:tcPr>
            <w:tcW w:type="dxa" w:w="2492"/>
          </w:tcPr>
          <w:p>
            <w:pPr>
              <w:pStyle w:val="null3"/>
            </w:pPr>
            <w:r>
              <w:rPr>
                <w:rFonts w:ascii="仿宋_GB2312" w:hAnsi="仿宋_GB2312" w:cs="仿宋_GB2312" w:eastAsia="仿宋_GB2312"/>
              </w:rPr>
              <w:t>一、评审内容 提出针对本项目的安全、保密、质量管理方案，包含①安全管理方案②保密管理方案③质量管理方案 二、评审标准 1、完整性：方案须全面，对评审内容中的各项要求有详细描述及说明； 2、可实施性：切合本项目实际情况，实施步骤清晰、合理； 3、针对性：方案能够紧扣项目实际情况，内容科学合理。 三、赋分标准（满分9分） ①安全管理方案：每完全满足一项评审标准得1分，存在瑕疵得0.5分，满分3分； ②保密管理方案：每完全满足一项评审标准得1分，存在瑕疵得0.5分，满分3分； ③质量管理方案：每完全满足一项评审标准得1分，存在瑕疵得0.5分，满分3分。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应急保障服务方案 （12分）</w:t>
            </w:r>
          </w:p>
        </w:tc>
        <w:tc>
          <w:tcPr>
            <w:tcW w:type="dxa" w:w="2492"/>
          </w:tcPr>
          <w:p>
            <w:pPr>
              <w:pStyle w:val="null3"/>
            </w:pPr>
            <w:r>
              <w:rPr>
                <w:rFonts w:ascii="仿宋_GB2312" w:hAnsi="仿宋_GB2312" w:cs="仿宋_GB2312" w:eastAsia="仿宋_GB2312"/>
              </w:rPr>
              <w:t>一、评审内容 提出针对本项目的应急保障服务方案，包含：①系统故障应急预案②安全事件应急预案③数据故障应急预案④重大节假日运维保障预案 二、评审标准 1、完整性：方案须全面，对评审内容中的各项要求有详细描述及说明； 2、可实施性：切合本项目实际情况，实施步骤清晰、合理； 3、针对性：方案能够紧扣项目实际情况，内容科学合理。 三、赋分标准（满分12分） ①系统故障应急预案：每完全满足一项评审标准得1分，存在瑕疵得0.5分，满分3分； ②安全事件应急预案：每完全满足一项评审标准得1分，存在瑕疵得0.5分，满分3分； ③数据故障应急预案：每完全满足一项评审标准得1分，存在瑕疵得0.5分，满分3分； ④重大节假日运维保障预案：每完全满足一项评审标准得1分，存在瑕疵得0.5分，满分3分。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人员培训方案（6分）</w:t>
            </w:r>
          </w:p>
        </w:tc>
        <w:tc>
          <w:tcPr>
            <w:tcW w:type="dxa" w:w="2492"/>
          </w:tcPr>
          <w:p>
            <w:pPr>
              <w:pStyle w:val="null3"/>
            </w:pPr>
            <w:r>
              <w:rPr>
                <w:rFonts w:ascii="仿宋_GB2312" w:hAnsi="仿宋_GB2312" w:cs="仿宋_GB2312" w:eastAsia="仿宋_GB2312"/>
              </w:rPr>
              <w:t>一、评审内容 提出针对本项目的人员培训方案，方案包含：①培训计划②培训效果检验方案 二、评审标准 1、完整性：方案须全面，对评审内容中的各项要求有详细描述及说明； 2、可实施性：切合本项目实际情况，实施步骤清晰、合理； 3、针对性：方案能够紧扣项目实际情况，内容科学合理。 三、赋分标准（满分6分） ①培训计划：每完全满足一个评审标准得1分，存在瑕疵得0.5分，满分3分； ②培训效果检验方案：每完全满足一个评审标准得1分，存在瑕疵得0.5分，满分3分。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人员管理方案（9分）</w:t>
            </w:r>
          </w:p>
        </w:tc>
        <w:tc>
          <w:tcPr>
            <w:tcW w:type="dxa" w:w="2492"/>
          </w:tcPr>
          <w:p>
            <w:pPr>
              <w:pStyle w:val="null3"/>
            </w:pPr>
            <w:r>
              <w:rPr>
                <w:rFonts w:ascii="仿宋_GB2312" w:hAnsi="仿宋_GB2312" w:cs="仿宋_GB2312" w:eastAsia="仿宋_GB2312"/>
              </w:rPr>
              <w:t>一、评审内容 提出针对本项目的人员管理方案，方案包含： ①工作标准：具有岗位工作标准、服务质量标准 ②内控制度：问责机制、监督机制、自查制度 ③人员管理制度：具有员工日常管理办法、请销假制度、奖惩措施、激励机制。 二、评审标准 1、完整性：方案须全面，对评审内容中的各项要求有详细描述及说明； 2、可实施性：切合本项目实际情况，实施步骤清晰、合理； 3、针对性：方案能够紧扣项目实际情况，内容科学合理。 三、赋分标准（满分9分） ①工作标准：每完全满足一个评审标准得1分，存在瑕疵得0.5分，满分3分； ②内控制度：每完全满足一个评审标准得1分，存在瑕疵得0.5分，满分3分； ③人员管理制度：每完全满足一个评审标准得1分，存在瑕疵得0.5分，满分3分。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项目经理（5分）</w:t>
            </w:r>
          </w:p>
        </w:tc>
        <w:tc>
          <w:tcPr>
            <w:tcW w:type="dxa" w:w="2492"/>
          </w:tcPr>
          <w:p>
            <w:pPr>
              <w:pStyle w:val="null3"/>
            </w:pPr>
            <w:r>
              <w:rPr>
                <w:rFonts w:ascii="仿宋_GB2312" w:hAnsi="仿宋_GB2312" w:cs="仿宋_GB2312" w:eastAsia="仿宋_GB2312"/>
              </w:rPr>
              <w:t>拟派项目经理具有与本项目相关专业本科及以上学历得1分，具有中级及以上软件设计师证书的得4分。 （提供项目经理投标截止前近六个月在本单位缴纳的社保证明、毕业证复印件及资格证书复印件并加盖供应商公章，未提供或提供不全证明材料的，不得分。）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项目团队（6分）</w:t>
            </w:r>
          </w:p>
        </w:tc>
        <w:tc>
          <w:tcPr>
            <w:tcW w:type="dxa" w:w="2492"/>
          </w:tcPr>
          <w:p>
            <w:pPr>
              <w:pStyle w:val="null3"/>
            </w:pPr>
            <w:r>
              <w:rPr>
                <w:rFonts w:ascii="仿宋_GB2312" w:hAnsi="仿宋_GB2312" w:cs="仿宋_GB2312" w:eastAsia="仿宋_GB2312"/>
              </w:rPr>
              <w:t>提出针对本项目的人员管理方案，方案包含：①组织机构运行配备方案②专业服务团队人员的职能分工方案 二、评审标准 1、完整性：方案须全面，对评审内容中的各项要求有详细描述及说明； 2、可实施性：切合本项目实际情况，实施步骤清晰、合理； 3、针对性：方案能够紧扣项目实际情况，内容科学合理。 三、赋分标准（满分6分） ①组织机构运行配备方案：每完全满足一项评审标准得1分，存在瑕疵得0.5分，满分3分； ②专业服务团队人员的职能分工方案：每完全满足一个评审标准得1分，存在瑕疵得0.5分，满分3分。 瑕疵是指存在不完全满足评分标准，但项目仍可实施。 （提供团队人员投标截止前近六个月在本单位缴纳的社保证明、身份证复印件、学历证复印件，并加盖公章，未提供或提供不全证明材料的，该项不得分。)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 （10分）</w:t>
            </w:r>
          </w:p>
        </w:tc>
        <w:tc>
          <w:tcPr>
            <w:tcW w:type="dxa" w:w="2492"/>
          </w:tcPr>
          <w:p>
            <w:pPr>
              <w:pStyle w:val="null3"/>
            </w:pPr>
            <w:r>
              <w:rPr>
                <w:rFonts w:ascii="仿宋_GB2312" w:hAnsi="仿宋_GB2312" w:cs="仿宋_GB2312" w:eastAsia="仿宋_GB2312"/>
              </w:rPr>
              <w:t>具有2022年1月1日以后类似项目业绩，每提供一个业绩得2分，满分10分。 注：以合同或中标通知书复印件加盖公章为依据。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