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版本号：ZJXG202510920251010001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2025年商贸企业培育纳统服务项目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ZJXG2025109</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2025年商贸企业培育纳统服务项目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ZJXG2025109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2025年商贸企业培育纳统服务项目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西安市支持培育商贸企业达限纳统应统尽统工作方案》，加快培育消费市场主体，支持商贸企业扩大经营、做大做强，指导企业达限纳统、应统尽统，现依托第三方力量，面向商贸企业、商业管理机构、商业协会进行培育纳统相关培训、政策宣讲等工作，不断扩大西安市限额以上商贸企业数量规模，促进全市经济社会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采购包1（2025年商贸企业培育纳统服务项目）：属于专门面向中小企业采购。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2023或2024年度经审计的财务报告（包括“四表一注”即《资产负债表》《利润表》《现金流量表》《所有者权益变动表》及其附注；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供应商需在项目电子化交易系统中按要求上传相应证明文件并进行电子签章。</w:t>
      </w:r>
    </w:p>
    <w:p>
      <w:pPr>
        <w:pStyle w:val="null3"/>
      </w:pPr>
      <w:r>
        <w:rPr>
          <w:rFonts w:ascii="仿宋_GB2312" w:hAnsi="仿宋_GB2312" w:cs="仿宋_GB2312" w:eastAsia="仿宋_GB2312"/>
        </w:rPr>
        <w:t>3、税收缴纳证明：提供2025年1月至今已缴纳的任意1个月的纳税证明或完税证明，依法免税的单位应提供相关证明材料。供应商需在项目电子化交易系统中按要求上传相应证明文件并进行电子签章。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1月至今已缴纳的任意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10、联合体：本项目不接受联合体磋商。供应商需在项目电子化交易系统中按要求上传相应证明文件并进行电子签章。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任春刚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029-86786522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关于印发&lt;招标代理服务收费管理暂行办法&gt;的通知》（计价格[2002]1980号）及国家发展和改革委员会（发改办价格[2011]534号）文件规定的收费标准计取，不足3300元按3300元收取。 招标代理服务费可以采取现金或转账方式缴纳。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联系人：白工</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西安市支持培育商贸企业达限纳统应统尽统工作方案》，加快培育消费市场主体，支持商贸企业扩大经营、做大做强，指导企业达限纳统、应统尽统，现依托第三方力量，面向商贸企业、商业管理机构、商业协会进行培育纳统相关培训、政策宣讲等工作，不断扩大西安市限额以上商贸企业数量规模，促进全市经济社会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2025年商贸企业培育纳统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标的名称：2025年商贸企业培育纳统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1"/>
              </w:rPr>
              <w:t>为贯彻落实《西安市支持培育商贸企业达限纳统应统尽统工作方案》，加快培育消费市场主体，支持商贸企业扩大经营、做大做强，指导企业达限纳统、应统尽统，现依托第三方力量，面向商贸企业、商业管理机构、商业协会进行培育纳统相关培训、政策宣讲等工作，不断扩大西安市限额以上商贸企业数量规模，促进全市经济社会高质量发展。</w:t>
            </w:r>
          </w:p>
          <w:p>
            <w:pPr>
              <w:pStyle w:val="null3"/>
              <w:jc w:val="both"/>
            </w:pPr>
            <w:r>
              <w:rPr>
                <w:rFonts w:ascii="仿宋_GB2312" w:hAnsi="仿宋_GB2312" w:cs="仿宋_GB2312" w:eastAsia="仿宋_GB2312"/>
                <w:sz w:val="21"/>
                <w:b/>
              </w:rPr>
              <w:t>二、服务内容</w:t>
            </w:r>
          </w:p>
          <w:p>
            <w:pPr>
              <w:pStyle w:val="null3"/>
              <w:jc w:val="both"/>
            </w:pPr>
            <w:r>
              <w:rPr>
                <w:rFonts w:ascii="仿宋_GB2312" w:hAnsi="仿宋_GB2312" w:cs="仿宋_GB2312" w:eastAsia="仿宋_GB2312"/>
                <w:sz w:val="21"/>
                <w:b/>
              </w:rPr>
              <w:t>（一）分类分级建立“白名单”企业库。</w:t>
            </w:r>
            <w:r>
              <w:rPr>
                <w:rFonts w:ascii="仿宋_GB2312" w:hAnsi="仿宋_GB2312" w:cs="仿宋_GB2312" w:eastAsia="仿宋_GB2312"/>
                <w:sz w:val="21"/>
              </w:rPr>
              <w:t>通过经济普查信息、税务数据初筛等方式，筛选符合达限纳统潜力企业，分年度（</w:t>
            </w:r>
            <w:r>
              <w:rPr>
                <w:rFonts w:ascii="仿宋_GB2312" w:hAnsi="仿宋_GB2312" w:cs="仿宋_GB2312" w:eastAsia="仿宋_GB2312"/>
                <w:sz w:val="21"/>
              </w:rPr>
              <w:t>2025</w:t>
            </w:r>
            <w:r>
              <w:rPr>
                <w:rFonts w:ascii="仿宋_GB2312" w:hAnsi="仿宋_GB2312" w:cs="仿宋_GB2312" w:eastAsia="仿宋_GB2312"/>
                <w:sz w:val="21"/>
              </w:rPr>
              <w:t>年、</w:t>
            </w:r>
            <w:r>
              <w:rPr>
                <w:rFonts w:ascii="仿宋_GB2312" w:hAnsi="仿宋_GB2312" w:cs="仿宋_GB2312" w:eastAsia="仿宋_GB2312"/>
                <w:sz w:val="21"/>
              </w:rPr>
              <w:t>2026</w:t>
            </w:r>
            <w:r>
              <w:rPr>
                <w:rFonts w:ascii="仿宋_GB2312" w:hAnsi="仿宋_GB2312" w:cs="仿宋_GB2312" w:eastAsia="仿宋_GB2312"/>
                <w:sz w:val="21"/>
              </w:rPr>
              <w:t>年）、分类型（“月度新增”“年度新增”）建立企业库，每月动态更新、调整补充“白名单”，跟踪做好“白名单”企业纳统工作台账</w:t>
            </w:r>
            <w:r>
              <w:rPr>
                <w:rFonts w:ascii="仿宋_GB2312" w:hAnsi="仿宋_GB2312" w:cs="仿宋_GB2312" w:eastAsia="仿宋_GB2312"/>
                <w:sz w:val="21"/>
              </w:rPr>
              <w:t>,</w:t>
            </w:r>
            <w:r>
              <w:rPr>
                <w:rFonts w:ascii="仿宋_GB2312" w:hAnsi="仿宋_GB2312" w:cs="仿宋_GB2312" w:eastAsia="仿宋_GB2312"/>
                <w:sz w:val="21"/>
              </w:rPr>
              <w:t>持续保证“白名单”企业不少于</w:t>
            </w:r>
            <w:r>
              <w:rPr>
                <w:rFonts w:ascii="仿宋_GB2312" w:hAnsi="仿宋_GB2312" w:cs="仿宋_GB2312" w:eastAsia="仿宋_GB2312"/>
                <w:sz w:val="21"/>
              </w:rPr>
              <w:t>1500</w:t>
            </w:r>
            <w:r>
              <w:rPr>
                <w:rFonts w:ascii="仿宋_GB2312" w:hAnsi="仿宋_GB2312" w:cs="仿宋_GB2312" w:eastAsia="仿宋_GB2312"/>
                <w:sz w:val="21"/>
              </w:rPr>
              <w:t>家。</w:t>
            </w:r>
          </w:p>
          <w:p>
            <w:pPr>
              <w:pStyle w:val="null3"/>
              <w:jc w:val="both"/>
            </w:pPr>
            <w:r>
              <w:rPr>
                <w:rFonts w:ascii="仿宋_GB2312" w:hAnsi="仿宋_GB2312" w:cs="仿宋_GB2312" w:eastAsia="仿宋_GB2312"/>
                <w:sz w:val="21"/>
                <w:b/>
              </w:rPr>
              <w:t>（二）监测“白名单”企业经营运行。</w:t>
            </w:r>
            <w:r>
              <w:rPr>
                <w:rFonts w:ascii="仿宋_GB2312" w:hAnsi="仿宋_GB2312" w:cs="仿宋_GB2312" w:eastAsia="仿宋_GB2312"/>
                <w:sz w:val="21"/>
              </w:rPr>
              <w:t>建立“白名单”企业监测机制，综合采取平台数据查询、上门调研服务等方式，核实“白名单”企业主营业务，了解掌握企业经营状况及成长性，提高“白名单”企业库精准度。跟进指导“白名单”企业申报入库，重点企业“一对一”指导，确保“白名单”企业入库率不低于</w:t>
            </w:r>
            <w:r>
              <w:rPr>
                <w:rFonts w:ascii="仿宋_GB2312" w:hAnsi="仿宋_GB2312" w:cs="仿宋_GB2312" w:eastAsia="仿宋_GB2312"/>
                <w:sz w:val="21"/>
              </w:rPr>
              <w:t>60%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（三）组织纳统政策宣讲。</w:t>
            </w:r>
            <w:r>
              <w:rPr>
                <w:rFonts w:ascii="仿宋_GB2312" w:hAnsi="仿宋_GB2312" w:cs="仿宋_GB2312" w:eastAsia="仿宋_GB2312"/>
                <w:sz w:val="21"/>
              </w:rPr>
              <w:t>按照“覆盖全域、聚焦重点”原则，分区县巡回开展政策宣讲，解读政策细节，消除企业纳统顾虑，调动企业纳统积极性，跟踪服务重点企业达限纳统，全年组织培育纳统政策宣讲不少于</w:t>
            </w:r>
            <w:r>
              <w:rPr>
                <w:rFonts w:ascii="仿宋_GB2312" w:hAnsi="仿宋_GB2312" w:cs="仿宋_GB2312" w:eastAsia="仿宋_GB2312"/>
                <w:sz w:val="21"/>
              </w:rPr>
              <w:t>24</w:t>
            </w:r>
            <w:r>
              <w:rPr>
                <w:rFonts w:ascii="仿宋_GB2312" w:hAnsi="仿宋_GB2312" w:cs="仿宋_GB2312" w:eastAsia="仿宋_GB2312"/>
                <w:sz w:val="21"/>
              </w:rPr>
              <w:t>场。</w:t>
            </w:r>
          </w:p>
          <w:p>
            <w:pPr>
              <w:pStyle w:val="null3"/>
              <w:jc w:val="both"/>
            </w:pPr>
            <w:r>
              <w:rPr>
                <w:rFonts w:ascii="仿宋_GB2312" w:hAnsi="仿宋_GB2312" w:cs="仿宋_GB2312" w:eastAsia="仿宋_GB2312"/>
                <w:sz w:val="21"/>
                <w:b/>
              </w:rPr>
              <w:t>（四）组织数据填报培训。</w:t>
            </w:r>
            <w:r>
              <w:rPr>
                <w:rFonts w:ascii="仿宋_GB2312" w:hAnsi="仿宋_GB2312" w:cs="仿宋_GB2312" w:eastAsia="仿宋_GB2312"/>
                <w:sz w:val="21"/>
              </w:rPr>
              <w:t>针对新入库企业采用“理论讲解</w:t>
            </w:r>
            <w:r>
              <w:rPr>
                <w:rFonts w:ascii="仿宋_GB2312" w:hAnsi="仿宋_GB2312" w:cs="仿宋_GB2312" w:eastAsia="仿宋_GB2312"/>
                <w:sz w:val="21"/>
              </w:rPr>
              <w:t>+</w:t>
            </w:r>
            <w:r>
              <w:rPr>
                <w:rFonts w:ascii="仿宋_GB2312" w:hAnsi="仿宋_GB2312" w:cs="仿宋_GB2312" w:eastAsia="仿宋_GB2312"/>
                <w:sz w:val="21"/>
              </w:rPr>
              <w:t>实操演示</w:t>
            </w:r>
            <w:r>
              <w:rPr>
                <w:rFonts w:ascii="仿宋_GB2312" w:hAnsi="仿宋_GB2312" w:cs="仿宋_GB2312" w:eastAsia="仿宋_GB2312"/>
                <w:sz w:val="21"/>
              </w:rPr>
              <w:t>+</w:t>
            </w:r>
            <w:r>
              <w:rPr>
                <w:rFonts w:ascii="仿宋_GB2312" w:hAnsi="仿宋_GB2312" w:cs="仿宋_GB2312" w:eastAsia="仿宋_GB2312"/>
                <w:sz w:val="21"/>
              </w:rPr>
              <w:t>案例分析”模式，围绕报表系统操作、数据填报规范（如营收、利润、纳税等指标填写要求）、数据审核、常见错误规避等内容开展数据填报培训，提升企业数据填报质量，全年组织数据填报培训不少于</w:t>
            </w:r>
            <w:r>
              <w:rPr>
                <w:rFonts w:ascii="仿宋_GB2312" w:hAnsi="仿宋_GB2312" w:cs="仿宋_GB2312" w:eastAsia="仿宋_GB2312"/>
                <w:sz w:val="21"/>
              </w:rPr>
              <w:t>15</w:t>
            </w:r>
            <w:r>
              <w:rPr>
                <w:rFonts w:ascii="仿宋_GB2312" w:hAnsi="仿宋_GB2312" w:cs="仿宋_GB2312" w:eastAsia="仿宋_GB2312"/>
                <w:sz w:val="21"/>
              </w:rPr>
              <w:t>场。</w:t>
            </w:r>
          </w:p>
          <w:p>
            <w:pPr>
              <w:pStyle w:val="null3"/>
              <w:jc w:val="both"/>
            </w:pPr>
            <w:r>
              <w:rPr>
                <w:rFonts w:ascii="仿宋_GB2312" w:hAnsi="仿宋_GB2312" w:cs="仿宋_GB2312" w:eastAsia="仿宋_GB2312"/>
                <w:sz w:val="21"/>
                <w:b/>
              </w:rPr>
              <w:t>（五）拓宽政策传播渠道。</w:t>
            </w:r>
            <w:r>
              <w:rPr>
                <w:rFonts w:ascii="仿宋_GB2312" w:hAnsi="仿宋_GB2312" w:cs="仿宋_GB2312" w:eastAsia="仿宋_GB2312"/>
                <w:sz w:val="21"/>
              </w:rPr>
              <w:t>在“西安商务”微信公众号发布培育纳统相关工作指引不少于</w:t>
            </w:r>
            <w:r>
              <w:rPr>
                <w:rFonts w:ascii="仿宋_GB2312" w:hAnsi="仿宋_GB2312" w:cs="仿宋_GB2312" w:eastAsia="仿宋_GB2312"/>
                <w:sz w:val="21"/>
              </w:rPr>
              <w:t>20</w:t>
            </w:r>
            <w:r>
              <w:rPr>
                <w:rFonts w:ascii="仿宋_GB2312" w:hAnsi="仿宋_GB2312" w:cs="仿宋_GB2312" w:eastAsia="仿宋_GB2312"/>
                <w:sz w:val="21"/>
              </w:rPr>
              <w:t>篇，扩大传播覆盖面，确保企业及时获取纳统信息；制作纳统工作相关视频不少于</w:t>
            </w:r>
            <w:r>
              <w:rPr>
                <w:rFonts w:ascii="仿宋_GB2312" w:hAnsi="仿宋_GB2312" w:cs="仿宋_GB2312" w:eastAsia="仿宋_GB2312"/>
                <w:sz w:val="21"/>
              </w:rPr>
              <w:t>15</w:t>
            </w:r>
            <w:r>
              <w:rPr>
                <w:rFonts w:ascii="仿宋_GB2312" w:hAnsi="仿宋_GB2312" w:cs="仿宋_GB2312" w:eastAsia="仿宋_GB2312"/>
                <w:sz w:val="21"/>
              </w:rPr>
              <w:t>条，以动漫形式指引企业纳统申报。</w:t>
            </w:r>
          </w:p>
          <w:p>
            <w:pPr>
              <w:pStyle w:val="null3"/>
              <w:jc w:val="both"/>
            </w:pPr>
            <w:r>
              <w:rPr>
                <w:rFonts w:ascii="仿宋_GB2312" w:hAnsi="仿宋_GB2312" w:cs="仿宋_GB2312" w:eastAsia="仿宋_GB2312"/>
                <w:sz w:val="21"/>
                <w:b/>
              </w:rPr>
              <w:t>（六）编制政策宣讲手册。</w:t>
            </w:r>
            <w:r>
              <w:rPr>
                <w:rFonts w:ascii="仿宋_GB2312" w:hAnsi="仿宋_GB2312" w:cs="仿宋_GB2312" w:eastAsia="仿宋_GB2312"/>
                <w:sz w:val="21"/>
              </w:rPr>
              <w:t>收集纳统相关政策文件、申报流程、所需材料清单、常见问题解答等资料，印制</w:t>
            </w:r>
            <w:r>
              <w:rPr>
                <w:rFonts w:ascii="仿宋_GB2312" w:hAnsi="仿宋_GB2312" w:cs="仿宋_GB2312" w:eastAsia="仿宋_GB2312"/>
                <w:sz w:val="21"/>
              </w:rPr>
              <w:t>1200</w:t>
            </w:r>
            <w:r>
              <w:rPr>
                <w:rFonts w:ascii="仿宋_GB2312" w:hAnsi="仿宋_GB2312" w:cs="仿宋_GB2312" w:eastAsia="仿宋_GB2312"/>
                <w:sz w:val="21"/>
              </w:rPr>
              <w:t>份政策宣讲手册，便于企业了解掌握相关纳统政策。</w:t>
            </w:r>
          </w:p>
          <w:p>
            <w:pPr>
              <w:pStyle w:val="null3"/>
              <w:jc w:val="both"/>
            </w:pPr>
            <w:r>
              <w:rPr>
                <w:rFonts w:ascii="仿宋_GB2312" w:hAnsi="仿宋_GB2312" w:cs="仿宋_GB2312" w:eastAsia="仿宋_GB2312"/>
                <w:sz w:val="21"/>
                <w:b/>
              </w:rPr>
              <w:t>（七）开展培育纳统调研。</w:t>
            </w:r>
            <w:r>
              <w:rPr>
                <w:rFonts w:ascii="仿宋_GB2312" w:hAnsi="仿宋_GB2312" w:cs="仿宋_GB2312" w:eastAsia="仿宋_GB2312"/>
                <w:sz w:val="21"/>
              </w:rPr>
              <w:t>通过实地走访、座谈会、问卷调查等方式，收集整理企业纳统过程中难点问题和意见建议，形成不少于</w:t>
            </w:r>
            <w:r>
              <w:rPr>
                <w:rFonts w:ascii="仿宋_GB2312" w:hAnsi="仿宋_GB2312" w:cs="仿宋_GB2312" w:eastAsia="仿宋_GB2312"/>
                <w:sz w:val="21"/>
              </w:rPr>
              <w:t>2</w:t>
            </w:r>
            <w:r>
              <w:rPr>
                <w:rFonts w:ascii="仿宋_GB2312" w:hAnsi="仿宋_GB2312" w:cs="仿宋_GB2312" w:eastAsia="仿宋_GB2312"/>
                <w:sz w:val="21"/>
              </w:rPr>
              <w:t>份专业的调研报告，为进一步调整纳统政策、优化工作机制提供决策参考。</w:t>
            </w:r>
          </w:p>
          <w:p>
            <w:pPr>
              <w:pStyle w:val="null3"/>
              <w:jc w:val="both"/>
            </w:pPr>
            <w:r>
              <w:rPr>
                <w:rFonts w:ascii="仿宋_GB2312" w:hAnsi="仿宋_GB2312" w:cs="仿宋_GB2312" w:eastAsia="仿宋_GB2312"/>
                <w:sz w:val="21"/>
                <w:b/>
              </w:rPr>
              <w:t>三、服务要求</w:t>
            </w:r>
          </w:p>
          <w:p>
            <w:pPr>
              <w:pStyle w:val="null3"/>
              <w:jc w:val="both"/>
            </w:pPr>
            <w:r>
              <w:rPr>
                <w:rFonts w:ascii="仿宋_GB2312" w:hAnsi="仿宋_GB2312" w:cs="仿宋_GB2312" w:eastAsia="仿宋_GB2312"/>
                <w:sz w:val="21"/>
              </w:rPr>
              <w:t>（一）具备收集市域内商业综合体、产销一体企业、品牌连锁企业、批发、零售、住宿、餐饮等企业经营状况的渠道，能够提供开展培育纳统所需的跟进指导服务。</w:t>
            </w:r>
          </w:p>
          <w:p>
            <w:pPr>
              <w:pStyle w:val="null3"/>
              <w:jc w:val="both"/>
            </w:pPr>
            <w:r>
              <w:rPr>
                <w:rFonts w:ascii="仿宋_GB2312" w:hAnsi="仿宋_GB2312" w:cs="仿宋_GB2312" w:eastAsia="仿宋_GB2312"/>
                <w:sz w:val="21"/>
              </w:rPr>
              <w:t>（二）对我市培育纳统相关支持政策知晓，具备组织商贸企业开展政策宣传的经验，能够分区县、分行业组织企业参加培训活动。</w:t>
            </w:r>
          </w:p>
          <w:p>
            <w:pPr>
              <w:pStyle w:val="null3"/>
              <w:jc w:val="both"/>
            </w:pPr>
            <w:r>
              <w:rPr>
                <w:rFonts w:ascii="仿宋_GB2312" w:hAnsi="仿宋_GB2312" w:cs="仿宋_GB2312" w:eastAsia="仿宋_GB2312"/>
                <w:sz w:val="21"/>
              </w:rPr>
              <w:t>（三）合同期间，安排专人对接落实各项具体事宜，确保服务效果。</w:t>
            </w:r>
          </w:p>
          <w:p>
            <w:pPr>
              <w:pStyle w:val="null3"/>
              <w:jc w:val="both"/>
            </w:pPr>
            <w:r>
              <w:rPr>
                <w:rFonts w:ascii="仿宋_GB2312" w:hAnsi="仿宋_GB2312" w:cs="仿宋_GB2312" w:eastAsia="仿宋_GB2312"/>
                <w:sz w:val="21"/>
                <w:b/>
              </w:rPr>
              <w:t>四、商务要求</w:t>
            </w:r>
          </w:p>
          <w:p>
            <w:pPr>
              <w:pStyle w:val="null3"/>
              <w:jc w:val="both"/>
            </w:pPr>
            <w:r>
              <w:rPr>
                <w:rFonts w:ascii="仿宋_GB2312" w:hAnsi="仿宋_GB2312" w:cs="仿宋_GB2312" w:eastAsia="仿宋_GB2312"/>
                <w:sz w:val="21"/>
                <w:b/>
              </w:rPr>
              <w:t>（一）服务期限</w:t>
            </w:r>
          </w:p>
          <w:p>
            <w:pPr>
              <w:pStyle w:val="null3"/>
              <w:jc w:val="both"/>
            </w:pPr>
            <w:r>
              <w:rPr>
                <w:rFonts w:ascii="仿宋_GB2312" w:hAnsi="仿宋_GB2312" w:cs="仿宋_GB2312" w:eastAsia="仿宋_GB2312"/>
                <w:sz w:val="21"/>
              </w:rPr>
              <w:t>2025</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p>
            <w:pPr>
              <w:pStyle w:val="null3"/>
              <w:jc w:val="both"/>
            </w:pPr>
            <w:r>
              <w:rPr>
                <w:rFonts w:ascii="仿宋_GB2312" w:hAnsi="仿宋_GB2312" w:cs="仿宋_GB2312" w:eastAsia="仿宋_GB2312"/>
                <w:sz w:val="21"/>
                <w:b/>
              </w:rPr>
              <w:t>（二）款项结算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付款条件说明：</w:t>
            </w:r>
            <w:r>
              <w:rPr>
                <w:rFonts w:ascii="仿宋_GB2312" w:hAnsi="仿宋_GB2312" w:cs="仿宋_GB2312" w:eastAsia="仿宋_GB2312"/>
                <w:sz w:val="21"/>
              </w:rPr>
              <w:t>政府采购手续完成合同签订后，供应商向采购方开具等额的增值税普通发票，采购方收到合规的发票</w:t>
            </w:r>
            <w:r>
              <w:rPr>
                <w:rFonts w:ascii="仿宋_GB2312" w:hAnsi="仿宋_GB2312" w:cs="仿宋_GB2312" w:eastAsia="仿宋_GB2312"/>
                <w:sz w:val="21"/>
              </w:rPr>
              <w:t>，达到付款条件起</w:t>
            </w:r>
            <w:r>
              <w:rPr>
                <w:rFonts w:ascii="仿宋_GB2312" w:hAnsi="仿宋_GB2312" w:cs="仿宋_GB2312" w:eastAsia="仿宋_GB2312"/>
                <w:sz w:val="21"/>
              </w:rPr>
              <w:t xml:space="preserve"> 20 </w:t>
            </w:r>
            <w:r>
              <w:rPr>
                <w:rFonts w:ascii="仿宋_GB2312" w:hAnsi="仿宋_GB2312" w:cs="仿宋_GB2312" w:eastAsia="仿宋_GB2312"/>
                <w:sz w:val="21"/>
              </w:rPr>
              <w:t>日内，支付合同总金额的</w:t>
            </w:r>
            <w:r>
              <w:rPr>
                <w:rFonts w:ascii="仿宋_GB2312" w:hAnsi="仿宋_GB2312" w:cs="仿宋_GB2312" w:eastAsia="仿宋_GB2312"/>
                <w:sz w:val="21"/>
              </w:rPr>
              <w:t xml:space="preserve"> 80.00%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付款条件说明：</w:t>
            </w:r>
            <w:r>
              <w:rPr>
                <w:rFonts w:ascii="仿宋_GB2312" w:hAnsi="仿宋_GB2312" w:cs="仿宋_GB2312" w:eastAsia="仿宋_GB2312"/>
                <w:sz w:val="21"/>
              </w:rPr>
              <w:t>全年服务执行完毕，经验收合格后，向采购方开具等额的增值税普通发票。采购方收到合规的发票</w:t>
            </w:r>
            <w:r>
              <w:rPr>
                <w:rFonts w:ascii="仿宋_GB2312" w:hAnsi="仿宋_GB2312" w:cs="仿宋_GB2312" w:eastAsia="仿宋_GB2312"/>
                <w:sz w:val="21"/>
              </w:rPr>
              <w:t>，达到付款条件起</w:t>
            </w:r>
            <w:r>
              <w:rPr>
                <w:rFonts w:ascii="仿宋_GB2312" w:hAnsi="仿宋_GB2312" w:cs="仿宋_GB2312" w:eastAsia="仿宋_GB2312"/>
                <w:sz w:val="21"/>
              </w:rPr>
              <w:t xml:space="preserve"> 20 </w:t>
            </w:r>
            <w:r>
              <w:rPr>
                <w:rFonts w:ascii="仿宋_GB2312" w:hAnsi="仿宋_GB2312" w:cs="仿宋_GB2312" w:eastAsia="仿宋_GB2312"/>
                <w:sz w:val="21"/>
              </w:rPr>
              <w:t>日内，支付合同总金额的</w:t>
            </w:r>
            <w:r>
              <w:rPr>
                <w:rFonts w:ascii="仿宋_GB2312" w:hAnsi="仿宋_GB2312" w:cs="仿宋_GB2312" w:eastAsia="仿宋_GB2312"/>
                <w:sz w:val="21"/>
              </w:rPr>
              <w:t xml:space="preserve"> 20.00%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五、其他</w:t>
            </w:r>
          </w:p>
          <w:p>
            <w:pPr>
              <w:pStyle w:val="null3"/>
              <w:jc w:val="both"/>
            </w:pPr>
            <w:r>
              <w:rPr>
                <w:rFonts w:ascii="仿宋_GB2312" w:hAnsi="仿宋_GB2312" w:cs="仿宋_GB2312" w:eastAsia="仿宋_GB2312"/>
                <w:sz w:val="21"/>
                <w:b/>
              </w:rPr>
              <w:t>（一）进度要求</w:t>
            </w:r>
          </w:p>
          <w:p>
            <w:pPr>
              <w:pStyle w:val="null3"/>
              <w:jc w:val="both"/>
            </w:pPr>
            <w:r>
              <w:rPr>
                <w:rFonts w:ascii="仿宋_GB2312" w:hAnsi="仿宋_GB2312" w:cs="仿宋_GB2312" w:eastAsia="仿宋_GB2312"/>
                <w:sz w:val="21"/>
              </w:rPr>
              <w:t>按甲方进度要求组织。</w:t>
            </w:r>
          </w:p>
          <w:p>
            <w:pPr>
              <w:pStyle w:val="null3"/>
              <w:jc w:val="both"/>
            </w:pPr>
            <w:r>
              <w:rPr>
                <w:rFonts w:ascii="仿宋_GB2312" w:hAnsi="仿宋_GB2312" w:cs="仿宋_GB2312" w:eastAsia="仿宋_GB2312"/>
                <w:sz w:val="21"/>
                <w:b/>
              </w:rPr>
              <w:t>（二）成果交付要求</w:t>
            </w:r>
          </w:p>
          <w:p>
            <w:pPr>
              <w:pStyle w:val="null3"/>
              <w:jc w:val="both"/>
            </w:pPr>
            <w:r>
              <w:rPr>
                <w:rFonts w:ascii="仿宋_GB2312" w:hAnsi="仿宋_GB2312" w:cs="仿宋_GB2312" w:eastAsia="仿宋_GB2312"/>
                <w:sz w:val="21"/>
              </w:rPr>
              <w:t>需达到采购人对项目的具体要求。</w:t>
            </w:r>
          </w:p>
          <w:p>
            <w:pPr>
              <w:pStyle w:val="null3"/>
              <w:jc w:val="both"/>
            </w:pPr>
            <w:r>
              <w:rPr>
                <w:rFonts w:ascii="仿宋_GB2312" w:hAnsi="仿宋_GB2312" w:cs="仿宋_GB2312" w:eastAsia="仿宋_GB2312"/>
                <w:sz w:val="21"/>
                <w:b/>
              </w:rPr>
              <w:t>（三）质量验收标准或规范</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、服务期满后按照成交供应商所提供的资料及数据进行验收；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、最终验收：自合同签订之日起至完成全部项目内容，需按照采购人确定的时间完成交付并验收合格，验收合格后，填写验收单。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、验收和评价方式</w:t>
            </w:r>
          </w:p>
          <w:p>
            <w:pPr>
              <w:pStyle w:val="null3"/>
              <w:jc w:val="both"/>
            </w:pPr>
            <w:r>
              <w:rPr>
                <w:rFonts w:ascii="仿宋_GB2312" w:hAnsi="仿宋_GB2312" w:cs="仿宋_GB2312" w:eastAsia="仿宋_GB2312"/>
                <w:sz w:val="21"/>
              </w:rPr>
              <w:t xml:space="preserve">3.1  </w:t>
            </w:r>
            <w:r>
              <w:rPr>
                <w:rFonts w:ascii="仿宋_GB2312" w:hAnsi="仿宋_GB2312" w:cs="仿宋_GB2312" w:eastAsia="仿宋_GB2312"/>
                <w:sz w:val="21"/>
              </w:rPr>
              <w:t>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pPr>
              <w:pStyle w:val="null3"/>
              <w:jc w:val="both"/>
            </w:pPr>
            <w:r>
              <w:rPr>
                <w:rFonts w:ascii="仿宋_GB2312" w:hAnsi="仿宋_GB2312" w:cs="仿宋_GB2312" w:eastAsia="仿宋_GB2312"/>
                <w:sz w:val="21"/>
              </w:rPr>
              <w:t xml:space="preserve">3.2  </w:t>
            </w:r>
            <w:r>
              <w:rPr>
                <w:rFonts w:ascii="仿宋_GB2312" w:hAnsi="仿宋_GB2312" w:cs="仿宋_GB2312" w:eastAsia="仿宋_GB2312"/>
                <w:sz w:val="21"/>
              </w:rPr>
              <w:t>若发现乙方有弄虚作假的，及在项目实施阶段故意或随意夸大服务，本项目合同解除，乙方赔偿甲方相应的损失。</w:t>
            </w:r>
          </w:p>
          <w:p>
            <w:pPr>
              <w:pStyle w:val="null3"/>
              <w:jc w:val="both"/>
            </w:pPr>
            <w:r>
              <w:rPr>
                <w:rFonts w:ascii="仿宋_GB2312" w:hAnsi="仿宋_GB2312" w:cs="仿宋_GB2312" w:eastAsia="仿宋_GB2312"/>
                <w:sz w:val="21"/>
              </w:rPr>
              <w:t xml:space="preserve">3.3  </w:t>
            </w:r>
            <w:r>
              <w:rPr>
                <w:rFonts w:ascii="仿宋_GB2312" w:hAnsi="仿宋_GB2312" w:cs="仿宋_GB2312" w:eastAsia="仿宋_GB2312"/>
                <w:sz w:val="21"/>
              </w:rPr>
              <w:t>验收标准：按磋商文件、磋商响应文件等服务指标进行逐项验收，各项指标均应符合验收标准及要求。</w:t>
            </w:r>
          </w:p>
          <w:p>
            <w:pPr>
              <w:pStyle w:val="null3"/>
              <w:jc w:val="both"/>
            </w:pPr>
            <w:r>
              <w:rPr>
                <w:rFonts w:ascii="仿宋_GB2312" w:hAnsi="仿宋_GB2312" w:cs="仿宋_GB2312" w:eastAsia="仿宋_GB2312"/>
                <w:sz w:val="21"/>
              </w:rPr>
              <w:t xml:space="preserve">3.4  </w:t>
            </w:r>
            <w:r>
              <w:rPr>
                <w:rFonts w:ascii="仿宋_GB2312" w:hAnsi="仿宋_GB2312" w:cs="仿宋_GB2312" w:eastAsia="仿宋_GB2312"/>
                <w:sz w:val="21"/>
              </w:rPr>
              <w:t>验收合格后，填写验收单，双方盖章、签字生效。</w:t>
            </w:r>
          </w:p>
          <w:p>
            <w:pPr>
              <w:pStyle w:val="null3"/>
              <w:jc w:val="both"/>
            </w:pPr>
            <w:r>
              <w:rPr>
                <w:rFonts w:ascii="仿宋_GB2312" w:hAnsi="仿宋_GB2312" w:cs="仿宋_GB2312" w:eastAsia="仿宋_GB2312"/>
                <w:sz w:val="21"/>
              </w:rPr>
              <w:t xml:space="preserve">3.5  </w:t>
            </w:r>
            <w:r>
              <w:rPr>
                <w:rFonts w:ascii="仿宋_GB2312" w:hAnsi="仿宋_GB2312" w:cs="仿宋_GB2312" w:eastAsia="仿宋_GB2312"/>
                <w:sz w:val="21"/>
              </w:rPr>
              <w:t>验收依据</w:t>
            </w:r>
          </w:p>
          <w:p>
            <w:pPr>
              <w:pStyle w:val="null3"/>
              <w:jc w:val="both"/>
            </w:pPr>
            <w:r>
              <w:rPr>
                <w:rFonts w:ascii="仿宋_GB2312" w:hAnsi="仿宋_GB2312" w:cs="仿宋_GB2312" w:eastAsia="仿宋_GB2312"/>
                <w:sz w:val="21"/>
              </w:rPr>
              <w:t xml:space="preserve">3.5.1  </w:t>
            </w:r>
            <w:r>
              <w:rPr>
                <w:rFonts w:ascii="仿宋_GB2312" w:hAnsi="仿宋_GB2312" w:cs="仿宋_GB2312" w:eastAsia="仿宋_GB2312"/>
                <w:sz w:val="21"/>
              </w:rPr>
              <w:t>合同文本。</w:t>
            </w:r>
          </w:p>
          <w:p>
            <w:pPr>
              <w:pStyle w:val="null3"/>
              <w:jc w:val="both"/>
            </w:pPr>
            <w:r>
              <w:rPr>
                <w:rFonts w:ascii="仿宋_GB2312" w:hAnsi="仿宋_GB2312" w:cs="仿宋_GB2312" w:eastAsia="仿宋_GB2312"/>
                <w:sz w:val="21"/>
              </w:rPr>
              <w:t xml:space="preserve">3.5.2  </w:t>
            </w:r>
            <w:r>
              <w:rPr>
                <w:rFonts w:ascii="仿宋_GB2312" w:hAnsi="仿宋_GB2312" w:cs="仿宋_GB2312" w:eastAsia="仿宋_GB2312"/>
                <w:sz w:val="21"/>
              </w:rPr>
              <w:t>磋商响应文件、磋商文件、澄清函。</w:t>
            </w:r>
          </w:p>
          <w:p>
            <w:pPr>
              <w:pStyle w:val="null3"/>
              <w:jc w:val="both"/>
            </w:pPr>
            <w:r>
              <w:rPr>
                <w:rFonts w:ascii="仿宋_GB2312" w:hAnsi="仿宋_GB2312" w:cs="仿宋_GB2312" w:eastAsia="仿宋_GB2312"/>
                <w:sz w:val="21"/>
              </w:rPr>
              <w:t xml:space="preserve">3.5.3  </w:t>
            </w:r>
            <w:r>
              <w:rPr>
                <w:rFonts w:ascii="仿宋_GB2312" w:hAnsi="仿宋_GB2312" w:cs="仿宋_GB2312" w:eastAsia="仿宋_GB2312"/>
                <w:sz w:val="21"/>
              </w:rPr>
              <w:t>国家和行业制定的相应的标准和规范。</w:t>
            </w:r>
          </w:p>
          <w:p>
            <w:pPr>
              <w:pStyle w:val="null3"/>
              <w:jc w:val="both"/>
            </w:pPr>
            <w:r>
              <w:rPr>
                <w:rFonts w:ascii="仿宋_GB2312" w:hAnsi="仿宋_GB2312" w:cs="仿宋_GB2312" w:eastAsia="仿宋_GB2312"/>
                <w:sz w:val="21"/>
                <w:b/>
              </w:rPr>
              <w:t>（四）违约责任</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、按《民法典》中的相关条款执行。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、由于“疫情”等不可抗力因素造成无法按照原计划提供服务，双方互不追究违约责任。</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、如有异议另行协商。</w:t>
            </w:r>
          </w:p>
          <w:p>
            <w:pPr>
              <w:pStyle w:val="null3"/>
              <w:jc w:val="both"/>
            </w:pPr>
            <w:r>
              <w:rPr>
                <w:rFonts w:ascii="仿宋_GB2312" w:hAnsi="仿宋_GB2312" w:cs="仿宋_GB2312" w:eastAsia="仿宋_GB2312"/>
                <w:sz w:val="21"/>
                <w:b/>
              </w:rPr>
              <w:t>六、服务范围：</w:t>
            </w:r>
            <w:r>
              <w:rPr>
                <w:rFonts w:ascii="仿宋_GB2312" w:hAnsi="仿宋_GB2312" w:cs="仿宋_GB2312" w:eastAsia="仿宋_GB2312"/>
                <w:sz w:val="21"/>
              </w:rPr>
              <w:t>本项目包含的所有服务。</w:t>
            </w:r>
          </w:p>
          <w:p>
            <w:pPr>
              <w:pStyle w:val="null3"/>
            </w:pPr>
            <w:r>
              <w:rPr>
                <w:rFonts w:ascii="仿宋_GB2312" w:hAnsi="仿宋_GB2312" w:cs="仿宋_GB2312" w:eastAsia="仿宋_GB2312"/>
                <w:sz w:val="21"/>
                <w:b/>
              </w:rPr>
              <w:t>七、服务标准：</w:t>
            </w:r>
            <w:r>
              <w:rPr>
                <w:rFonts w:ascii="仿宋_GB2312" w:hAnsi="仿宋_GB2312" w:cs="仿宋_GB2312" w:eastAsia="仿宋_GB2312"/>
                <w:sz w:val="21"/>
              </w:rPr>
              <w:t>符合国家或行业标准。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满足本项目要求，详见竞争性磋商文件。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2025年10月-2026年6月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1、服务期满后按照成交供应商所提供的资料及数据进行验收； 2、最终验收：自合同签订之日起至完成全部项目内容，需按照采购人确定的时间完成交付并验收合格，验收合格后，填写验收单。 3、验收和评价方式 3.1 乙方提供的服务最终验收达不到磋商文件要求和磋商响应文件承诺及国家或行业标准，或在使用中发现甲方不能容忍的缺陷等，将视为验收不合格，乙方应在甲方要求的时间内无条件完善或要求赔付采购人损失。 3.2 若发现乙方有弄虚作假的，及在项目实施阶段故意或随意夸大服务，本项目合同解除，乙方赔偿甲方相应的损失。 3.3 验收标准：按磋商文件、磋商响应文件等服务指标进行逐项验收，各项指标均应符合验收标准及要求。 3.4 验收合格后，填写验收单，双方盖章、签字生效。 3.5 验收依据 3.5.1 合同文本。 3.5.2 磋商响应文件、磋商文件、澄清函。 3.5.3 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政府采购手续完成合同签订后，供应商向采购方开具等额的增值税普通发票，采购方收到合规的发票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全年服务执行完毕，经验收合格后，向采购方开具等额的增值税普通发票。采购方收到合规的发票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3、由于“疫情”等不可抗力因素造成无法按照原计划提供服务，双方互不追究违约责任。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年度经审计的财务报告（包括“四表一注”即《资产负债表》《利润表》《现金流量表》《所有者权益变动表》及其附注；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包括“四表一注”即《资产负债表》《利润表》《现金流量表》《所有者权益变动表》及其附注；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提供2025年1月至今已缴纳的任意1个月的纳税证明或完税证明，依法免税的单位应提供相关证明材料。供应商需在项目电子化交易系统中按要求上传相应证明文件并进行电子签章。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纳的任意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 xml:space="preserve"> 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内容包括 ①项目背景的分析②项目特点及特殊性的理解③工作目标分析。背景分析详细、项目需求理解深入、工作目标清晰明确，对本项目工作的顺利开展有指导性意义计7.0-10.0分； 背景分析基本详细、项目需求理解一般、工作目标模糊计4.0-7.0分； 内容有缺项，完整度差，计1.0-4.0分；未提供本项不得分。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服务方案包括①服务内容②服务流程③服务标准④服务响应。 服务方案科学合理、切实可行，得12.0-16.0分；服务方案基本合理、具有可操作性，得8.0-12.0分；服务方案合理性一般、可操作性一般，得4.0-8.0分； 服务方案合理性差、可操作性差，得1.0-4.0分； 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针对本项目提供完整、具体可行的进度计划。 进度计划详尽，完全满足采购人需求计7.0-10.0分；进度计划较全面，基本满足采购人需求计4.0-7.0分； 进度计划简略，部分满足采购人需求计1.0-4.0分；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①拟投入人员配置清单、数量、专业能力、经验（提供相关证明材料）②团队的职能分工及职责划分方案。 人员配备合理，有人员名单及分工，能够满足项目实施进度安排，得7.0-10.0分；人员配置基本合理，基本满足项目实施进度安排的，得4.0-7.0分；人员配置少，不能够满足项目实施进度安排的得1.0-4.0分；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质量保证措施内容包括①专业团队与资源的保障②质量控制体系③沟通机制④质量承诺与售后服务支持。措施全面、具体、可行、科学合理，得7.0-10.0分； 保障措施比较全面、具体、可行、科学合理，得4.0-7.0分； 保障措施简单，有一定的合理性得1.0-4.0分；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重点与难点分析</w:t>
            </w:r>
          </w:p>
        </w:tc>
        <w:tc>
          <w:tcPr>
            <w:tcW w:type="dxa" w:w="2492"/>
          </w:tcPr>
          <w:p>
            <w:pPr>
              <w:pStyle w:val="null3"/>
            </w:pPr>
            <w:r>
              <w:rPr>
                <w:rFonts w:ascii="仿宋_GB2312" w:hAnsi="仿宋_GB2312" w:cs="仿宋_GB2312" w:eastAsia="仿宋_GB2312"/>
              </w:rPr>
              <w:t>针对本项目提出的难点、重点进行分析并提出解决措施。重点和难点分析全面，合理，并且提出切实可行的解决办法的，得7.0-10.0分； 重点和难点分析全面，合理，对于重难点的解决办法较为合理可行的，得4.0-7.0分； 重点和难点分析基本全面，基本合理，对于重难点的解决办法基本可行的，得1.0-4.0分；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提供供应商2022年10月至响应文件递交截止日类似项目业绩（以合同复印件为准），每提供一份业绩得2分，最高得10分。未提供不得分。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①保密制度②对项目实施过程中涉及保密内容的保密承诺及措施。 措施内容科学具体，针对性强，得3.0-5.0分； 措施内容不够具体，得1.0-3.0分；未提供不得分。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建议全面且从多个角度考虑，合理可行且对项目实施具有较强的指导作用的得2.0-4.0分； 建议基本全面但实施有难度的，得1.0-2.0分；未提供不得分。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承诺全面且从多个角度明确地做出承诺，合理可行且完全能满足采购人对项目需求的，得3.1-5.0分； 承诺基本全面但实施有难度的，得1.0-3.0分；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