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F52C2">
      <w:pPr>
        <w:jc w:val="both"/>
        <w:rPr>
          <w:rFonts w:hint="eastAsia" w:ascii="宋体" w:hAnsi="宋体" w:eastAsia="宋体" w:cs="宋体"/>
          <w:b/>
          <w:snapToGrid w:val="0"/>
          <w:sz w:val="48"/>
          <w:szCs w:val="48"/>
          <w:highlight w:val="none"/>
          <w:u w:val="single"/>
        </w:rPr>
      </w:pPr>
    </w:p>
    <w:p w14:paraId="54216530">
      <w:pPr>
        <w:jc w:val="center"/>
        <w:rPr>
          <w:rFonts w:hint="eastAsia" w:ascii="宋体" w:hAnsi="宋体" w:eastAsia="宋体" w:cs="宋体"/>
          <w:b/>
          <w:snapToGrid w:val="0"/>
          <w:sz w:val="48"/>
          <w:szCs w:val="48"/>
          <w:highlight w:val="none"/>
          <w:u w:val="single"/>
        </w:rPr>
      </w:pPr>
    </w:p>
    <w:p w14:paraId="7976C279">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bookmarkStart w:id="0" w:name="_Toc5552"/>
      <w:bookmarkStart w:id="1" w:name="_Toc1475"/>
      <w:bookmarkStart w:id="2" w:name="_Toc22946"/>
      <w:bookmarkStart w:id="3" w:name="_Toc1469"/>
      <w:bookmarkStart w:id="4" w:name="_Toc9646"/>
      <w:r>
        <w:rPr>
          <w:rFonts w:hint="eastAsia" w:ascii="宋体" w:hAnsi="宋体" w:eastAsia="宋体" w:cs="宋体"/>
          <w:b/>
          <w:snapToGrid w:val="0"/>
          <w:sz w:val="48"/>
          <w:szCs w:val="48"/>
          <w:highlight w:val="none"/>
          <w:u w:val="none"/>
        </w:rPr>
        <w:t>2025年商贸企业培育纳统服务项目</w:t>
      </w:r>
    </w:p>
    <w:p w14:paraId="56EDE07A">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21"/>
          <w:szCs w:val="21"/>
          <w:highlight w:val="none"/>
          <w:u w:val="none"/>
          <w:lang w:eastAsia="zh-CN"/>
        </w:rPr>
      </w:pPr>
      <w:r>
        <w:rPr>
          <w:rFonts w:hint="eastAsia" w:ascii="宋体" w:hAnsi="宋体" w:eastAsia="宋体" w:cs="宋体"/>
          <w:b/>
          <w:snapToGrid w:val="0"/>
          <w:sz w:val="21"/>
          <w:szCs w:val="21"/>
          <w:highlight w:val="none"/>
          <w:u w:val="none"/>
          <w:lang w:eastAsia="zh-CN"/>
        </w:rPr>
        <w:t>（</w:t>
      </w:r>
      <w:r>
        <w:rPr>
          <w:rFonts w:hint="eastAsia" w:ascii="宋体" w:hAnsi="宋体" w:eastAsia="宋体" w:cs="宋体"/>
          <w:b/>
          <w:snapToGrid w:val="0"/>
          <w:sz w:val="21"/>
          <w:szCs w:val="21"/>
          <w:highlight w:val="none"/>
          <w:u w:val="none"/>
          <w:lang w:val="en-US" w:eastAsia="zh-CN"/>
        </w:rPr>
        <w:t>仅供参考，具体以双方签订合同为准</w:t>
      </w:r>
      <w:r>
        <w:rPr>
          <w:rFonts w:hint="eastAsia" w:ascii="宋体" w:hAnsi="宋体" w:eastAsia="宋体" w:cs="宋体"/>
          <w:b/>
          <w:snapToGrid w:val="0"/>
          <w:sz w:val="21"/>
          <w:szCs w:val="21"/>
          <w:highlight w:val="none"/>
          <w:u w:val="none"/>
          <w:lang w:eastAsia="zh-CN"/>
        </w:rPr>
        <w:t>）</w:t>
      </w:r>
    </w:p>
    <w:p w14:paraId="6FAE04FE">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p>
    <w:p w14:paraId="2EF11F51">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p>
    <w:p w14:paraId="511121C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r>
        <w:rPr>
          <w:rFonts w:hint="eastAsia" w:ascii="宋体" w:hAnsi="宋体" w:eastAsia="宋体" w:cs="宋体"/>
          <w:b/>
          <w:snapToGrid w:val="0"/>
          <w:sz w:val="48"/>
          <w:szCs w:val="48"/>
          <w:highlight w:val="none"/>
          <w:u w:val="none"/>
        </w:rPr>
        <w:t>服务合同</w:t>
      </w:r>
      <w:bookmarkEnd w:id="0"/>
      <w:bookmarkEnd w:id="1"/>
      <w:bookmarkEnd w:id="2"/>
      <w:bookmarkEnd w:id="3"/>
      <w:bookmarkEnd w:id="4"/>
    </w:p>
    <w:p w14:paraId="55598EFE">
      <w:pPr>
        <w:pStyle w:val="2"/>
        <w:rPr>
          <w:rFonts w:hint="eastAsia" w:ascii="宋体" w:hAnsi="宋体" w:eastAsia="宋体" w:cs="宋体"/>
        </w:rPr>
      </w:pPr>
    </w:p>
    <w:p w14:paraId="5FCB6199">
      <w:pPr>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（项目编号：ZJXG2025109</w:t>
      </w:r>
      <w:r>
        <w:rPr>
          <w:rFonts w:hint="eastAsia" w:ascii="宋体" w:hAnsi="宋体" w:eastAsia="宋体" w:cs="宋体"/>
          <w:sz w:val="28"/>
          <w:szCs w:val="28"/>
          <w:highlight w:val="none"/>
        </w:rPr>
        <w:t>）</w:t>
      </w:r>
    </w:p>
    <w:p w14:paraId="0C11ECD2">
      <w:pPr>
        <w:jc w:val="center"/>
        <w:rPr>
          <w:rFonts w:hint="eastAsia" w:ascii="宋体" w:hAnsi="宋体" w:eastAsia="宋体" w:cs="宋体"/>
          <w:sz w:val="30"/>
          <w:szCs w:val="30"/>
          <w:highlight w:val="none"/>
        </w:rPr>
      </w:pPr>
    </w:p>
    <w:p w14:paraId="03D44AD0">
      <w:pPr>
        <w:jc w:val="center"/>
        <w:rPr>
          <w:rFonts w:hint="eastAsia" w:ascii="宋体" w:hAnsi="宋体" w:eastAsia="宋体" w:cs="宋体"/>
          <w:sz w:val="30"/>
          <w:szCs w:val="30"/>
          <w:highlight w:val="none"/>
        </w:rPr>
      </w:pPr>
    </w:p>
    <w:p w14:paraId="38B295CA">
      <w:pPr>
        <w:pStyle w:val="2"/>
        <w:ind w:left="0" w:leftChars="0" w:firstLine="0" w:firstLineChars="0"/>
        <w:rPr>
          <w:rFonts w:hint="eastAsia" w:ascii="宋体" w:hAnsi="宋体" w:eastAsia="宋体" w:cs="宋体"/>
          <w:sz w:val="30"/>
          <w:szCs w:val="30"/>
          <w:highlight w:val="none"/>
        </w:rPr>
      </w:pPr>
    </w:p>
    <w:p w14:paraId="52578F59">
      <w:pPr>
        <w:pStyle w:val="2"/>
        <w:ind w:left="0" w:leftChars="0" w:firstLine="0" w:firstLineChars="0"/>
        <w:rPr>
          <w:rFonts w:hint="eastAsia" w:ascii="宋体" w:hAnsi="宋体" w:eastAsia="宋体" w:cs="宋体"/>
          <w:sz w:val="30"/>
          <w:szCs w:val="30"/>
          <w:highlight w:val="none"/>
        </w:rPr>
      </w:pPr>
    </w:p>
    <w:p w14:paraId="63CE2CE0">
      <w:pPr>
        <w:pStyle w:val="2"/>
        <w:rPr>
          <w:rFonts w:hint="eastAsia" w:ascii="宋体" w:hAnsi="宋体" w:eastAsia="宋体" w:cs="宋体"/>
          <w:sz w:val="30"/>
          <w:szCs w:val="30"/>
          <w:highlight w:val="none"/>
        </w:rPr>
      </w:pPr>
    </w:p>
    <w:p w14:paraId="703E6072">
      <w:pPr>
        <w:pStyle w:val="2"/>
        <w:rPr>
          <w:rFonts w:hint="eastAsia" w:ascii="宋体" w:hAnsi="宋体" w:eastAsia="宋体" w:cs="宋体"/>
          <w:sz w:val="30"/>
          <w:szCs w:val="30"/>
          <w:highlight w:val="none"/>
        </w:rPr>
      </w:pPr>
    </w:p>
    <w:p w14:paraId="019F1226">
      <w:pPr>
        <w:jc w:val="center"/>
        <w:rPr>
          <w:rFonts w:hint="eastAsia" w:ascii="宋体" w:hAnsi="宋体" w:eastAsia="宋体" w:cs="宋体"/>
          <w:sz w:val="30"/>
          <w:szCs w:val="30"/>
          <w:highlight w:val="none"/>
        </w:rPr>
      </w:pPr>
    </w:p>
    <w:p w14:paraId="7E46DD48">
      <w:pPr>
        <w:ind w:firstLine="2080" w:firstLineChars="65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lang w:val="en-US" w:eastAsia="zh-Hans"/>
        </w:rPr>
        <w:t>西安市商务局</w:t>
      </w:r>
      <w:r>
        <w:rPr>
          <w:rFonts w:hint="eastAsia" w:ascii="宋体" w:hAnsi="宋体" w:eastAsia="宋体" w:cs="宋体"/>
          <w:sz w:val="32"/>
          <w:szCs w:val="32"/>
          <w:highlight w:val="none"/>
        </w:rPr>
        <w:t xml:space="preserve"> </w:t>
      </w:r>
    </w:p>
    <w:p w14:paraId="4303FA7A">
      <w:pPr>
        <w:tabs>
          <w:tab w:val="left" w:pos="480"/>
        </w:tabs>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6F185AB3">
      <w:pPr>
        <w:jc w:val="both"/>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w:t>
      </w:r>
    </w:p>
    <w:p w14:paraId="487C1DA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pPr>
    </w:p>
    <w:p w14:paraId="203DD5AB">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甲方（采购人）：</w:t>
      </w:r>
    </w:p>
    <w:p w14:paraId="1DE84BCB">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bCs w:val="0"/>
          <w:color w:val="auto"/>
          <w:sz w:val="24"/>
          <w:szCs w:val="24"/>
          <w:highlight w:val="none"/>
        </w:rPr>
        <w:t xml:space="preserve">乙方（成交供应商）： </w:t>
      </w:r>
    </w:p>
    <w:p w14:paraId="27BFFDC1">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 xml:space="preserve">  2025年商贸企业培育纳统服务项目 (项目编号：ZJXG2025109</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陕西中鉴项目管理有限公司</w:t>
      </w:r>
      <w:r>
        <w:rPr>
          <w:rFonts w:hint="eastAsia" w:ascii="宋体" w:hAnsi="宋体" w:eastAsia="宋体" w:cs="宋体"/>
          <w:bCs/>
          <w:color w:val="auto"/>
          <w:sz w:val="24"/>
          <w:szCs w:val="24"/>
          <w:highlight w:val="none"/>
        </w:rPr>
        <w:t>组织竞争性磋商采购，</w:t>
      </w:r>
      <w:r>
        <w:rPr>
          <w:rFonts w:hint="eastAsia" w:ascii="宋体" w:hAnsi="宋体" w:eastAsia="宋体" w:cs="宋体"/>
          <w:bCs/>
          <w:color w:val="auto"/>
          <w:sz w:val="24"/>
          <w:szCs w:val="24"/>
          <w:highlight w:val="none"/>
          <w:u w:val="single"/>
        </w:rPr>
        <w:t xml:space="preserve">  西安市商务局 </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（以下简称“乙方”）为成交供应商。</w:t>
      </w:r>
    </w:p>
    <w:p w14:paraId="1557B94D">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w:t>
      </w:r>
      <w:r>
        <w:rPr>
          <w:rFonts w:hint="eastAsia" w:ascii="宋体" w:hAnsi="宋体" w:eastAsia="宋体" w:cs="宋体"/>
          <w:bCs/>
          <w:color w:val="auto"/>
          <w:sz w:val="24"/>
          <w:szCs w:val="24"/>
          <w:highlight w:val="none"/>
          <w:lang w:val="en-US" w:eastAsia="zh-CN"/>
        </w:rPr>
        <w:t>民法典</w:t>
      </w:r>
      <w:r>
        <w:rPr>
          <w:rFonts w:hint="eastAsia" w:ascii="宋体" w:hAnsi="宋体" w:eastAsia="宋体" w:cs="宋体"/>
          <w:bCs/>
          <w:color w:val="auto"/>
          <w:sz w:val="24"/>
          <w:szCs w:val="24"/>
          <w:highlight w:val="none"/>
        </w:rPr>
        <w:t>》和《</w:t>
      </w:r>
      <w:r>
        <w:rPr>
          <w:rFonts w:hint="eastAsia" w:ascii="宋体" w:hAnsi="宋体" w:eastAsia="宋体" w:cs="宋体"/>
          <w:color w:val="auto"/>
          <w:sz w:val="24"/>
          <w:szCs w:val="24"/>
          <w:highlight w:val="none"/>
        </w:rPr>
        <w:t>中华人民共和国政府采购法</w:t>
      </w:r>
      <w:r>
        <w:rPr>
          <w:rFonts w:hint="eastAsia" w:ascii="宋体" w:hAnsi="宋体" w:eastAsia="宋体" w:cs="宋体"/>
          <w:bCs/>
          <w:color w:val="auto"/>
          <w:sz w:val="24"/>
          <w:szCs w:val="24"/>
          <w:highlight w:val="none"/>
        </w:rPr>
        <w:t>》，经双方协商按下述条款和条件签署本合同。</w:t>
      </w:r>
    </w:p>
    <w:p w14:paraId="6D333765">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合同内容</w:t>
      </w:r>
    </w:p>
    <w:p w14:paraId="632841C3">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分类分级建立“白名单”企业库。通过经济普查信息、税务数据初筛等方式，筛选符合达限纳统潜力企业，分年度（2025年、2026年）、分类型（“月度新增”“年度新增”）建立企业库，每月动态更新、调整补充“白名单”，跟踪做好“白名单”企业纳统工作台账,持续保证“白名单”企业不少于1500家。</w:t>
      </w:r>
    </w:p>
    <w:p w14:paraId="73D5425E">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监测“白名单”企业经营运行。建立“白名单”企业监测机制，综合采取平台数据查询、上门调研服务等方式，核实“白名单”企业主营业务，了解掌握企业经营状况及成长性，提高“白名单”企业库精准度。跟进指导“白名单”企业申报入库，重点企业“一对一”指导，确保“白名单”企业入库率不低于60%。</w:t>
      </w:r>
    </w:p>
    <w:p w14:paraId="1F182B52">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组织纳统政策宣讲。按照“覆盖全域、聚焦重点”原则，分区县巡回开展政策宣讲，解读政策细节，消除企业纳统顾虑，调动企业纳统积极性，跟踪服务重点企业达限纳统，全年组织培育纳统政策宣讲不少于24场。</w:t>
      </w:r>
    </w:p>
    <w:p w14:paraId="7AD1EDD3">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组织数据填报培训。针对新入库企业采用“理论讲解+实操演示+案例分析”模式，围绕报表系统操作、数据填报规范（如营收、利润、纳税等指标填写要求）、数据审核、常见错误规避等内容开展数据填报培训，提升企业数据填报质量，全年组织数据填报培训不少于15场。</w:t>
      </w:r>
    </w:p>
    <w:p w14:paraId="269FB127">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（五）拓宽政策传播渠道。在“西安商务”微信公众号发布培育纳统相关工作指引不少于20篇，扩大传播覆盖面，确保企业及时获取纳统信息；制作纳统工作相关视频不少于15条，以动漫形式指引企业纳统申报。</w:t>
      </w:r>
    </w:p>
    <w:p w14:paraId="310A4801">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（六）编制政策宣讲手册。收集纳统相关政策文件、申报流程、所需材料清单、常见问题解答等资料，印制1200份政策宣讲手册，便于企业了解掌握相关纳统政策。</w:t>
      </w:r>
    </w:p>
    <w:p w14:paraId="73CBBDE7">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（七）开展培育纳统调研。通过实地走访、座谈会、问卷调查等方式，收集整理企业纳统过程中难点问题和意见建议，形成不少于2份专业的调研报告，为进一步调整纳统政策、优化工作机制提供决策参考。</w:t>
      </w:r>
    </w:p>
    <w:p w14:paraId="11D619CD">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二、合同价款</w:t>
      </w:r>
    </w:p>
    <w:p w14:paraId="0B1F125E">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（一）合同总价款为人民币（大写）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元）。</w:t>
      </w:r>
    </w:p>
    <w:p w14:paraId="69F0AB3E">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（二）合同总价包括：</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人员费、税金等乙方</w:t>
      </w:r>
      <w:r>
        <w:rPr>
          <w:rFonts w:hint="eastAsia" w:ascii="宋体" w:hAnsi="宋体" w:eastAsia="宋体" w:cs="宋体"/>
          <w:color w:val="auto"/>
          <w:sz w:val="24"/>
          <w:szCs w:val="24"/>
          <w:highlight w:val="none"/>
        </w:rPr>
        <w:t>完成本次招标所要求</w:t>
      </w:r>
      <w:r>
        <w:rPr>
          <w:rFonts w:hint="eastAsia" w:ascii="宋体" w:hAnsi="宋体" w:eastAsia="宋体" w:cs="宋体"/>
          <w:color w:val="auto"/>
          <w:sz w:val="24"/>
          <w:szCs w:val="24"/>
          <w:highlight w:val="none"/>
          <w:lang w:val="en-US" w:eastAsia="zh-CN"/>
        </w:rPr>
        <w:t>全部</w:t>
      </w:r>
      <w:r>
        <w:rPr>
          <w:rFonts w:hint="eastAsia" w:ascii="宋体" w:hAnsi="宋体" w:eastAsia="宋体" w:cs="宋体"/>
          <w:color w:val="auto"/>
          <w:sz w:val="24"/>
          <w:szCs w:val="24"/>
          <w:highlight w:val="none"/>
        </w:rPr>
        <w:t>服务至</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验收合格的一切相关费用。</w:t>
      </w:r>
    </w:p>
    <w:p w14:paraId="75BA16DA">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（三）合同总价为固定总价，不受市场价格变化因素的影响。</w:t>
      </w:r>
    </w:p>
    <w:p w14:paraId="4D6AA4FB">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三、</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地点及</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期</w:t>
      </w:r>
    </w:p>
    <w:p w14:paraId="6BBC0DB7">
      <w:pPr>
        <w:keepNext w:val="0"/>
        <w:keepLines w:val="0"/>
        <w:pageBreakBefore w:val="0"/>
        <w:widowControl w:val="0"/>
        <w:kinsoku/>
        <w:wordWrap/>
        <w:overflowPunct/>
        <w:topLinePunct w:val="0"/>
        <w:bidi w:val="0"/>
        <w:snapToGrid/>
        <w:spacing w:line="59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（一）</w:t>
      </w:r>
      <w:r>
        <w:rPr>
          <w:rFonts w:hint="eastAsia" w:ascii="宋体" w:hAnsi="宋体" w:eastAsia="宋体" w:cs="宋体"/>
          <w:color w:val="auto"/>
          <w:sz w:val="24"/>
          <w:szCs w:val="24"/>
          <w:highlight w:val="none"/>
          <w:lang w:val="en-US" w:eastAsia="zh-CN"/>
        </w:rPr>
        <w:t>服务</w:t>
      </w:r>
      <w:r>
        <w:rPr>
          <w:rFonts w:hint="eastAsia" w:ascii="宋体" w:hAnsi="宋体" w:eastAsia="宋体" w:cs="宋体"/>
          <w:bCs/>
          <w:color w:val="auto"/>
          <w:sz w:val="24"/>
          <w:szCs w:val="24"/>
          <w:highlight w:val="none"/>
        </w:rPr>
        <w:t>期：2025年10月-2026年6月。</w:t>
      </w:r>
    </w:p>
    <w:p w14:paraId="355A79F4">
      <w:pPr>
        <w:keepNext w:val="0"/>
        <w:keepLines w:val="0"/>
        <w:pageBreakBefore w:val="0"/>
        <w:widowControl w:val="0"/>
        <w:kinsoku/>
        <w:wordWrap/>
        <w:overflowPunct/>
        <w:topLinePunct w:val="0"/>
        <w:bidi w:val="0"/>
        <w:snapToGrid/>
        <w:spacing w:line="59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（二）</w:t>
      </w:r>
      <w:r>
        <w:rPr>
          <w:rFonts w:hint="eastAsia" w:ascii="宋体" w:hAnsi="宋体" w:eastAsia="宋体" w:cs="宋体"/>
          <w:bCs/>
          <w:color w:val="auto"/>
          <w:sz w:val="24"/>
          <w:szCs w:val="24"/>
          <w:highlight w:val="none"/>
          <w:lang w:val="en-US" w:eastAsia="zh-CN"/>
        </w:rPr>
        <w:t>服务</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采购人</w:t>
      </w:r>
      <w:r>
        <w:rPr>
          <w:rFonts w:hint="eastAsia" w:ascii="宋体" w:hAnsi="宋体" w:eastAsia="宋体" w:cs="宋体"/>
          <w:bCs/>
          <w:color w:val="auto"/>
          <w:sz w:val="24"/>
          <w:szCs w:val="24"/>
          <w:highlight w:val="none"/>
          <w:u w:val="single"/>
        </w:rPr>
        <w:t xml:space="preserve">指定地点  </w:t>
      </w:r>
      <w:r>
        <w:rPr>
          <w:rFonts w:hint="eastAsia" w:ascii="宋体" w:hAnsi="宋体" w:eastAsia="宋体" w:cs="宋体"/>
          <w:bCs/>
          <w:color w:val="auto"/>
          <w:sz w:val="24"/>
          <w:szCs w:val="24"/>
          <w:highlight w:val="none"/>
        </w:rPr>
        <w:t>。</w:t>
      </w:r>
    </w:p>
    <w:p w14:paraId="3E1A7FEB">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四、付款</w:t>
      </w:r>
    </w:p>
    <w:p w14:paraId="0BEA5A5B">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bookmarkStart w:id="5" w:name="_Toc12322"/>
      <w:bookmarkStart w:id="6" w:name="_Toc29562"/>
      <w:r>
        <w:rPr>
          <w:rFonts w:hint="eastAsia" w:ascii="宋体" w:hAnsi="宋体" w:eastAsia="宋体" w:cs="宋体"/>
          <w:b w:val="0"/>
          <w:bCs w:val="0"/>
          <w:color w:val="auto"/>
          <w:sz w:val="24"/>
          <w:szCs w:val="24"/>
          <w:highlight w:val="none"/>
          <w:lang w:val="en-US" w:eastAsia="zh-CN"/>
        </w:rPr>
        <w:t>1、 付款条件说明： 政府采购手续完成合同签订后，供应商向采购方开具等额的增值税普通发票，采购方收到合规的发票 ，达到付款条件起 20 日内，支付合同总金额的 80.00%。</w:t>
      </w:r>
    </w:p>
    <w:p w14:paraId="3397CA8C">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p>
    <w:p w14:paraId="4FB4698C">
      <w:pPr>
        <w:keepNext w:val="0"/>
        <w:keepLines w:val="0"/>
        <w:pageBreakBefore w:val="0"/>
        <w:widowControl w:val="0"/>
        <w:numPr>
          <w:ilvl w:val="0"/>
          <w:numId w:val="1"/>
        </w:numPr>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付款条件说明： 全年服务执行完毕，经验收合格后，向采购方开具等额的增值税普通发票。采购方收到合规的发票 ，达到付款条件起 20 日内，支付合同总金额的 20.00%。</w:t>
      </w:r>
    </w:p>
    <w:p w14:paraId="52B31D0F">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甲方的权利与义务</w:t>
      </w:r>
    </w:p>
    <w:p w14:paraId="49218992">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1、甲方权利</w:t>
      </w:r>
    </w:p>
    <w:p w14:paraId="177C5097">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1.1甲方有权按照竞争性磋商文件及竞争性磋商响应文件要求和标准对本次服务项目的实施进行监督，有权对乙方的服务工作提出意见或具体要求，乙方应在规定的时间内进行修改、完善。</w:t>
      </w:r>
    </w:p>
    <w:p w14:paraId="7BFC80A6">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1.2乙方未能按照合同约定、竞争性磋商响应文件要求和标准或甲方要求完成本合同项下任何一项义务的，甲方有权扣除相应部分的费用。</w:t>
      </w:r>
    </w:p>
    <w:p w14:paraId="00986DAB">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2、甲方义务：积极配合乙方服务过程中的沟通协调工作。</w:t>
      </w:r>
    </w:p>
    <w:p w14:paraId="50ECAE13">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六、乙方的权利与义务</w:t>
      </w:r>
    </w:p>
    <w:p w14:paraId="4FFD7EF2">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1、乙方权利：按照合同约定要求甲方及时付款。</w:t>
      </w:r>
    </w:p>
    <w:p w14:paraId="34834BA0">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2、乙方义务：</w:t>
      </w:r>
    </w:p>
    <w:p w14:paraId="7419EE23">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2.1乙方应严格按照</w:t>
      </w:r>
      <w:r>
        <w:rPr>
          <w:rFonts w:hint="eastAsia" w:ascii="宋体" w:hAnsi="宋体" w:eastAsia="宋体" w:cs="宋体"/>
          <w:b w:val="0"/>
          <w:bCs w:val="0"/>
          <w:color w:val="auto"/>
          <w:sz w:val="24"/>
          <w:szCs w:val="24"/>
          <w:highlight w:val="none"/>
          <w:lang w:val="en-US" w:eastAsia="zh-CN"/>
        </w:rPr>
        <w:t>竞争性磋商响应文件要求和标准以及</w:t>
      </w:r>
      <w:r>
        <w:rPr>
          <w:rFonts w:hint="eastAsia" w:ascii="宋体" w:hAnsi="宋体" w:eastAsia="宋体" w:cs="宋体"/>
          <w:b w:val="0"/>
          <w:bCs w:val="0"/>
          <w:color w:val="auto"/>
          <w:sz w:val="24"/>
          <w:szCs w:val="24"/>
          <w:highlight w:val="none"/>
          <w:lang w:val="en-US" w:eastAsia="zh-CN"/>
        </w:rPr>
        <w:t>本合同的约定制定具体</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lang w:val="en-US" w:eastAsia="zh-CN"/>
        </w:rPr>
        <w:t>方案</w:t>
      </w:r>
      <w:r>
        <w:rPr>
          <w:rFonts w:hint="eastAsia" w:ascii="宋体" w:hAnsi="宋体" w:eastAsia="宋体" w:cs="宋体"/>
          <w:b w:val="0"/>
          <w:bCs w:val="0"/>
          <w:color w:val="auto"/>
          <w:sz w:val="24"/>
          <w:szCs w:val="24"/>
          <w:highlight w:val="none"/>
          <w:lang w:val="en-US" w:eastAsia="zh-CN"/>
        </w:rPr>
        <w:t>（服务方案应涉及各服务项目具体完成时间）并将服务方案交付甲方。乙方须</w:t>
      </w:r>
      <w:r>
        <w:rPr>
          <w:rFonts w:hint="eastAsia" w:ascii="宋体" w:hAnsi="宋体" w:eastAsia="宋体" w:cs="宋体"/>
          <w:b w:val="0"/>
          <w:bCs w:val="0"/>
          <w:color w:val="auto"/>
          <w:sz w:val="24"/>
          <w:szCs w:val="24"/>
          <w:highlight w:val="none"/>
          <w:lang w:val="en-US" w:eastAsia="zh-CN"/>
        </w:rPr>
        <w:t>严格按照</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lang w:val="en-US" w:eastAsia="zh-CN"/>
        </w:rPr>
        <w:t>方案执行，确保</w:t>
      </w:r>
      <w:r>
        <w:rPr>
          <w:rFonts w:hint="eastAsia" w:ascii="宋体" w:hAnsi="宋体" w:eastAsia="宋体" w:cs="宋体"/>
          <w:b w:val="0"/>
          <w:bCs w:val="0"/>
          <w:color w:val="auto"/>
          <w:sz w:val="24"/>
          <w:szCs w:val="24"/>
          <w:highlight w:val="none"/>
          <w:lang w:val="en-US" w:eastAsia="zh-CN"/>
        </w:rPr>
        <w:t>合同目的实现</w:t>
      </w:r>
      <w:r>
        <w:rPr>
          <w:rFonts w:hint="eastAsia" w:ascii="宋体" w:hAnsi="宋体" w:eastAsia="宋体" w:cs="宋体"/>
          <w:b w:val="0"/>
          <w:bCs w:val="0"/>
          <w:color w:val="auto"/>
          <w:sz w:val="24"/>
          <w:szCs w:val="24"/>
          <w:highlight w:val="none"/>
          <w:lang w:val="en-US" w:eastAsia="zh-CN"/>
        </w:rPr>
        <w:t>。乙方在履行本合同的过程中应配合甲方</w:t>
      </w:r>
      <w:r>
        <w:rPr>
          <w:rFonts w:hint="eastAsia" w:ascii="宋体" w:hAnsi="宋体" w:eastAsia="宋体" w:cs="宋体"/>
          <w:b w:val="0"/>
          <w:bCs w:val="0"/>
          <w:color w:val="auto"/>
          <w:sz w:val="24"/>
          <w:szCs w:val="24"/>
          <w:highlight w:val="none"/>
          <w:lang w:val="en-US" w:eastAsia="zh-CN"/>
        </w:rPr>
        <w:t>的</w:t>
      </w:r>
      <w:r>
        <w:rPr>
          <w:rFonts w:hint="eastAsia" w:ascii="宋体" w:hAnsi="宋体" w:eastAsia="宋体" w:cs="宋体"/>
          <w:b w:val="0"/>
          <w:bCs w:val="0"/>
          <w:color w:val="auto"/>
          <w:sz w:val="24"/>
          <w:szCs w:val="24"/>
          <w:highlight w:val="none"/>
          <w:lang w:val="en-US" w:eastAsia="zh-CN"/>
        </w:rPr>
        <w:t>考核验收工作，对甲方的建议及要求，应严格执行。</w:t>
      </w:r>
    </w:p>
    <w:p w14:paraId="33D89D81">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2甲方与乙方</w:t>
      </w:r>
      <w:r>
        <w:rPr>
          <w:rFonts w:hint="eastAsia" w:ascii="宋体" w:hAnsi="宋体" w:eastAsia="宋体" w:cs="宋体"/>
          <w:b w:val="0"/>
          <w:bCs w:val="0"/>
          <w:color w:val="auto"/>
          <w:sz w:val="24"/>
          <w:szCs w:val="24"/>
          <w:highlight w:val="none"/>
          <w:lang w:val="en-US" w:eastAsia="zh-CN"/>
        </w:rPr>
        <w:t>所有参与本合同项目的</w:t>
      </w:r>
      <w:r>
        <w:rPr>
          <w:rFonts w:hint="eastAsia" w:ascii="宋体" w:hAnsi="宋体" w:eastAsia="宋体" w:cs="宋体"/>
          <w:b w:val="0"/>
          <w:bCs w:val="0"/>
          <w:color w:val="auto"/>
          <w:sz w:val="24"/>
          <w:szCs w:val="24"/>
          <w:highlight w:val="none"/>
          <w:lang w:val="en-US" w:eastAsia="zh-CN"/>
        </w:rPr>
        <w:t>人员不存在劳动关系。</w:t>
      </w:r>
      <w:r>
        <w:rPr>
          <w:rFonts w:hint="eastAsia" w:ascii="宋体" w:hAnsi="宋体" w:eastAsia="宋体" w:cs="宋体"/>
          <w:b w:val="0"/>
          <w:bCs w:val="0"/>
          <w:color w:val="auto"/>
          <w:sz w:val="24"/>
          <w:szCs w:val="24"/>
          <w:highlight w:val="none"/>
          <w:lang w:val="en-US" w:eastAsia="zh-CN"/>
        </w:rPr>
        <w:t>乙方应当按时向其员工支付工资或报酬，并按约定向合作方或者供应商支付款项，若乙方未按时支付上述款项，导致任何第三方向甲方主张的，甲方有权要求乙方双倍赔偿。</w:t>
      </w:r>
    </w:p>
    <w:p w14:paraId="39158C2A">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3项目期间</w:t>
      </w:r>
      <w:r>
        <w:rPr>
          <w:rFonts w:hint="eastAsia" w:ascii="宋体" w:hAnsi="宋体" w:eastAsia="宋体" w:cs="宋体"/>
          <w:b w:val="0"/>
          <w:bCs w:val="0"/>
          <w:color w:val="auto"/>
          <w:sz w:val="24"/>
          <w:szCs w:val="24"/>
          <w:highlight w:val="none"/>
          <w:lang w:val="en-US" w:eastAsia="zh-CN"/>
        </w:rPr>
        <w:t>产生的一切经济纠纷，包括但不限于乙方同</w:t>
      </w:r>
      <w:r>
        <w:rPr>
          <w:rFonts w:hint="eastAsia" w:ascii="宋体" w:hAnsi="宋体" w:eastAsia="宋体" w:cs="宋体"/>
          <w:b w:val="0"/>
          <w:bCs w:val="0"/>
          <w:color w:val="auto"/>
          <w:sz w:val="24"/>
          <w:szCs w:val="24"/>
          <w:highlight w:val="none"/>
          <w:lang w:val="en-US" w:eastAsia="zh-CN"/>
        </w:rPr>
        <w:t>自身员工、其他第三方</w:t>
      </w:r>
      <w:r>
        <w:rPr>
          <w:rFonts w:hint="eastAsia" w:ascii="宋体" w:hAnsi="宋体" w:eastAsia="宋体" w:cs="宋体"/>
          <w:b w:val="0"/>
          <w:bCs w:val="0"/>
          <w:color w:val="auto"/>
          <w:sz w:val="24"/>
          <w:szCs w:val="24"/>
          <w:highlight w:val="none"/>
          <w:lang w:val="en-US" w:eastAsia="zh-CN"/>
        </w:rPr>
        <w:t>之间的纠纷等均由乙方负责处理并承担相关责任，甲方对此不承担任何责任。</w:t>
      </w:r>
      <w:r>
        <w:rPr>
          <w:rFonts w:hint="eastAsia" w:ascii="宋体" w:hAnsi="宋体" w:eastAsia="宋体" w:cs="宋体"/>
          <w:b w:val="0"/>
          <w:bCs w:val="0"/>
          <w:color w:val="auto"/>
          <w:sz w:val="24"/>
          <w:szCs w:val="24"/>
          <w:highlight w:val="none"/>
          <w:lang w:val="en-US" w:eastAsia="zh-CN"/>
        </w:rPr>
        <w:t>若</w:t>
      </w:r>
      <w:r>
        <w:rPr>
          <w:rFonts w:hint="eastAsia" w:ascii="宋体" w:hAnsi="宋体" w:eastAsia="宋体" w:cs="宋体"/>
          <w:b w:val="0"/>
          <w:bCs w:val="0"/>
          <w:color w:val="auto"/>
          <w:sz w:val="24"/>
          <w:szCs w:val="24"/>
          <w:highlight w:val="none"/>
          <w:lang w:val="en-US" w:eastAsia="zh-CN"/>
        </w:rPr>
        <w:t>甲方因此承担责任的，有权向乙方追偿，同时乙方应向甲方支付合同总价款10%的违约金。</w:t>
      </w:r>
    </w:p>
    <w:p w14:paraId="5D045512">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2.4</w:t>
      </w:r>
      <w:r>
        <w:rPr>
          <w:rFonts w:hint="eastAsia" w:ascii="宋体" w:hAnsi="宋体" w:eastAsia="宋体" w:cs="宋体"/>
          <w:b w:val="0"/>
          <w:bCs w:val="0"/>
          <w:color w:val="auto"/>
          <w:sz w:val="24"/>
          <w:szCs w:val="24"/>
          <w:highlight w:val="none"/>
          <w:lang w:val="en-US" w:eastAsia="zh-CN"/>
        </w:rPr>
        <w:t>项目结束后，乙方应制作书面项目总结报告，并交付甲方。</w:t>
      </w:r>
    </w:p>
    <w:p w14:paraId="0AB21107">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lang w:val="en-US" w:eastAsia="zh-CN"/>
        </w:rPr>
        <w:t>本活动结束后，项目成果所有权、知识产权归甲方所有，乙方不得以任何理由干涉甲方对项目成果的使用。</w:t>
      </w:r>
    </w:p>
    <w:p w14:paraId="1826FD10">
      <w:pPr>
        <w:keepNext w:val="0"/>
        <w:keepLines w:val="0"/>
        <w:pageBreakBefore w:val="0"/>
        <w:widowControl w:val="0"/>
        <w:kinsoku/>
        <w:wordWrap/>
        <w:overflowPunct/>
        <w:topLinePunct w:val="0"/>
        <w:autoSpaceDE/>
        <w:autoSpaceDN/>
        <w:bidi w:val="0"/>
        <w:adjustRightInd/>
        <w:snapToGrid/>
        <w:spacing w:line="59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2.6</w:t>
      </w:r>
      <w:r>
        <w:rPr>
          <w:rFonts w:hint="eastAsia" w:ascii="宋体" w:hAnsi="宋体" w:eastAsia="宋体" w:cs="宋体"/>
          <w:sz w:val="24"/>
          <w:szCs w:val="24"/>
        </w:rPr>
        <w:t>乙方应保证</w:t>
      </w:r>
      <w:r>
        <w:rPr>
          <w:rFonts w:hint="eastAsia" w:ascii="宋体" w:hAnsi="宋体" w:eastAsia="宋体" w:cs="宋体"/>
          <w:sz w:val="24"/>
          <w:szCs w:val="24"/>
          <w:lang w:val="en-US" w:eastAsia="zh-CN"/>
        </w:rPr>
        <w:t>调研报告</w:t>
      </w:r>
      <w:r>
        <w:rPr>
          <w:rFonts w:hint="eastAsia" w:ascii="宋体" w:hAnsi="宋体" w:eastAsia="宋体" w:cs="宋体"/>
          <w:sz w:val="24"/>
          <w:szCs w:val="24"/>
        </w:rPr>
        <w:t>的真实性</w:t>
      </w:r>
      <w:r>
        <w:rPr>
          <w:rFonts w:hint="eastAsia" w:ascii="宋体" w:hAnsi="宋体" w:eastAsia="宋体" w:cs="宋体"/>
          <w:sz w:val="24"/>
          <w:szCs w:val="24"/>
          <w:lang w:eastAsia="zh-CN"/>
        </w:rPr>
        <w:t>、</w:t>
      </w:r>
      <w:r>
        <w:rPr>
          <w:rFonts w:hint="eastAsia" w:ascii="宋体" w:hAnsi="宋体" w:eastAsia="宋体" w:cs="宋体"/>
          <w:sz w:val="24"/>
          <w:szCs w:val="24"/>
        </w:rPr>
        <w:t>客观性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科学性</w:t>
      </w:r>
      <w:r>
        <w:rPr>
          <w:rFonts w:hint="eastAsia" w:ascii="宋体" w:hAnsi="宋体" w:eastAsia="宋体" w:cs="宋体"/>
          <w:sz w:val="24"/>
          <w:szCs w:val="24"/>
        </w:rPr>
        <w:t>,不得有重大遗漏、</w:t>
      </w:r>
      <w:r>
        <w:rPr>
          <w:rFonts w:hint="eastAsia" w:ascii="宋体" w:hAnsi="宋体" w:eastAsia="宋体" w:cs="宋体"/>
          <w:sz w:val="24"/>
          <w:szCs w:val="24"/>
          <w:lang w:val="en-US" w:eastAsia="zh-CN"/>
        </w:rPr>
        <w:t>瞒报、</w:t>
      </w:r>
      <w:r>
        <w:rPr>
          <w:rFonts w:hint="eastAsia" w:ascii="宋体" w:hAnsi="宋体" w:eastAsia="宋体" w:cs="宋体"/>
          <w:sz w:val="24"/>
          <w:szCs w:val="24"/>
        </w:rPr>
        <w:t>错误或其他不符合国家、行业协会相关规定的情形,否则,甲方有权单方解除本</w:t>
      </w:r>
      <w:r>
        <w:rPr>
          <w:rFonts w:hint="eastAsia" w:ascii="宋体" w:hAnsi="宋体" w:eastAsia="宋体" w:cs="宋体"/>
          <w:sz w:val="24"/>
          <w:szCs w:val="24"/>
          <w:lang w:val="en-US" w:eastAsia="zh-CN"/>
        </w:rPr>
        <w:t>合同</w:t>
      </w:r>
      <w:r>
        <w:rPr>
          <w:rFonts w:hint="eastAsia" w:ascii="宋体" w:hAnsi="宋体" w:eastAsia="宋体" w:cs="宋体"/>
          <w:sz w:val="24"/>
          <w:szCs w:val="24"/>
        </w:rPr>
        <w:t>,并要求乙方按照本约定书总金额的</w:t>
      </w:r>
      <w:r>
        <w:rPr>
          <w:rFonts w:hint="eastAsia" w:ascii="宋体" w:hAnsi="宋体" w:eastAsia="宋体" w:cs="宋体"/>
          <w:sz w:val="24"/>
          <w:szCs w:val="24"/>
          <w:lang w:val="en-US" w:eastAsia="zh-CN"/>
        </w:rPr>
        <w:t>20</w:t>
      </w:r>
      <w:r>
        <w:rPr>
          <w:rFonts w:hint="eastAsia" w:ascii="宋体" w:hAnsi="宋体" w:eastAsia="宋体" w:cs="宋体"/>
          <w:sz w:val="24"/>
          <w:szCs w:val="24"/>
        </w:rPr>
        <w:t>%支付违约金。</w:t>
      </w:r>
    </w:p>
    <w:p w14:paraId="6CA69F06">
      <w:pPr>
        <w:keepNext w:val="0"/>
        <w:keepLines w:val="0"/>
        <w:pageBreakBefore w:val="0"/>
        <w:widowControl w:val="0"/>
        <w:kinsoku/>
        <w:wordWrap/>
        <w:overflowPunct/>
        <w:topLinePunct w:val="0"/>
        <w:autoSpaceDE/>
        <w:autoSpaceDN/>
        <w:bidi w:val="0"/>
        <w:adjustRightInd/>
        <w:snapToGrid/>
        <w:spacing w:line="59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七、知识产权</w:t>
      </w:r>
    </w:p>
    <w:p w14:paraId="4C000A4D">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val="0"/>
          <w:bCs w:val="0"/>
          <w:color w:val="auto"/>
          <w:sz w:val="24"/>
          <w:szCs w:val="24"/>
          <w:highlight w:val="none"/>
          <w:lang w:val="en-US" w:eastAsia="zh-CN"/>
        </w:rPr>
      </w:pPr>
      <w:bookmarkStart w:id="7" w:name="_Toc20183"/>
      <w:bookmarkStart w:id="8" w:name="_Toc22161"/>
      <w:bookmarkStart w:id="9" w:name="_Toc12975"/>
      <w:r>
        <w:rPr>
          <w:rFonts w:hint="eastAsia" w:ascii="宋体" w:hAnsi="宋体" w:eastAsia="宋体" w:cs="宋体"/>
          <w:b w:val="0"/>
          <w:bCs w:val="0"/>
          <w:color w:val="auto"/>
          <w:sz w:val="24"/>
          <w:szCs w:val="24"/>
          <w:highlight w:val="none"/>
          <w:lang w:val="en-US" w:eastAsia="zh-CN"/>
        </w:rPr>
        <w:t>乙方应确保所制作的培训页、宣传手册、作出的调研报告等履行本服务合同过程中所制作、涉及的所有服务事项，已取得合法知识产权，乙方应保证所提供的服务不会出现因第三方提出侵犯其版权、商标权或其它知识产权而引发法律或经济纠纷，否则由乙方负责解决并承担全部责任；如因此影响到甲方的正常使用，甲方有权单方解除本合同，乙方应无条件向甲方退回已收取的全部合同价款。</w:t>
      </w:r>
      <w:bookmarkEnd w:id="7"/>
      <w:bookmarkEnd w:id="8"/>
      <w:bookmarkEnd w:id="9"/>
    </w:p>
    <w:p w14:paraId="5B9CEADA">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其它事项</w:t>
      </w:r>
      <w:bookmarkEnd w:id="5"/>
      <w:bookmarkEnd w:id="6"/>
    </w:p>
    <w:p w14:paraId="2B355C8C">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（一）乙方不得转让、分包给其它单位或个人。</w:t>
      </w:r>
    </w:p>
    <w:p w14:paraId="3E018F83">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（二）乙方的响应文件和承诺等内容将列入合同。</w:t>
      </w:r>
    </w:p>
    <w:p w14:paraId="4F2A01F8">
      <w:pPr>
        <w:pStyle w:val="4"/>
        <w:keepNext w:val="0"/>
        <w:keepLines w:val="0"/>
        <w:pageBreakBefore w:val="0"/>
        <w:widowControl w:val="0"/>
        <w:kinsoku/>
        <w:wordWrap/>
        <w:overflowPunct/>
        <w:topLinePunct w:val="0"/>
        <w:autoSpaceDE/>
        <w:autoSpaceDN/>
        <w:bidi w:val="0"/>
        <w:snapToGrid/>
        <w:spacing w:line="590" w:lineRule="exact"/>
        <w:textAlignment w:val="auto"/>
        <w:rPr>
          <w:rFonts w:hint="eastAsia" w:ascii="宋体" w:hAnsi="宋体" w:eastAsia="宋体" w:cs="宋体"/>
          <w:b/>
          <w:bCs/>
          <w:color w:val="auto"/>
          <w:kern w:val="0"/>
          <w:sz w:val="24"/>
          <w:szCs w:val="24"/>
          <w:highlight w:val="none"/>
        </w:rPr>
      </w:pPr>
      <w:bookmarkStart w:id="10" w:name="_Toc32637"/>
      <w:bookmarkStart w:id="11" w:name="_Toc9857"/>
      <w:r>
        <w:rPr>
          <w:rFonts w:hint="eastAsia" w:ascii="宋体" w:hAnsi="宋体" w:eastAsia="宋体" w:cs="宋体"/>
          <w:b/>
          <w:bCs/>
          <w:color w:val="auto"/>
          <w:kern w:val="0"/>
          <w:sz w:val="24"/>
          <w:szCs w:val="24"/>
          <w:highlight w:val="none"/>
          <w:lang w:val="en-US" w:eastAsia="zh-CN"/>
        </w:rPr>
        <w:t>九</w:t>
      </w:r>
      <w:r>
        <w:rPr>
          <w:rFonts w:hint="eastAsia" w:ascii="宋体" w:hAnsi="宋体" w:eastAsia="宋体" w:cs="宋体"/>
          <w:b/>
          <w:bCs/>
          <w:color w:val="auto"/>
          <w:kern w:val="0"/>
          <w:sz w:val="24"/>
          <w:szCs w:val="24"/>
          <w:highlight w:val="none"/>
        </w:rPr>
        <w:t>、违约责任</w:t>
      </w:r>
      <w:bookmarkEnd w:id="10"/>
      <w:bookmarkEnd w:id="11"/>
    </w:p>
    <w:p w14:paraId="7B8B2FCE">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按《民法典》中的相关条款执行。任何一方违反本合同约定，另一方有权要求纠正，并要求对方根据本合同约定赔偿相应经济损失（包括但不限于直接损失、间接损失、调查取证费、诉讼费、律师费等一切损失。）</w:t>
      </w:r>
    </w:p>
    <w:p w14:paraId="5837900B">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03262E7D">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3、如出现其他不可抗力因素造成无法按照原计划提供服务，双方互不追究违约责任。</w:t>
      </w:r>
    </w:p>
    <w:p w14:paraId="52C9376C">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4、如有异议另行协商。</w:t>
      </w:r>
    </w:p>
    <w:p w14:paraId="6E8780FA">
      <w:pPr>
        <w:keepNext w:val="0"/>
        <w:keepLines w:val="0"/>
        <w:pageBreakBefore w:val="0"/>
        <w:widowControl w:val="0"/>
        <w:kinsoku/>
        <w:wordWrap/>
        <w:overflowPunct/>
        <w:topLinePunct w:val="0"/>
        <w:autoSpaceDE/>
        <w:autoSpaceDN/>
        <w:bidi w:val="0"/>
        <w:adjustRightInd w:val="0"/>
        <w:snapToGrid/>
        <w:spacing w:line="59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w:t>
      </w:r>
      <w:r>
        <w:rPr>
          <w:rFonts w:hint="eastAsia" w:ascii="宋体" w:hAnsi="宋体" w:eastAsia="宋体" w:cs="宋体"/>
          <w:b/>
          <w:bCs/>
          <w:color w:val="auto"/>
          <w:kern w:val="0"/>
          <w:sz w:val="24"/>
          <w:szCs w:val="24"/>
          <w:highlight w:val="none"/>
        </w:rPr>
        <w:t>验收依据：</w:t>
      </w:r>
    </w:p>
    <w:p w14:paraId="618524DB">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bookmarkStart w:id="12" w:name="_Toc11251"/>
      <w:bookmarkStart w:id="13" w:name="_Toc12051"/>
      <w:r>
        <w:rPr>
          <w:rFonts w:hint="eastAsia" w:ascii="宋体" w:hAnsi="宋体" w:eastAsia="宋体" w:cs="宋体"/>
          <w:b w:val="0"/>
          <w:bCs w:val="0"/>
          <w:color w:val="auto"/>
          <w:kern w:val="0"/>
          <w:sz w:val="24"/>
          <w:szCs w:val="24"/>
          <w:highlight w:val="none"/>
          <w:lang w:val="en-US" w:eastAsia="zh-CN"/>
        </w:rPr>
        <w:t>1、服务期满后按照成交供应商所提供的资料及数据进行验收；</w:t>
      </w:r>
    </w:p>
    <w:p w14:paraId="7E6E41E7">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2、最终验收：自合同签订之日起至完成全部项目内容，需按照采购人确定的时间完成交付并验收合格，验收合格后，填写验收单。</w:t>
      </w:r>
    </w:p>
    <w:p w14:paraId="4CE96078">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3、验收和评价方式</w:t>
      </w:r>
    </w:p>
    <w:p w14:paraId="2115E64A">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7BED6C8E">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3.2  若发现乙方有弄虚作假的，及在项目实施阶段故意或随意夸大服务，本项目合同解除，乙方赔偿甲方相应的损失。</w:t>
      </w:r>
    </w:p>
    <w:p w14:paraId="7DE5F0F9">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3.3  验收标准：按磋商文件、磋商响应文件等服务指标进行逐项验收，各项指标均应符合验收标准及要求。</w:t>
      </w:r>
    </w:p>
    <w:p w14:paraId="2BE607DD">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3.4  验收合格后，填写验收单，双方盖章、签字生效。</w:t>
      </w:r>
    </w:p>
    <w:p w14:paraId="63E84A45">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3.5  验收依据</w:t>
      </w:r>
    </w:p>
    <w:p w14:paraId="60B2DB63">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3.5.1  合同文本。</w:t>
      </w:r>
    </w:p>
    <w:p w14:paraId="0852224E">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3.5.2  磋商响应文件、磋商文件、澄清函。</w:t>
      </w:r>
    </w:p>
    <w:p w14:paraId="3A93C40C">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3.5.3  国家和行业制定的相应的标准和规范。</w:t>
      </w:r>
    </w:p>
    <w:p w14:paraId="22644118">
      <w:pPr>
        <w:pStyle w:val="4"/>
        <w:keepNext w:val="0"/>
        <w:keepLines w:val="0"/>
        <w:pageBreakBefore w:val="0"/>
        <w:widowControl w:val="0"/>
        <w:kinsoku/>
        <w:wordWrap/>
        <w:overflowPunct/>
        <w:topLinePunct w:val="0"/>
        <w:autoSpaceDE/>
        <w:autoSpaceDN/>
        <w:bidi w:val="0"/>
        <w:snapToGrid/>
        <w:spacing w:line="590" w:lineRule="exact"/>
        <w:ind w:firstLine="482"/>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、合同争议解决的方式</w:t>
      </w:r>
      <w:bookmarkEnd w:id="12"/>
      <w:bookmarkEnd w:id="13"/>
    </w:p>
    <w:p w14:paraId="33DD9228">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本合同在履行过程中发生的争议，由甲、乙双方当事人协商解决，协商不成的按下列第（二）种方式解决：</w:t>
      </w:r>
    </w:p>
    <w:p w14:paraId="25437870">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（一）提交当地仲裁委员会仲裁；</w:t>
      </w:r>
    </w:p>
    <w:p w14:paraId="678059DE">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（二）依法向甲方所在地人民法院起诉。</w:t>
      </w:r>
    </w:p>
    <w:p w14:paraId="34E554CC">
      <w:pPr>
        <w:pStyle w:val="4"/>
        <w:keepNext w:val="0"/>
        <w:keepLines w:val="0"/>
        <w:pageBreakBefore w:val="0"/>
        <w:widowControl w:val="0"/>
        <w:kinsoku/>
        <w:wordWrap/>
        <w:overflowPunct/>
        <w:topLinePunct w:val="0"/>
        <w:autoSpaceDE/>
        <w:autoSpaceDN/>
        <w:bidi w:val="0"/>
        <w:snapToGrid/>
        <w:spacing w:line="590" w:lineRule="exact"/>
        <w:ind w:firstLine="482" w:firstLineChars="200"/>
        <w:textAlignment w:val="auto"/>
        <w:rPr>
          <w:rFonts w:hint="eastAsia" w:ascii="宋体" w:hAnsi="宋体" w:eastAsia="宋体" w:cs="宋体"/>
          <w:b/>
          <w:bCs/>
          <w:color w:val="auto"/>
          <w:kern w:val="0"/>
          <w:sz w:val="24"/>
          <w:szCs w:val="24"/>
          <w:highlight w:val="none"/>
        </w:rPr>
      </w:pPr>
      <w:bookmarkStart w:id="14" w:name="_Toc31089"/>
      <w:bookmarkStart w:id="15" w:name="_Toc18561"/>
      <w:r>
        <w:rPr>
          <w:rFonts w:hint="eastAsia" w:ascii="宋体" w:hAnsi="宋体" w:eastAsia="宋体" w:cs="宋体"/>
          <w:b/>
          <w:bCs/>
          <w:color w:val="auto"/>
          <w:kern w:val="0"/>
          <w:sz w:val="24"/>
          <w:szCs w:val="24"/>
          <w:highlight w:val="none"/>
          <w:lang w:val="en-US" w:eastAsia="zh-CN"/>
        </w:rPr>
        <w:t>十二</w:t>
      </w:r>
      <w:r>
        <w:rPr>
          <w:rFonts w:hint="eastAsia" w:ascii="宋体" w:hAnsi="宋体" w:eastAsia="宋体" w:cs="宋体"/>
          <w:b/>
          <w:bCs/>
          <w:color w:val="auto"/>
          <w:kern w:val="0"/>
          <w:sz w:val="24"/>
          <w:szCs w:val="24"/>
          <w:highlight w:val="none"/>
        </w:rPr>
        <w:t>、合同生效</w:t>
      </w:r>
      <w:bookmarkEnd w:id="14"/>
      <w:bookmarkEnd w:id="15"/>
    </w:p>
    <w:p w14:paraId="769D49AD">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bookmarkStart w:id="16" w:name="_GoBack"/>
      <w:bookmarkEnd w:id="16"/>
    </w:p>
    <w:p w14:paraId="2EA34DE0">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（二）合同生效后，甲、乙双方须严格执行本合同条款的规定，全面履行合同，违者按《</w:t>
      </w:r>
      <w:r>
        <w:rPr>
          <w:rFonts w:hint="eastAsia" w:ascii="宋体" w:hAnsi="宋体" w:eastAsia="宋体" w:cs="宋体"/>
          <w:bCs/>
          <w:color w:val="auto"/>
          <w:sz w:val="24"/>
          <w:szCs w:val="24"/>
          <w:highlight w:val="none"/>
          <w:lang w:val="zh-CN"/>
        </w:rPr>
        <w:t>中华人民共和国</w:t>
      </w:r>
      <w:r>
        <w:rPr>
          <w:rFonts w:hint="eastAsia" w:ascii="宋体" w:hAnsi="宋体" w:eastAsia="宋体" w:cs="宋体"/>
          <w:bCs/>
          <w:color w:val="auto"/>
          <w:sz w:val="24"/>
          <w:szCs w:val="24"/>
          <w:highlight w:val="none"/>
        </w:rPr>
        <w:t>民法典》的有关规定承担相应责任。</w:t>
      </w:r>
    </w:p>
    <w:p w14:paraId="55CC0EA1">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陆 </w:t>
      </w:r>
      <w:r>
        <w:rPr>
          <w:rFonts w:hint="eastAsia" w:ascii="宋体" w:hAnsi="宋体" w:eastAsia="宋体" w:cs="宋体"/>
          <w:bCs/>
          <w:color w:val="auto"/>
          <w:sz w:val="24"/>
          <w:szCs w:val="24"/>
          <w:highlight w:val="none"/>
        </w:rPr>
        <w:t>份，甲方执</w:t>
      </w:r>
      <w:r>
        <w:rPr>
          <w:rFonts w:hint="eastAsia" w:ascii="宋体" w:hAnsi="宋体" w:eastAsia="宋体" w:cs="宋体"/>
          <w:bCs/>
          <w:color w:val="auto"/>
          <w:sz w:val="24"/>
          <w:szCs w:val="24"/>
          <w:highlight w:val="none"/>
          <w:u w:val="single"/>
        </w:rPr>
        <w:t xml:space="preserve"> 肆 </w:t>
      </w:r>
      <w:r>
        <w:rPr>
          <w:rFonts w:hint="eastAsia" w:ascii="宋体" w:hAnsi="宋体" w:eastAsia="宋体" w:cs="宋体"/>
          <w:bCs/>
          <w:color w:val="auto"/>
          <w:sz w:val="24"/>
          <w:szCs w:val="24"/>
          <w:highlight w:val="none"/>
        </w:rPr>
        <w:t>份，乙方执</w:t>
      </w:r>
      <w:r>
        <w:rPr>
          <w:rFonts w:hint="eastAsia" w:ascii="宋体" w:hAnsi="宋体" w:eastAsia="宋体" w:cs="宋体"/>
          <w:bCs/>
          <w:color w:val="auto"/>
          <w:sz w:val="24"/>
          <w:szCs w:val="24"/>
          <w:highlight w:val="none"/>
          <w:u w:val="single"/>
        </w:rPr>
        <w:t xml:space="preserve"> 贰 </w:t>
      </w:r>
      <w:r>
        <w:rPr>
          <w:rFonts w:hint="eastAsia" w:ascii="宋体" w:hAnsi="宋体" w:eastAsia="宋体" w:cs="宋体"/>
          <w:bCs/>
          <w:color w:val="auto"/>
          <w:sz w:val="24"/>
          <w:szCs w:val="24"/>
          <w:highlight w:val="none"/>
        </w:rPr>
        <w:t>份</w:t>
      </w:r>
    </w:p>
    <w:p w14:paraId="61E5EED1">
      <w:pPr>
        <w:keepNext w:val="0"/>
        <w:keepLines w:val="0"/>
        <w:pageBreakBefore w:val="0"/>
        <w:widowControl w:val="0"/>
        <w:kinsoku/>
        <w:wordWrap/>
        <w:overflowPunct/>
        <w:topLinePunct w:val="0"/>
        <w:autoSpaceDE/>
        <w:autoSpaceDN/>
        <w:bidi w:val="0"/>
        <w:adjustRightInd w:val="0"/>
        <w:snapToGrid/>
        <w:spacing w:line="590" w:lineRule="exact"/>
        <w:ind w:firstLine="480"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Cs/>
          <w:color w:val="auto"/>
          <w:sz w:val="24"/>
          <w:szCs w:val="24"/>
          <w:highlight w:val="none"/>
        </w:rPr>
        <w:t>（四）本合同如有未尽事宜，</w:t>
      </w:r>
      <w:r>
        <w:rPr>
          <w:rFonts w:hint="eastAsia" w:ascii="宋体" w:hAnsi="宋体" w:eastAsia="宋体" w:cs="宋体"/>
          <w:bCs/>
          <w:color w:val="auto"/>
          <w:sz w:val="24"/>
          <w:szCs w:val="24"/>
          <w:highlight w:val="none"/>
          <w:lang w:val="en-US" w:eastAsia="zh-CN"/>
        </w:rPr>
        <w:t>经</w:t>
      </w:r>
      <w:r>
        <w:rPr>
          <w:rFonts w:hint="eastAsia" w:ascii="宋体" w:hAnsi="宋体" w:eastAsia="宋体" w:cs="宋体"/>
          <w:bCs/>
          <w:color w:val="auto"/>
          <w:sz w:val="24"/>
          <w:szCs w:val="24"/>
          <w:highlight w:val="none"/>
        </w:rPr>
        <w:t>甲、乙双方协商</w:t>
      </w:r>
      <w:r>
        <w:rPr>
          <w:rFonts w:hint="eastAsia" w:ascii="宋体" w:hAnsi="宋体" w:eastAsia="宋体" w:cs="宋体"/>
          <w:bCs/>
          <w:color w:val="auto"/>
          <w:sz w:val="24"/>
          <w:szCs w:val="24"/>
          <w:highlight w:val="none"/>
          <w:lang w:val="en-US" w:eastAsia="zh-CN"/>
        </w:rPr>
        <w:t>一致达成补充协议，作为本合同的补充，与本合同具有同等法律效力</w:t>
      </w:r>
      <w:r>
        <w:rPr>
          <w:rFonts w:hint="eastAsia" w:ascii="宋体" w:hAnsi="宋体" w:eastAsia="宋体" w:cs="宋体"/>
          <w:bCs/>
          <w:color w:val="auto"/>
          <w:sz w:val="24"/>
          <w:szCs w:val="24"/>
          <w:highlight w:val="none"/>
        </w:rPr>
        <w:t>。</w:t>
      </w:r>
    </w:p>
    <w:p w14:paraId="0B12DA86">
      <w:pPr>
        <w:keepNext w:val="0"/>
        <w:keepLines w:val="0"/>
        <w:pageBreakBefore w:val="0"/>
        <w:widowControl w:val="0"/>
        <w:tabs>
          <w:tab w:val="left" w:pos="480"/>
        </w:tabs>
        <w:kinsoku/>
        <w:wordWrap/>
        <w:overflowPunct/>
        <w:topLinePunct w:val="0"/>
        <w:autoSpaceDE/>
        <w:autoSpaceDN/>
        <w:bidi w:val="0"/>
        <w:adjustRightInd/>
        <w:snapToGrid/>
        <w:spacing w:line="590" w:lineRule="exact"/>
        <w:ind w:firstLine="480" w:firstLineChars="200"/>
        <w:textAlignment w:val="auto"/>
        <w:outlineLvl w:val="9"/>
        <w:rPr>
          <w:rFonts w:hint="eastAsia" w:ascii="宋体" w:hAnsi="宋体" w:eastAsia="宋体" w:cs="宋体"/>
          <w:lang w:val="en-US" w:eastAsia="zh-CN"/>
        </w:rPr>
      </w:pPr>
      <w:r>
        <w:rPr>
          <w:rFonts w:hint="eastAsia" w:ascii="宋体" w:hAnsi="宋体" w:eastAsia="宋体" w:cs="宋体"/>
          <w:b w:val="0"/>
          <w:bCs/>
          <w:color w:val="auto"/>
          <w:sz w:val="24"/>
          <w:szCs w:val="24"/>
          <w:highlight w:val="none"/>
          <w:lang w:val="en-US" w:eastAsia="zh-CN"/>
        </w:rPr>
        <w:t>（以下无正文）</w:t>
      </w:r>
    </w:p>
    <w:p w14:paraId="7BC9C36B">
      <w:pPr>
        <w:rPr>
          <w:rFonts w:hint="eastAsia" w:ascii="宋体" w:hAnsi="宋体" w:eastAsia="宋体" w:cs="宋体"/>
        </w:rPr>
      </w:pPr>
      <w:r>
        <w:rPr>
          <w:rFonts w:hint="eastAsia" w:ascii="宋体" w:hAnsi="宋体" w:eastAsia="宋体" w:cs="宋体"/>
        </w:rPr>
        <w:br w:type="page"/>
      </w:r>
    </w:p>
    <w:p w14:paraId="1AD38793">
      <w:pPr>
        <w:pStyle w:val="15"/>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签署页</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24"/>
        <w:gridCol w:w="4298"/>
      </w:tblGrid>
      <w:tr w14:paraId="783F4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B4C9FC1">
            <w:pPr>
              <w:pStyle w:val="15"/>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甲  方（公章）</w:t>
            </w:r>
          </w:p>
        </w:tc>
        <w:tc>
          <w:tcPr>
            <w:tcW w:w="4981" w:type="dxa"/>
          </w:tcPr>
          <w:p w14:paraId="3E4B0205">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乙  方（公章）</w:t>
            </w:r>
          </w:p>
        </w:tc>
      </w:tr>
      <w:tr w14:paraId="3F28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07C353E8">
            <w:pPr>
              <w:pStyle w:val="15"/>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lang w:val="en-US" w:eastAsia="zh-CN"/>
              </w:rPr>
              <w:t xml:space="preserve"> </w:t>
            </w:r>
          </w:p>
        </w:tc>
        <w:tc>
          <w:tcPr>
            <w:tcW w:w="4981" w:type="dxa"/>
          </w:tcPr>
          <w:p w14:paraId="6226FF1B">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ECD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1D1A9D03">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c>
          <w:tcPr>
            <w:tcW w:w="4981" w:type="dxa"/>
          </w:tcPr>
          <w:p w14:paraId="20500461">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r>
      <w:tr w14:paraId="4CF1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4D2E7ECB">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代 理 人：</w:t>
            </w:r>
          </w:p>
        </w:tc>
        <w:tc>
          <w:tcPr>
            <w:tcW w:w="4981" w:type="dxa"/>
          </w:tcPr>
          <w:p w14:paraId="4170880D">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 理 人：</w:t>
            </w:r>
          </w:p>
          <w:p w14:paraId="1E3E77EE">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rPr>
            </w:pPr>
          </w:p>
        </w:tc>
      </w:tr>
      <w:tr w14:paraId="2582B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03E512F">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联系电话：</w:t>
            </w:r>
          </w:p>
        </w:tc>
        <w:tc>
          <w:tcPr>
            <w:tcW w:w="4981" w:type="dxa"/>
          </w:tcPr>
          <w:p w14:paraId="08E94303">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联系电话：</w:t>
            </w:r>
            <w:r>
              <w:rPr>
                <w:rFonts w:hint="eastAsia" w:ascii="宋体" w:hAnsi="宋体" w:eastAsia="宋体" w:cs="宋体"/>
                <w:color w:val="auto"/>
                <w:sz w:val="24"/>
                <w:szCs w:val="24"/>
                <w:highlight w:val="none"/>
                <w:lang w:val="en-US" w:eastAsia="zh-CN"/>
              </w:rPr>
              <w:t xml:space="preserve"> </w:t>
            </w:r>
          </w:p>
        </w:tc>
      </w:tr>
      <w:tr w14:paraId="7BB0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38245AE7">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1A5E301A">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帐    号：</w:t>
            </w:r>
            <w:r>
              <w:rPr>
                <w:rFonts w:hint="eastAsia" w:ascii="宋体" w:hAnsi="宋体" w:eastAsia="宋体" w:cs="宋体"/>
                <w:color w:val="auto"/>
                <w:sz w:val="24"/>
                <w:szCs w:val="24"/>
                <w:highlight w:val="none"/>
                <w:lang w:val="en-US" w:eastAsia="zh-CN"/>
              </w:rPr>
              <w:t xml:space="preserve"> </w:t>
            </w:r>
          </w:p>
        </w:tc>
      </w:tr>
      <w:tr w14:paraId="18E58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29791F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5554AA13">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开户银行：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F1DB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4A3AB46">
            <w:pPr>
              <w:keepNext w:val="0"/>
              <w:keepLines w:val="0"/>
              <w:pageBreakBefore w:val="0"/>
              <w:widowControl w:val="0"/>
              <w:tabs>
                <w:tab w:val="left" w:pos="480"/>
              </w:tabs>
              <w:kinsoku/>
              <w:wordWrap/>
              <w:overflowPunct/>
              <w:topLinePunct w:val="0"/>
              <w:autoSpaceDE/>
              <w:autoSpaceDN/>
              <w:bidi w:val="0"/>
              <w:adjustRightInd/>
              <w:snapToGrid/>
              <w:spacing w:line="6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签订日期：</w:t>
            </w:r>
          </w:p>
        </w:tc>
        <w:tc>
          <w:tcPr>
            <w:tcW w:w="4981" w:type="dxa"/>
          </w:tcPr>
          <w:p w14:paraId="2691E6AC">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签订日期：</w:t>
            </w:r>
          </w:p>
        </w:tc>
      </w:tr>
    </w:tbl>
    <w:p w14:paraId="34D3984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sz w:val="24"/>
          <w:szCs w:val="24"/>
        </w:rPr>
      </w:pPr>
    </w:p>
    <w:p w14:paraId="5351884B">
      <w:pPr>
        <w:spacing w:line="560" w:lineRule="exact"/>
        <w:rPr>
          <w:rFonts w:hint="eastAsia" w:ascii="宋体" w:hAnsi="宋体" w:eastAsia="宋体" w:cs="宋体"/>
          <w:sz w:val="28"/>
          <w:szCs w:val="28"/>
        </w:rPr>
      </w:pPr>
    </w:p>
    <w:sectPr>
      <w:headerReference r:id="rId11" w:type="default"/>
      <w:footerReference r:id="rId12"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91070">
    <w:pPr>
      <w:pStyle w:val="7"/>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A2E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476DB">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B6C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B8112">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DB8112">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BCC55">
    <w:pPr>
      <w:pStyle w:val="8"/>
      <w:pBdr>
        <w:bottom w:val="none" w:color="auto" w:sz="0" w:space="0"/>
      </w:pBdr>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4737A">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DFF2">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FC2B">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16566"/>
    <w:multiLevelType w:val="singleLevel"/>
    <w:tmpl w:val="04E16566"/>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5B3"/>
    <w:rsid w:val="004D65B3"/>
    <w:rsid w:val="00930A27"/>
    <w:rsid w:val="00A62AE5"/>
    <w:rsid w:val="00ED41B0"/>
    <w:rsid w:val="01703979"/>
    <w:rsid w:val="028448AE"/>
    <w:rsid w:val="02C346E6"/>
    <w:rsid w:val="03AE2EEF"/>
    <w:rsid w:val="05AB3032"/>
    <w:rsid w:val="05D47115"/>
    <w:rsid w:val="06733BD7"/>
    <w:rsid w:val="07E87F08"/>
    <w:rsid w:val="08204ED2"/>
    <w:rsid w:val="0ADD6A6C"/>
    <w:rsid w:val="0BF257A2"/>
    <w:rsid w:val="0C455B31"/>
    <w:rsid w:val="0CE07DDD"/>
    <w:rsid w:val="0D6F5C9D"/>
    <w:rsid w:val="0D927FE1"/>
    <w:rsid w:val="0DF51A14"/>
    <w:rsid w:val="0F1605D0"/>
    <w:rsid w:val="10DD4562"/>
    <w:rsid w:val="1237708E"/>
    <w:rsid w:val="12FC10BC"/>
    <w:rsid w:val="130B45D5"/>
    <w:rsid w:val="13465239"/>
    <w:rsid w:val="135F350A"/>
    <w:rsid w:val="14044A9A"/>
    <w:rsid w:val="164F233D"/>
    <w:rsid w:val="18157F6D"/>
    <w:rsid w:val="1819603E"/>
    <w:rsid w:val="188F350D"/>
    <w:rsid w:val="1B0557AD"/>
    <w:rsid w:val="1DA63DBA"/>
    <w:rsid w:val="20A4654A"/>
    <w:rsid w:val="22D71C1D"/>
    <w:rsid w:val="231B5F2B"/>
    <w:rsid w:val="23291DC4"/>
    <w:rsid w:val="28BD3A65"/>
    <w:rsid w:val="29622D05"/>
    <w:rsid w:val="2BD94BFC"/>
    <w:rsid w:val="2C4A1A38"/>
    <w:rsid w:val="2CA40D8B"/>
    <w:rsid w:val="2CCC6551"/>
    <w:rsid w:val="2E090E65"/>
    <w:rsid w:val="3179263A"/>
    <w:rsid w:val="35755789"/>
    <w:rsid w:val="35F0501F"/>
    <w:rsid w:val="36041D19"/>
    <w:rsid w:val="3A7B2975"/>
    <w:rsid w:val="3C6851A9"/>
    <w:rsid w:val="3CAD2655"/>
    <w:rsid w:val="3D9A3A9E"/>
    <w:rsid w:val="3E5C6F78"/>
    <w:rsid w:val="447A41FD"/>
    <w:rsid w:val="44D25E2F"/>
    <w:rsid w:val="47B65AB2"/>
    <w:rsid w:val="4C515295"/>
    <w:rsid w:val="4CDA3D41"/>
    <w:rsid w:val="4DAC647D"/>
    <w:rsid w:val="4F7E5458"/>
    <w:rsid w:val="524B2DC8"/>
    <w:rsid w:val="53F26278"/>
    <w:rsid w:val="54B756AE"/>
    <w:rsid w:val="58144D0D"/>
    <w:rsid w:val="59473E05"/>
    <w:rsid w:val="5ACB4331"/>
    <w:rsid w:val="5C29540E"/>
    <w:rsid w:val="5D8A4962"/>
    <w:rsid w:val="5FB34AB6"/>
    <w:rsid w:val="634001E3"/>
    <w:rsid w:val="64446389"/>
    <w:rsid w:val="67C779FD"/>
    <w:rsid w:val="6954726C"/>
    <w:rsid w:val="6B24677C"/>
    <w:rsid w:val="6BC20B7C"/>
    <w:rsid w:val="6C6E6DCF"/>
    <w:rsid w:val="6F094457"/>
    <w:rsid w:val="7227190F"/>
    <w:rsid w:val="74895730"/>
    <w:rsid w:val="763C79DD"/>
    <w:rsid w:val="76CC75F6"/>
    <w:rsid w:val="777367F2"/>
    <w:rsid w:val="7779317A"/>
    <w:rsid w:val="77A95EF0"/>
    <w:rsid w:val="77B67E5F"/>
    <w:rsid w:val="78111D7D"/>
    <w:rsid w:val="7AD3168F"/>
    <w:rsid w:val="7E464214"/>
    <w:rsid w:val="7FB92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kern w:val="0"/>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semiHidden/>
    <w:qFormat/>
    <w:uiPriority w:val="0"/>
    <w:rPr>
      <w:rFonts w:ascii="仿宋" w:hAnsi="仿宋" w:eastAsia="仿宋" w:cs="仿宋"/>
      <w:sz w:val="20"/>
      <w:szCs w:val="20"/>
      <w:lang w:eastAsia="en-US"/>
    </w:rPr>
  </w:style>
  <w:style w:type="paragraph" w:styleId="6">
    <w:name w:val="Balloon Text"/>
    <w:basedOn w:val="1"/>
    <w:link w:val="13"/>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框文本 字符"/>
    <w:basedOn w:val="12"/>
    <w:link w:val="6"/>
    <w:qFormat/>
    <w:uiPriority w:val="0"/>
    <w:rPr>
      <w:rFonts w:asciiTheme="minorHAnsi" w:hAnsiTheme="minorHAnsi" w:eastAsiaTheme="minorEastAsia" w:cstheme="minorBidi"/>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3457</Words>
  <Characters>3535</Characters>
  <Lines>23</Lines>
  <Paragraphs>6</Paragraphs>
  <TotalTime>5</TotalTime>
  <ScaleCrop>false</ScaleCrop>
  <LinksUpToDate>false</LinksUpToDate>
  <CharactersWithSpaces>3842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2025-06-19T07:45:00Z</dcterms:created>
  <dc:creator>陈小民</dc:creator>
  <cp:lastModifiedBy>。</cp:lastModifiedBy>
  <cp:lastPrinted>2025-07-01T03:25:00Z</cp:lastPrinted>
  <dcterms:modified xsi:type="dcterms:W3CDTF">2025-10-10T07:16:31Z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eyJoZGlkIjoiOGZhMGY4NGI5YmU5OGE3YjRiMDgyODliZGQxOWY2MGYiLCJ1c2VySWQiOiI3MjI4MjA5NTgifQ==</vt:lpwstr>
  </property>
  <property fmtid="{D5CDD505-2E9C-101B-9397-08002B2CF9AE}" pid="4" name="ICV">
    <vt:lpwstr>A0FCD779844E4991975807167FADA7C2_13</vt:lpwstr>
  </property>
</Properties>
</file>