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E14D6">
      <w:pPr>
        <w:pStyle w:val="4"/>
        <w:jc w:val="center"/>
        <w:outlineLvl w:val="1"/>
      </w:pPr>
      <w:r>
        <w:rPr>
          <w:rFonts w:ascii="仿宋_GB2312" w:hAnsi="仿宋_GB2312" w:eastAsia="仿宋_GB2312" w:cs="仿宋_GB2312"/>
          <w:b/>
          <w:sz w:val="36"/>
        </w:rPr>
        <w:t>拟签订合同文本</w:t>
      </w:r>
    </w:p>
    <w:p w14:paraId="4103CA5B">
      <w:pPr>
        <w:spacing w:line="720" w:lineRule="auto"/>
        <w:ind w:left="1079" w:leftChars="257" w:hanging="539"/>
        <w:jc w:val="center"/>
        <w:outlineLvl w:val="0"/>
        <w:rPr>
          <w:rFonts w:hint="eastAsia" w:eastAsia="仿宋"/>
          <w:b/>
          <w:bCs/>
          <w:sz w:val="52"/>
          <w:szCs w:val="52"/>
          <w:highlight w:val="none"/>
        </w:rPr>
      </w:pPr>
      <w:r>
        <w:rPr>
          <w:rFonts w:hint="eastAsia" w:eastAsia="仿宋"/>
          <w:b/>
          <w:bCs/>
          <w:sz w:val="52"/>
          <w:szCs w:val="52"/>
          <w:highlight w:val="none"/>
        </w:rPr>
        <w:t>西安市中心医院货物类</w:t>
      </w:r>
    </w:p>
    <w:p w14:paraId="65ECEDF6">
      <w:pPr>
        <w:spacing w:line="720" w:lineRule="auto"/>
        <w:ind w:left="1079" w:leftChars="257" w:hanging="539"/>
        <w:jc w:val="center"/>
        <w:outlineLvl w:val="0"/>
        <w:rPr>
          <w:rFonts w:hint="eastAsia" w:eastAsia="仿宋"/>
          <w:b/>
          <w:bCs/>
          <w:sz w:val="32"/>
          <w:szCs w:val="32"/>
          <w:highlight w:val="none"/>
        </w:rPr>
      </w:pPr>
    </w:p>
    <w:p w14:paraId="06F5D335">
      <w:pPr>
        <w:spacing w:line="720" w:lineRule="auto"/>
        <w:ind w:left="1079" w:leftChars="257" w:hanging="539"/>
        <w:jc w:val="center"/>
        <w:outlineLvl w:val="0"/>
        <w:rPr>
          <w:rFonts w:eastAsia="仿宋"/>
          <w:b/>
          <w:bCs/>
          <w:sz w:val="72"/>
          <w:szCs w:val="72"/>
          <w:highlight w:val="none"/>
        </w:rPr>
      </w:pPr>
      <w:r>
        <w:rPr>
          <w:rFonts w:hint="eastAsia" w:eastAsia="仿宋"/>
          <w:b/>
          <w:bCs/>
          <w:sz w:val="72"/>
          <w:szCs w:val="72"/>
          <w:highlight w:val="none"/>
        </w:rPr>
        <w:t>合  同</w:t>
      </w:r>
    </w:p>
    <w:p w14:paraId="3C941291">
      <w:pPr>
        <w:widowControl/>
        <w:kinsoku w:val="0"/>
        <w:autoSpaceDE w:val="0"/>
        <w:autoSpaceDN w:val="0"/>
        <w:adjustRightInd w:val="0"/>
        <w:snapToGrid w:val="0"/>
        <w:spacing w:line="460" w:lineRule="exact"/>
        <w:ind w:firstLine="562" w:firstLineChars="200"/>
        <w:jc w:val="center"/>
        <w:textAlignment w:val="baseline"/>
        <w:rPr>
          <w:rFonts w:hint="eastAsia" w:eastAsia="仿宋"/>
          <w:b/>
          <w:sz w:val="28"/>
          <w:szCs w:val="28"/>
          <w:highlight w:val="none"/>
        </w:rPr>
      </w:pPr>
    </w:p>
    <w:p w14:paraId="73F293D9">
      <w:pPr>
        <w:widowControl/>
        <w:kinsoku w:val="0"/>
        <w:autoSpaceDE w:val="0"/>
        <w:autoSpaceDN w:val="0"/>
        <w:adjustRightInd w:val="0"/>
        <w:snapToGrid w:val="0"/>
        <w:spacing w:line="460" w:lineRule="exact"/>
        <w:ind w:firstLine="560" w:firstLineChars="200"/>
        <w:jc w:val="center"/>
        <w:textAlignment w:val="baseline"/>
        <w:rPr>
          <w:rFonts w:hint="eastAsia" w:eastAsia="仿宋"/>
          <w:sz w:val="28"/>
          <w:szCs w:val="28"/>
          <w:highlight w:val="none"/>
        </w:rPr>
      </w:pPr>
    </w:p>
    <w:p w14:paraId="6B7AA4B4">
      <w:pPr>
        <w:widowControl/>
        <w:kinsoku w:val="0"/>
        <w:autoSpaceDE w:val="0"/>
        <w:autoSpaceDN w:val="0"/>
        <w:adjustRightInd w:val="0"/>
        <w:snapToGrid w:val="0"/>
        <w:spacing w:line="460" w:lineRule="exact"/>
        <w:ind w:firstLine="560" w:firstLineChars="200"/>
        <w:jc w:val="center"/>
        <w:textAlignment w:val="baseline"/>
        <w:rPr>
          <w:rFonts w:eastAsia="仿宋"/>
          <w:sz w:val="28"/>
          <w:szCs w:val="28"/>
          <w:highlight w:val="none"/>
        </w:rPr>
      </w:pPr>
    </w:p>
    <w:p w14:paraId="402B6207">
      <w:pPr>
        <w:ind w:firstLine="1120" w:firstLineChars="400"/>
        <w:rPr>
          <w:rFonts w:hint="eastAsia" w:ascii="黑体" w:hAnsi="黑体" w:eastAsia="黑体" w:cs="黑体"/>
          <w:sz w:val="28"/>
          <w:szCs w:val="28"/>
          <w:highlight w:val="none"/>
          <w:u w:val="single"/>
        </w:rPr>
      </w:pPr>
      <w:r>
        <w:rPr>
          <w:rFonts w:hint="eastAsia" w:ascii="黑体" w:eastAsia="黑体"/>
          <w:sz w:val="28"/>
          <w:szCs w:val="30"/>
          <w:highlight w:val="none"/>
        </w:rPr>
        <w:t>项目名称：</w:t>
      </w:r>
      <w:r>
        <w:rPr>
          <w:rFonts w:ascii="黑体" w:eastAsia="黑体"/>
          <w:sz w:val="28"/>
          <w:szCs w:val="30"/>
          <w:highlight w:val="none"/>
        </w:rPr>
        <w:t xml:space="preserve"> </w:t>
      </w:r>
      <w:r>
        <w:rPr>
          <w:rFonts w:ascii="黑体" w:eastAsia="黑体"/>
          <w:sz w:val="28"/>
          <w:szCs w:val="30"/>
          <w:highlight w:val="none"/>
          <w:u w:val="single"/>
        </w:rPr>
        <w:t xml:space="preserve">                                 </w:t>
      </w:r>
      <w:r>
        <w:rPr>
          <w:rFonts w:ascii="黑体" w:hAnsi="黑体" w:eastAsia="黑体" w:cs="黑体"/>
          <w:sz w:val="28"/>
          <w:szCs w:val="28"/>
          <w:highlight w:val="none"/>
          <w:u w:val="single"/>
        </w:rPr>
        <w:t xml:space="preserve"> </w:t>
      </w:r>
    </w:p>
    <w:p w14:paraId="3D3B0EBB">
      <w:pPr>
        <w:ind w:firstLine="1120" w:firstLineChars="400"/>
        <w:rPr>
          <w:rFonts w:hint="eastAsia" w:ascii="黑体" w:hAnsi="黑体" w:eastAsia="黑体" w:cs="黑体"/>
          <w:sz w:val="28"/>
          <w:szCs w:val="28"/>
          <w:highlight w:val="none"/>
          <w:u w:val="single"/>
        </w:rPr>
      </w:pPr>
      <w:r>
        <w:rPr>
          <w:rFonts w:hint="eastAsia" w:ascii="黑体" w:hAnsi="黑体" w:eastAsia="黑体" w:cs="黑体"/>
          <w:sz w:val="28"/>
          <w:szCs w:val="28"/>
          <w:highlight w:val="none"/>
        </w:rPr>
        <w:t>项目编号：</w:t>
      </w:r>
      <w:r>
        <w:rPr>
          <w:rFonts w:ascii="黑体" w:hAnsi="黑体" w:eastAsia="黑体" w:cs="黑体"/>
          <w:sz w:val="28"/>
          <w:szCs w:val="28"/>
          <w:highlight w:val="none"/>
        </w:rPr>
        <w:t xml:space="preserve"> </w:t>
      </w:r>
      <w:r>
        <w:rPr>
          <w:rFonts w:ascii="黑体" w:hAnsi="黑体" w:eastAsia="黑体" w:cs="黑体"/>
          <w:sz w:val="28"/>
          <w:szCs w:val="28"/>
          <w:highlight w:val="none"/>
          <w:u w:val="single"/>
        </w:rPr>
        <w:t xml:space="preserve">                                  </w:t>
      </w:r>
    </w:p>
    <w:p w14:paraId="63C13CEF">
      <w:pPr>
        <w:jc w:val="center"/>
        <w:rPr>
          <w:rFonts w:hint="eastAsia" w:ascii="黑体" w:eastAsia="黑体"/>
          <w:sz w:val="28"/>
          <w:szCs w:val="30"/>
          <w:highlight w:val="none"/>
        </w:rPr>
      </w:pPr>
    </w:p>
    <w:p w14:paraId="50767D1C">
      <w:pPr>
        <w:jc w:val="center"/>
        <w:rPr>
          <w:rFonts w:hint="eastAsia" w:ascii="黑体" w:eastAsia="黑体"/>
          <w:sz w:val="28"/>
          <w:szCs w:val="30"/>
          <w:highlight w:val="none"/>
        </w:rPr>
      </w:pPr>
    </w:p>
    <w:p w14:paraId="1465259C">
      <w:pPr>
        <w:jc w:val="center"/>
        <w:rPr>
          <w:rFonts w:ascii="黑体" w:eastAsia="黑体"/>
          <w:sz w:val="28"/>
          <w:szCs w:val="30"/>
          <w:highlight w:val="none"/>
        </w:rPr>
      </w:pPr>
    </w:p>
    <w:p w14:paraId="5D512643">
      <w:pPr>
        <w:jc w:val="center"/>
        <w:rPr>
          <w:rFonts w:ascii="黑体" w:eastAsia="黑体"/>
          <w:sz w:val="28"/>
          <w:szCs w:val="30"/>
          <w:highlight w:val="none"/>
        </w:rPr>
      </w:pPr>
    </w:p>
    <w:p w14:paraId="78E149BA">
      <w:pPr>
        <w:jc w:val="center"/>
        <w:rPr>
          <w:rFonts w:ascii="黑体" w:eastAsia="黑体"/>
          <w:sz w:val="28"/>
          <w:szCs w:val="30"/>
          <w:highlight w:val="none"/>
        </w:rPr>
      </w:pPr>
    </w:p>
    <w:p w14:paraId="12D31701">
      <w:pPr>
        <w:jc w:val="center"/>
        <w:rPr>
          <w:rFonts w:hint="eastAsia" w:ascii="黑体" w:eastAsia="黑体"/>
          <w:sz w:val="28"/>
          <w:szCs w:val="30"/>
          <w:highlight w:val="none"/>
        </w:rPr>
      </w:pPr>
    </w:p>
    <w:p w14:paraId="5BC546CF">
      <w:pPr>
        <w:ind w:firstLine="2240" w:firstLineChars="700"/>
        <w:rPr>
          <w:rFonts w:hint="eastAsia" w:ascii="黑体" w:hAnsi="宋体" w:eastAsia="黑体"/>
          <w:sz w:val="32"/>
          <w:szCs w:val="32"/>
          <w:highlight w:val="none"/>
        </w:rPr>
      </w:pPr>
      <w:r>
        <w:rPr>
          <w:rFonts w:hint="eastAsia" w:ascii="黑体" w:hAnsi="宋体" w:eastAsia="黑体"/>
          <w:sz w:val="32"/>
          <w:szCs w:val="32"/>
          <w:highlight w:val="none"/>
        </w:rPr>
        <w:t>甲  方：西安市中心医院</w:t>
      </w:r>
    </w:p>
    <w:p w14:paraId="2C76AEEB">
      <w:pPr>
        <w:tabs>
          <w:tab w:val="left" w:pos="480"/>
        </w:tabs>
        <w:ind w:firstLine="2240" w:firstLineChars="700"/>
        <w:rPr>
          <w:rFonts w:hint="eastAsia" w:ascii="黑体" w:hAnsi="黑体" w:eastAsia="黑体" w:cs="黑体"/>
          <w:sz w:val="32"/>
          <w:szCs w:val="32"/>
          <w:highlight w:val="none"/>
        </w:rPr>
      </w:pPr>
      <w:r>
        <w:rPr>
          <w:rFonts w:hint="eastAsia" w:ascii="黑体" w:hAnsi="宋体" w:eastAsia="黑体"/>
          <w:sz w:val="32"/>
          <w:szCs w:val="32"/>
          <w:highlight w:val="none"/>
        </w:rPr>
        <w:t>乙  方：</w:t>
      </w:r>
      <w:r>
        <w:rPr>
          <w:rFonts w:ascii="黑体" w:hAnsi="宋体" w:eastAsia="黑体"/>
          <w:sz w:val="32"/>
          <w:szCs w:val="32"/>
          <w:highlight w:val="none"/>
        </w:rPr>
        <w:t xml:space="preserve">                          </w:t>
      </w:r>
    </w:p>
    <w:p w14:paraId="2FFEC8DF">
      <w:pPr>
        <w:rPr>
          <w:rFonts w:ascii="黑体" w:hAnsi="宋体" w:eastAsia="黑体"/>
          <w:sz w:val="32"/>
          <w:szCs w:val="32"/>
          <w:highlight w:val="none"/>
        </w:rPr>
      </w:pPr>
    </w:p>
    <w:p w14:paraId="44633221">
      <w:pPr>
        <w:ind w:firstLine="3200" w:firstLineChars="1000"/>
        <w:rPr>
          <w:rFonts w:ascii="黑体" w:hAnsi="宋体" w:eastAsia="黑体"/>
          <w:sz w:val="32"/>
          <w:szCs w:val="32"/>
          <w:highlight w:val="none"/>
        </w:rPr>
      </w:pPr>
      <w:r>
        <w:rPr>
          <w:rFonts w:hint="eastAsia" w:ascii="黑体" w:hAnsi="宋体" w:eastAsia="黑体"/>
          <w:sz w:val="32"/>
          <w:szCs w:val="32"/>
          <w:highlight w:val="none"/>
        </w:rPr>
        <w:t>二O二</w:t>
      </w:r>
      <w:r>
        <w:rPr>
          <w:rFonts w:ascii="黑体" w:hAnsi="宋体" w:eastAsia="黑体"/>
          <w:sz w:val="32"/>
          <w:szCs w:val="32"/>
          <w:highlight w:val="none"/>
        </w:rPr>
        <w:t xml:space="preserve"> </w:t>
      </w:r>
      <w:r>
        <w:rPr>
          <w:rFonts w:hint="eastAsia" w:ascii="黑体" w:hAnsi="宋体" w:eastAsia="黑体"/>
          <w:sz w:val="32"/>
          <w:szCs w:val="32"/>
          <w:highlight w:val="none"/>
        </w:rPr>
        <w:t>五 年   月</w:t>
      </w:r>
    </w:p>
    <w:p w14:paraId="22BDF4F6">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p w14:paraId="53CC0D7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p w14:paraId="70EAAFBF">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p w14:paraId="6A4B6810">
      <w:pPr>
        <w:widowControl/>
        <w:kinsoku w:val="0"/>
        <w:autoSpaceDE w:val="0"/>
        <w:autoSpaceDN w:val="0"/>
        <w:adjustRightInd w:val="0"/>
        <w:snapToGrid w:val="0"/>
        <w:spacing w:line="460" w:lineRule="exact"/>
        <w:ind w:firstLine="480" w:firstLineChars="200"/>
        <w:textAlignment w:val="baseline"/>
        <w:rPr>
          <w:rFonts w:eastAsia="仿宋"/>
          <w:sz w:val="24"/>
          <w:highlight w:val="none"/>
        </w:rPr>
      </w:pPr>
      <w:r>
        <w:rPr>
          <w:rFonts w:hint="eastAsia" w:eastAsia="仿宋"/>
          <w:sz w:val="24"/>
          <w:highlight w:val="none"/>
        </w:rPr>
        <w:t xml:space="preserve">甲方：西安市中心医院 </w:t>
      </w:r>
    </w:p>
    <w:p w14:paraId="164F4EFF">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乙方：</w:t>
      </w:r>
    </w:p>
    <w:p w14:paraId="6E107443">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就甲方所需货物，按照政府采购程序组织招标，确定乙方为成交供应商。依据《中华人民共和国政府采购法》、《中华人民共和国招标投标法》、《中华人民共和国民法典》，经甲、乙双方协商、确认，达成如下条款。</w:t>
      </w:r>
    </w:p>
    <w:p w14:paraId="2FC3BBF1">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一、合同标的货物内容及数量</w:t>
      </w:r>
    </w:p>
    <w:tbl>
      <w:tblPr>
        <w:tblStyle w:val="2"/>
        <w:tblW w:w="9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268"/>
        <w:gridCol w:w="1181"/>
        <w:gridCol w:w="1225"/>
        <w:gridCol w:w="1072"/>
        <w:gridCol w:w="919"/>
        <w:gridCol w:w="1153"/>
        <w:gridCol w:w="1095"/>
        <w:gridCol w:w="959"/>
      </w:tblGrid>
      <w:tr w14:paraId="0F093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88" w:type="dxa"/>
            <w:tcBorders>
              <w:top w:val="single" w:color="auto" w:sz="4" w:space="0"/>
              <w:left w:val="single" w:color="auto" w:sz="4" w:space="0"/>
              <w:bottom w:val="single" w:color="auto" w:sz="4" w:space="0"/>
              <w:right w:val="single" w:color="auto" w:sz="4" w:space="0"/>
            </w:tcBorders>
            <w:noWrap w:val="0"/>
            <w:vAlign w:val="center"/>
          </w:tcPr>
          <w:p w14:paraId="2D264D8F">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序号</w:t>
            </w:r>
          </w:p>
        </w:tc>
        <w:tc>
          <w:tcPr>
            <w:tcW w:w="1268" w:type="dxa"/>
            <w:tcBorders>
              <w:top w:val="single" w:color="auto" w:sz="4" w:space="0"/>
              <w:left w:val="single" w:color="auto" w:sz="4" w:space="0"/>
              <w:bottom w:val="single" w:color="auto" w:sz="4" w:space="0"/>
              <w:right w:val="single" w:color="auto" w:sz="4" w:space="0"/>
            </w:tcBorders>
            <w:noWrap w:val="0"/>
            <w:vAlign w:val="center"/>
          </w:tcPr>
          <w:p w14:paraId="1C890371">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设备名称</w:t>
            </w:r>
          </w:p>
        </w:tc>
        <w:tc>
          <w:tcPr>
            <w:tcW w:w="1182" w:type="dxa"/>
            <w:tcBorders>
              <w:top w:val="single" w:color="auto" w:sz="4" w:space="0"/>
              <w:left w:val="single" w:color="auto" w:sz="4" w:space="0"/>
              <w:bottom w:val="single" w:color="auto" w:sz="4" w:space="0"/>
              <w:right w:val="single" w:color="auto" w:sz="4" w:space="0"/>
            </w:tcBorders>
            <w:noWrap w:val="0"/>
            <w:vAlign w:val="center"/>
          </w:tcPr>
          <w:p w14:paraId="706E592C">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规格参数</w:t>
            </w:r>
          </w:p>
        </w:tc>
        <w:tc>
          <w:tcPr>
            <w:tcW w:w="1226" w:type="dxa"/>
            <w:tcBorders>
              <w:top w:val="single" w:color="auto" w:sz="4" w:space="0"/>
              <w:left w:val="single" w:color="auto" w:sz="4" w:space="0"/>
              <w:bottom w:val="single" w:color="auto" w:sz="4" w:space="0"/>
              <w:right w:val="single" w:color="auto" w:sz="4" w:space="0"/>
            </w:tcBorders>
            <w:noWrap w:val="0"/>
            <w:vAlign w:val="center"/>
          </w:tcPr>
          <w:p w14:paraId="46A6A6D5">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生产厂家</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34B6F57C">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计量单位</w:t>
            </w:r>
          </w:p>
        </w:tc>
        <w:tc>
          <w:tcPr>
            <w:tcW w:w="920" w:type="dxa"/>
            <w:tcBorders>
              <w:top w:val="single" w:color="auto" w:sz="4" w:space="0"/>
              <w:left w:val="single" w:color="auto" w:sz="4" w:space="0"/>
              <w:bottom w:val="single" w:color="auto" w:sz="4" w:space="0"/>
              <w:right w:val="single" w:color="auto" w:sz="4" w:space="0"/>
            </w:tcBorders>
            <w:noWrap w:val="0"/>
            <w:vAlign w:val="center"/>
          </w:tcPr>
          <w:p w14:paraId="2E1945E0">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数量</w:t>
            </w:r>
          </w:p>
        </w:tc>
        <w:tc>
          <w:tcPr>
            <w:tcW w:w="1154" w:type="dxa"/>
            <w:tcBorders>
              <w:top w:val="single" w:color="auto" w:sz="4" w:space="0"/>
              <w:left w:val="single" w:color="auto" w:sz="4" w:space="0"/>
              <w:bottom w:val="single" w:color="auto" w:sz="4" w:space="0"/>
              <w:right w:val="single" w:color="auto" w:sz="4" w:space="0"/>
            </w:tcBorders>
            <w:noWrap w:val="0"/>
            <w:vAlign w:val="center"/>
          </w:tcPr>
          <w:p w14:paraId="6F7AE3E4">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单价</w:t>
            </w:r>
          </w:p>
          <w:p w14:paraId="2180563E">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（万元）</w:t>
            </w:r>
          </w:p>
        </w:tc>
        <w:tc>
          <w:tcPr>
            <w:tcW w:w="1096" w:type="dxa"/>
            <w:tcBorders>
              <w:top w:val="single" w:color="auto" w:sz="4" w:space="0"/>
              <w:left w:val="single" w:color="auto" w:sz="4" w:space="0"/>
              <w:bottom w:val="single" w:color="auto" w:sz="4" w:space="0"/>
              <w:right w:val="single" w:color="auto" w:sz="4" w:space="0"/>
            </w:tcBorders>
            <w:noWrap w:val="0"/>
            <w:vAlign w:val="center"/>
          </w:tcPr>
          <w:p w14:paraId="1D399F6F">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金额</w:t>
            </w:r>
          </w:p>
          <w:p w14:paraId="1694F2F7">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（万元）</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760F62B3">
            <w:pPr>
              <w:widowControl/>
              <w:kinsoku w:val="0"/>
              <w:autoSpaceDE w:val="0"/>
              <w:autoSpaceDN w:val="0"/>
              <w:adjustRightInd w:val="0"/>
              <w:snapToGrid w:val="0"/>
              <w:spacing w:line="460" w:lineRule="exact"/>
              <w:ind w:firstLine="0" w:firstLineChars="0"/>
              <w:textAlignment w:val="baseline"/>
              <w:rPr>
                <w:rFonts w:hint="eastAsia" w:eastAsia="仿宋"/>
                <w:sz w:val="24"/>
                <w:highlight w:val="none"/>
              </w:rPr>
            </w:pPr>
            <w:r>
              <w:rPr>
                <w:rFonts w:hint="eastAsia" w:eastAsia="仿宋"/>
                <w:sz w:val="24"/>
                <w:highlight w:val="none"/>
              </w:rPr>
              <w:t>备注</w:t>
            </w:r>
          </w:p>
        </w:tc>
      </w:tr>
      <w:tr w14:paraId="064A5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tcBorders>
              <w:top w:val="single" w:color="auto" w:sz="4" w:space="0"/>
              <w:left w:val="single" w:color="auto" w:sz="4" w:space="0"/>
              <w:bottom w:val="single" w:color="auto" w:sz="4" w:space="0"/>
              <w:right w:val="single" w:color="auto" w:sz="4" w:space="0"/>
            </w:tcBorders>
            <w:noWrap w:val="0"/>
            <w:vAlign w:val="center"/>
          </w:tcPr>
          <w:p w14:paraId="336E8CF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1</w:t>
            </w:r>
          </w:p>
        </w:tc>
        <w:tc>
          <w:tcPr>
            <w:tcW w:w="1268" w:type="dxa"/>
            <w:tcBorders>
              <w:top w:val="single" w:color="auto" w:sz="4" w:space="0"/>
              <w:left w:val="single" w:color="auto" w:sz="4" w:space="0"/>
              <w:bottom w:val="single" w:color="auto" w:sz="4" w:space="0"/>
              <w:right w:val="single" w:color="auto" w:sz="4" w:space="0"/>
            </w:tcBorders>
            <w:noWrap w:val="0"/>
            <w:vAlign w:val="center"/>
          </w:tcPr>
          <w:p w14:paraId="553526B9">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182" w:type="dxa"/>
            <w:tcBorders>
              <w:top w:val="single" w:color="auto" w:sz="4" w:space="0"/>
              <w:left w:val="single" w:color="auto" w:sz="4" w:space="0"/>
              <w:bottom w:val="single" w:color="auto" w:sz="4" w:space="0"/>
              <w:right w:val="single" w:color="auto" w:sz="4" w:space="0"/>
            </w:tcBorders>
            <w:noWrap w:val="0"/>
            <w:vAlign w:val="center"/>
          </w:tcPr>
          <w:p w14:paraId="3CF98C3C">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226" w:type="dxa"/>
            <w:tcBorders>
              <w:top w:val="single" w:color="auto" w:sz="4" w:space="0"/>
              <w:left w:val="single" w:color="auto" w:sz="4" w:space="0"/>
              <w:bottom w:val="single" w:color="auto" w:sz="4" w:space="0"/>
              <w:right w:val="single" w:color="auto" w:sz="4" w:space="0"/>
            </w:tcBorders>
            <w:noWrap w:val="0"/>
            <w:vAlign w:val="center"/>
          </w:tcPr>
          <w:p w14:paraId="090C60EC">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073" w:type="dxa"/>
            <w:tcBorders>
              <w:top w:val="single" w:color="auto" w:sz="4" w:space="0"/>
              <w:left w:val="single" w:color="auto" w:sz="4" w:space="0"/>
              <w:bottom w:val="single" w:color="auto" w:sz="4" w:space="0"/>
              <w:right w:val="single" w:color="auto" w:sz="4" w:space="0"/>
            </w:tcBorders>
            <w:noWrap w:val="0"/>
            <w:vAlign w:val="center"/>
          </w:tcPr>
          <w:p w14:paraId="14EE90F5">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920" w:type="dxa"/>
            <w:tcBorders>
              <w:top w:val="single" w:color="auto" w:sz="4" w:space="0"/>
              <w:left w:val="single" w:color="auto" w:sz="4" w:space="0"/>
              <w:bottom w:val="single" w:color="auto" w:sz="4" w:space="0"/>
              <w:right w:val="single" w:color="auto" w:sz="4" w:space="0"/>
            </w:tcBorders>
            <w:noWrap w:val="0"/>
            <w:vAlign w:val="center"/>
          </w:tcPr>
          <w:p w14:paraId="42433E3F">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154" w:type="dxa"/>
            <w:tcBorders>
              <w:top w:val="single" w:color="auto" w:sz="4" w:space="0"/>
              <w:left w:val="single" w:color="auto" w:sz="4" w:space="0"/>
              <w:bottom w:val="single" w:color="auto" w:sz="4" w:space="0"/>
              <w:right w:val="single" w:color="auto" w:sz="4" w:space="0"/>
            </w:tcBorders>
            <w:noWrap w:val="0"/>
            <w:vAlign w:val="center"/>
          </w:tcPr>
          <w:p w14:paraId="3B264FD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35727C7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956" w:type="dxa"/>
            <w:tcBorders>
              <w:top w:val="single" w:color="auto" w:sz="4" w:space="0"/>
              <w:left w:val="single" w:color="auto" w:sz="4" w:space="0"/>
              <w:bottom w:val="single" w:color="auto" w:sz="4" w:space="0"/>
              <w:right w:val="single" w:color="auto" w:sz="4" w:space="0"/>
            </w:tcBorders>
            <w:noWrap w:val="0"/>
            <w:vAlign w:val="top"/>
          </w:tcPr>
          <w:p w14:paraId="5F9E2B68">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r>
      <w:tr w14:paraId="2810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8" w:type="dxa"/>
            <w:tcBorders>
              <w:top w:val="single" w:color="auto" w:sz="4" w:space="0"/>
              <w:left w:val="single" w:color="auto" w:sz="4" w:space="0"/>
              <w:bottom w:val="single" w:color="auto" w:sz="4" w:space="0"/>
              <w:right w:val="single" w:color="auto" w:sz="4" w:space="0"/>
            </w:tcBorders>
            <w:noWrap w:val="0"/>
            <w:vAlign w:val="center"/>
          </w:tcPr>
          <w:p w14:paraId="5B6851A7">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2</w:t>
            </w:r>
          </w:p>
        </w:tc>
        <w:tc>
          <w:tcPr>
            <w:tcW w:w="1268" w:type="dxa"/>
            <w:tcBorders>
              <w:top w:val="single" w:color="auto" w:sz="4" w:space="0"/>
              <w:left w:val="single" w:color="auto" w:sz="4" w:space="0"/>
              <w:bottom w:val="single" w:color="auto" w:sz="4" w:space="0"/>
              <w:right w:val="single" w:color="auto" w:sz="4" w:space="0"/>
            </w:tcBorders>
            <w:noWrap w:val="0"/>
            <w:vAlign w:val="center"/>
          </w:tcPr>
          <w:p w14:paraId="27FE907B">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182" w:type="dxa"/>
            <w:tcBorders>
              <w:top w:val="single" w:color="auto" w:sz="4" w:space="0"/>
              <w:left w:val="single" w:color="auto" w:sz="4" w:space="0"/>
              <w:bottom w:val="single" w:color="auto" w:sz="4" w:space="0"/>
              <w:right w:val="single" w:color="auto" w:sz="4" w:space="0"/>
            </w:tcBorders>
            <w:noWrap w:val="0"/>
            <w:vAlign w:val="top"/>
          </w:tcPr>
          <w:p w14:paraId="28A99398">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226" w:type="dxa"/>
            <w:tcBorders>
              <w:top w:val="single" w:color="auto" w:sz="4" w:space="0"/>
              <w:left w:val="single" w:color="auto" w:sz="4" w:space="0"/>
              <w:bottom w:val="single" w:color="auto" w:sz="4" w:space="0"/>
              <w:right w:val="single" w:color="auto" w:sz="4" w:space="0"/>
            </w:tcBorders>
            <w:noWrap w:val="0"/>
            <w:vAlign w:val="top"/>
          </w:tcPr>
          <w:p w14:paraId="3400CEBF">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073" w:type="dxa"/>
            <w:tcBorders>
              <w:top w:val="single" w:color="auto" w:sz="4" w:space="0"/>
              <w:left w:val="single" w:color="auto" w:sz="4" w:space="0"/>
              <w:bottom w:val="single" w:color="auto" w:sz="4" w:space="0"/>
              <w:right w:val="single" w:color="auto" w:sz="4" w:space="0"/>
            </w:tcBorders>
            <w:noWrap w:val="0"/>
            <w:vAlign w:val="center"/>
          </w:tcPr>
          <w:p w14:paraId="7A0D3BB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920" w:type="dxa"/>
            <w:tcBorders>
              <w:top w:val="single" w:color="auto" w:sz="4" w:space="0"/>
              <w:left w:val="single" w:color="auto" w:sz="4" w:space="0"/>
              <w:bottom w:val="single" w:color="auto" w:sz="4" w:space="0"/>
              <w:right w:val="single" w:color="auto" w:sz="4" w:space="0"/>
            </w:tcBorders>
            <w:noWrap w:val="0"/>
            <w:vAlign w:val="top"/>
          </w:tcPr>
          <w:p w14:paraId="54809868">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154" w:type="dxa"/>
            <w:tcBorders>
              <w:top w:val="single" w:color="auto" w:sz="4" w:space="0"/>
              <w:left w:val="single" w:color="auto" w:sz="4" w:space="0"/>
              <w:bottom w:val="single" w:color="auto" w:sz="4" w:space="0"/>
              <w:right w:val="single" w:color="auto" w:sz="4" w:space="0"/>
            </w:tcBorders>
            <w:noWrap w:val="0"/>
            <w:vAlign w:val="center"/>
          </w:tcPr>
          <w:p w14:paraId="69BBD116">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top"/>
          </w:tcPr>
          <w:p w14:paraId="720651EB">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c>
          <w:tcPr>
            <w:tcW w:w="956" w:type="dxa"/>
            <w:tcBorders>
              <w:top w:val="single" w:color="auto" w:sz="4" w:space="0"/>
              <w:left w:val="single" w:color="auto" w:sz="4" w:space="0"/>
              <w:bottom w:val="single" w:color="auto" w:sz="4" w:space="0"/>
              <w:right w:val="single" w:color="auto" w:sz="4" w:space="0"/>
            </w:tcBorders>
            <w:noWrap w:val="0"/>
            <w:vAlign w:val="top"/>
          </w:tcPr>
          <w:p w14:paraId="51159B5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tc>
      </w:tr>
      <w:tr w14:paraId="6F0E8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667" w:type="dxa"/>
            <w:gridSpan w:val="9"/>
            <w:tcBorders>
              <w:top w:val="single" w:color="auto" w:sz="4" w:space="0"/>
              <w:left w:val="single" w:color="auto" w:sz="4" w:space="0"/>
              <w:bottom w:val="single" w:color="auto" w:sz="4" w:space="0"/>
              <w:right w:val="single" w:color="auto" w:sz="4" w:space="0"/>
            </w:tcBorders>
            <w:noWrap w:val="0"/>
            <w:vAlign w:val="center"/>
          </w:tcPr>
          <w:p w14:paraId="4C6564D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合计人民币（大写）：</w:t>
            </w:r>
          </w:p>
          <w:p w14:paraId="7C346A61">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合计：¥</w:t>
            </w:r>
          </w:p>
        </w:tc>
      </w:tr>
      <w:tr w14:paraId="3E97C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tcBorders>
              <w:top w:val="single" w:color="auto" w:sz="4" w:space="0"/>
              <w:left w:val="single" w:color="auto" w:sz="4" w:space="0"/>
              <w:bottom w:val="single" w:color="auto" w:sz="4" w:space="0"/>
              <w:right w:val="single" w:color="auto" w:sz="4" w:space="0"/>
            </w:tcBorders>
            <w:noWrap w:val="0"/>
            <w:vAlign w:val="center"/>
          </w:tcPr>
          <w:p w14:paraId="10995F4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说明</w:t>
            </w:r>
          </w:p>
        </w:tc>
        <w:tc>
          <w:tcPr>
            <w:tcW w:w="8878" w:type="dxa"/>
            <w:gridSpan w:val="8"/>
            <w:tcBorders>
              <w:top w:val="single" w:color="auto" w:sz="4" w:space="0"/>
              <w:left w:val="single" w:color="auto" w:sz="4" w:space="0"/>
              <w:bottom w:val="single" w:color="auto" w:sz="4" w:space="0"/>
              <w:right w:val="single" w:color="auto" w:sz="4" w:space="0"/>
            </w:tcBorders>
            <w:noWrap w:val="0"/>
            <w:vAlign w:val="center"/>
          </w:tcPr>
          <w:p w14:paraId="09B48B4A">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含安装、调试、检验、培训及技术服务等</w:t>
            </w:r>
          </w:p>
        </w:tc>
      </w:tr>
    </w:tbl>
    <w:p w14:paraId="55B79D51">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二、合同价款</w:t>
      </w:r>
    </w:p>
    <w:p w14:paraId="234A2D3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（一）合同总价款为人民币（大写）                  （¥            元）。</w:t>
      </w:r>
    </w:p>
    <w:p w14:paraId="1F598E1C">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二）合同总价包括：税费、货物费、运输费（含保险费）、装卸、安装调试费、检测验收、培训、技术服务及其它乙方履行合同义务所需的全部费用。本合同执行期间合同总价不变，甲方无需向乙方另行支付费用。</w:t>
      </w:r>
    </w:p>
    <w:p w14:paraId="72BFAE5B">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三、款项结算</w:t>
      </w:r>
    </w:p>
    <w:p w14:paraId="2304C996">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（一）所有货物到达甲方指定地点安装、调试、第一次验收合格后，乙方须按其投标文件中响应的投标价格提供全额发票，甲方于收到发票后的一个月内支付合同总价款95%，即人民币（大写）                    （¥           ）。</w:t>
      </w:r>
    </w:p>
    <w:p w14:paraId="59CE631F">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乙方延期提供发票或提供的发票不符合甲方要求的，甲方有权拒付合同款项且不承担任何法律责任。因乙方原因导致甲方不能及时付款的，甲方无需承担任何责任。</w:t>
      </w:r>
    </w:p>
    <w:p w14:paraId="1DA7864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（二）货物第一次验收合格满12个 月后，进行第二次验收，验收合格后，无息支付合同总价款的 3 %。</w:t>
      </w:r>
    </w:p>
    <w:p w14:paraId="68B7A4A5">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即人民币（大写）                    （¥           ）。</w:t>
      </w:r>
    </w:p>
    <w:p w14:paraId="15706899">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（三）货物第一次验收合格满 36个 月后，进行第三次验收，验收合格后，一次性无息付清尾款，即人民币（大写）                         （¥           ）。</w:t>
      </w:r>
    </w:p>
    <w:p w14:paraId="639C5B83">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（四）支付方式：银行转帐。乙方保证其提供的账号准确无误，若在合同履行期间发生变更，乙方需及时书面通知甲方，否则由此产生的后果由乙方承担。</w:t>
      </w:r>
    </w:p>
    <w:p w14:paraId="3879436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（五）结算方式：乙方持验收合格单，全额合规发票（按合同总价值开甲方），中标通知书、供货合同，与甲方结算。</w:t>
      </w:r>
    </w:p>
    <w:p w14:paraId="552C890D">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四、交货条件</w:t>
      </w:r>
    </w:p>
    <w:p w14:paraId="74A240AA">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（一）交货地点：西安市中心医院指定地点。</w:t>
      </w:r>
    </w:p>
    <w:p w14:paraId="5204B8B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（二）交货期：</w:t>
      </w:r>
    </w:p>
    <w:p w14:paraId="4978F203">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1、交货期：合同签订后国产设备  个日历日，进口设备  个日历日。</w:t>
      </w:r>
    </w:p>
    <w:p w14:paraId="5152E8C9">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2、合同签订后【3】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7295DD1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合格后提供附带市级法定机构出具的计量检定/校准证书方可达到交付条件。</w:t>
      </w:r>
    </w:p>
    <w:p w14:paraId="798BA062">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五、运输</w:t>
      </w:r>
    </w:p>
    <w:p w14:paraId="385AE2B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（一）运输由乙方负责，运杂费已包含在合同总价内，包括从货物供应地点至交货地点所含的运输费、装卸费、仓储费、保险费等。</w:t>
      </w:r>
    </w:p>
    <w:p w14:paraId="3F0188D5">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（二）运输方式由乙方自行选择，但必须保证按期交货。</w:t>
      </w:r>
    </w:p>
    <w:p w14:paraId="309DFE53">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（三）货物验收合格前产生的一切毁损、灭失的风险及质量问题均由乙方承担。</w:t>
      </w:r>
    </w:p>
    <w:p w14:paraId="5C943908">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六、质量保证</w:t>
      </w:r>
    </w:p>
    <w:p w14:paraId="3272CEB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乙方所供货物必须执行下列条款：</w:t>
      </w:r>
    </w:p>
    <w:p w14:paraId="63D3508C">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（一）保证技术指标先进、质量性能可靠、进货渠道正常，配置合理，全面满足招标文件要求。</w:t>
      </w:r>
    </w:p>
    <w:p w14:paraId="571692ED">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（二）符合国家有关规范要求，确保达到最佳运行状态，对于由于产品设计、工艺或材料的缺陷而产生的质量问题负责。</w:t>
      </w:r>
    </w:p>
    <w:p w14:paraId="61F2C94C">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（三）具有良好的外观，适合安装场所的使用。</w:t>
      </w:r>
    </w:p>
    <w:p w14:paraId="7F1BBA36">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（四）自安装、调试正常运行并验收合格之日起：</w:t>
      </w:r>
    </w:p>
    <w:p w14:paraId="2F5951D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1、质保期：</w:t>
      </w:r>
      <w:r>
        <w:rPr>
          <w:rFonts w:hint="eastAsia" w:ascii="Times New Roman" w:hAnsi="Times New Roman" w:eastAsia="仿宋" w:cs="Times New Roman"/>
          <w:sz w:val="24"/>
          <w:szCs w:val="24"/>
          <w:highlight w:val="none"/>
        </w:rPr>
        <w:t>产品全套</w:t>
      </w:r>
      <w:r>
        <w:rPr>
          <w:rFonts w:hint="eastAsia" w:ascii="Times New Roman" w:hAnsi="Times New Roman" w:eastAsia="仿宋" w:cs="Times New Roman"/>
          <w:sz w:val="24"/>
          <w:szCs w:val="24"/>
          <w:highlight w:val="none"/>
          <w:lang w:eastAsia="zh-CN"/>
        </w:rPr>
        <w:t>（</w:t>
      </w:r>
      <w:r>
        <w:rPr>
          <w:rFonts w:hint="eastAsia" w:ascii="Times New Roman" w:hAnsi="Times New Roman" w:eastAsia="仿宋" w:cs="Times New Roman"/>
          <w:sz w:val="24"/>
          <w:szCs w:val="24"/>
          <w:highlight w:val="none"/>
          <w:lang w:val="en-US" w:eastAsia="zh-CN"/>
        </w:rPr>
        <w:t>含所有第三方产品</w:t>
      </w:r>
      <w:r>
        <w:rPr>
          <w:rFonts w:hint="eastAsia" w:ascii="Times New Roman" w:hAnsi="Times New Roman" w:eastAsia="仿宋" w:cs="Times New Roman"/>
          <w:sz w:val="24"/>
          <w:szCs w:val="24"/>
          <w:highlight w:val="none"/>
          <w:lang w:eastAsia="zh-CN"/>
        </w:rPr>
        <w:t>）</w:t>
      </w:r>
      <w:r>
        <w:rPr>
          <w:rFonts w:hint="eastAsia" w:ascii="Times New Roman" w:hAnsi="Times New Roman" w:eastAsia="仿宋" w:cs="Times New Roman"/>
          <w:sz w:val="24"/>
          <w:szCs w:val="24"/>
          <w:highlight w:val="none"/>
        </w:rPr>
        <w:t>质保</w:t>
      </w:r>
      <w:r>
        <w:rPr>
          <w:rFonts w:hint="eastAsia" w:ascii="Times New Roman" w:hAnsi="Times New Roman" w:eastAsia="仿宋" w:cs="Times New Roman"/>
          <w:sz w:val="24"/>
          <w:szCs w:val="24"/>
          <w:highlight w:val="none"/>
          <w:u w:val="single"/>
          <w:lang w:val="en-US" w:eastAsia="zh-CN"/>
        </w:rPr>
        <w:t xml:space="preserve">   </w:t>
      </w:r>
      <w:r>
        <w:rPr>
          <w:rFonts w:hint="eastAsia" w:ascii="Times New Roman" w:hAnsi="Times New Roman" w:eastAsia="仿宋" w:cs="Times New Roman"/>
          <w:sz w:val="24"/>
          <w:szCs w:val="24"/>
          <w:highlight w:val="none"/>
        </w:rPr>
        <w:t>年，</w:t>
      </w:r>
      <w:r>
        <w:rPr>
          <w:rFonts w:hint="eastAsia" w:ascii="Times New Roman" w:hAnsi="Times New Roman" w:eastAsia="仿宋" w:cs="Times New Roman"/>
          <w:sz w:val="24"/>
          <w:szCs w:val="24"/>
          <w:highlight w:val="none"/>
          <w:lang w:val="en-US" w:eastAsia="zh-CN"/>
        </w:rPr>
        <w:t>负责</w:t>
      </w:r>
      <w:r>
        <w:rPr>
          <w:rFonts w:hint="eastAsia" w:ascii="Times New Roman" w:hAnsi="Times New Roman" w:eastAsia="仿宋" w:cs="Times New Roman"/>
          <w:sz w:val="24"/>
          <w:szCs w:val="24"/>
          <w:highlight w:val="none"/>
        </w:rPr>
        <w:t>全部软件终生升级</w:t>
      </w:r>
      <w:r>
        <w:rPr>
          <w:rFonts w:hint="eastAsia" w:ascii="Times New Roman" w:hAnsi="Times New Roman" w:eastAsia="仿宋" w:cs="Times New Roman"/>
          <w:sz w:val="24"/>
          <w:highlight w:val="none"/>
        </w:rPr>
        <w:t>。质保期内，同一主要部件出现质量问题经过两次维修后仍无法正常使用的，可以更换同型号、同规格的全新产品，维修响应时间≤1小时，维修工程师抵达现场时间≤2小时。48小时内无法完成维修时须提供备用机。若需要将产品返厂维修，乙方须承担维修产品所需的往返费用；乙方提供保修期内每年不少于四次维护保养；乙方保证年开机率≥95％（一年按365天计算）；如有问题在48小</w:t>
      </w:r>
      <w:r>
        <w:rPr>
          <w:rFonts w:hint="eastAsia" w:eastAsia="仿宋"/>
          <w:sz w:val="24"/>
          <w:highlight w:val="none"/>
        </w:rPr>
        <w:t>时内修复（每超一天保修延长5天），对问题较大72小时内暂不能解决的，为不影响甲方正常工作，乙方在5日内免费提供替代产品，并确保正常运行；若乙方未按照上述约定期限内及时解决问题,造成甲方损失扩大的,乙方应就损失扩大部分承担赔偿责任。</w:t>
      </w:r>
    </w:p>
    <w:p w14:paraId="58E11BD7">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 xml:space="preserve">2、30天内，如出现质量问题，甲方可以选择换货或退货 </w:t>
      </w:r>
    </w:p>
    <w:p w14:paraId="421D0D06">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3、7天内，如出现质量问题，甲方可选择换货。</w:t>
      </w:r>
    </w:p>
    <w:p w14:paraId="307AD04D">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（五）、保证设备后期可与甲方各类信息化网络系统免费无缝链接。乙方在设备安装调试完成后协助甲方完成设备之间信息化系统的连接和建立，承诺在甲方使用产品期间免费对该产品进行系统升级和维护。</w:t>
      </w:r>
    </w:p>
    <w:p w14:paraId="3E61BBDB">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七、售后服务</w:t>
      </w:r>
    </w:p>
    <w:p w14:paraId="70B7952A">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乙方为所供货物提供以下售后服务：</w:t>
      </w:r>
    </w:p>
    <w:p w14:paraId="26068C3F">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（一）质保期内：</w:t>
      </w:r>
    </w:p>
    <w:p w14:paraId="464AB2C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1、发生质量问题，接到甲方通知后，应于当日派出专业的维修人员到现场进行检测维修，发生的全部费用由乙方承担，若需送回生产厂，乙方承担往返费用；</w:t>
      </w:r>
    </w:p>
    <w:p w14:paraId="0E0C570D">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2、每年四次派技术人员到现场走访，给予检查维护；</w:t>
      </w:r>
    </w:p>
    <w:p w14:paraId="0D5A4A02">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3、排除故障的期限不超过48小时。否则甲方有权指定第三方维修，维修费用由乙方承担，甲方有权直接从未付合同款中扣除，未付合同款无法支付全部维修费用的，超出部分由乙方另行承担。</w:t>
      </w:r>
    </w:p>
    <w:p w14:paraId="78B3155C">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（二）质保期结束前，进行系统测试，全面保养维护，确保正常运行。</w:t>
      </w:r>
    </w:p>
    <w:p w14:paraId="6C4BD5D5">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八、技术与服务</w:t>
      </w:r>
    </w:p>
    <w:p w14:paraId="52ECC3E8">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（一）技术资料：</w:t>
      </w:r>
    </w:p>
    <w:p w14:paraId="56B7F033">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1、货物合格证；</w:t>
      </w:r>
    </w:p>
    <w:p w14:paraId="31B08352">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2、货物使用说明书（中文）；</w:t>
      </w:r>
    </w:p>
    <w:p w14:paraId="4D5254F7">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3、进口货物商检证明和报关单；</w:t>
      </w:r>
    </w:p>
    <w:p w14:paraId="1F57BC78">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4、乙方提供相关部门出具的检验测试报告；</w:t>
      </w:r>
    </w:p>
    <w:p w14:paraId="4FA28962">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5、其它资料。</w:t>
      </w:r>
    </w:p>
    <w:p w14:paraId="36E68C79">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乙方应在供货时一并提供前述技术资料，否则均视为交付不合格，甲方有权拒绝验收，由此造成的一切后果由乙方承担。</w:t>
      </w:r>
    </w:p>
    <w:p w14:paraId="204328F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（二）培训：乙方须在设备安装调试完成后对甲方操作人员进行完整使用、保养等培训，确保受训人员可熟练、独立使用设备，是否完成培训视为货物验收必备条件之一；</w:t>
      </w:r>
    </w:p>
    <w:p w14:paraId="29D6E30D">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（三）服务承诺：以投标文件、澄清表（函）、合同和随货物的相关文件为准。</w:t>
      </w:r>
    </w:p>
    <w:p w14:paraId="67833504">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九、验收</w:t>
      </w:r>
    </w:p>
    <w:p w14:paraId="36C90228">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（一）货物到达甲方指定地点后，甲方根据合同要求，进行外观验收，确认产地、规格、型号和数量。甲乙双方需在约定的时间和地点共同开箱检验。</w:t>
      </w:r>
    </w:p>
    <w:p w14:paraId="28215DE5">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（二）货物安装、调试并正常运行后，由乙方进行自检，合格后能够正常使用时书面通知甲方。</w:t>
      </w:r>
    </w:p>
    <w:p w14:paraId="17BBC6E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（三）甲方确认接收乙方的自检内容后，进行验收（必要时请有关专家，由乙方承担聘请专家的费用），验收合格后，由乙方对甲方操作人员进行培训，完成培训后，甲方填写验收单作为对货物的最终认可。</w:t>
      </w:r>
    </w:p>
    <w:p w14:paraId="625C7BA1">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（四）乙方向甲方提交货物实施过程中的所有资料。以便甲方日后管理和维护。</w:t>
      </w:r>
    </w:p>
    <w:p w14:paraId="041BF5A8">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（五）</w:t>
      </w:r>
      <w:r>
        <w:rPr>
          <w:rFonts w:hint="eastAsia" w:eastAsia="仿宋"/>
          <w:sz w:val="24"/>
          <w:highlight w:val="none"/>
          <w:lang w:val="en-US" w:eastAsia="zh-CN"/>
        </w:rPr>
        <w:t>如为进口设备，</w:t>
      </w:r>
      <w:r>
        <w:rPr>
          <w:rFonts w:hint="eastAsia" w:eastAsia="仿宋"/>
          <w:sz w:val="24"/>
          <w:highlight w:val="none"/>
        </w:rPr>
        <w:t>货物验收时必须提供海关证明，验收15日内完成商检手续办理。</w:t>
      </w:r>
    </w:p>
    <w:p w14:paraId="45DEA76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（六）设备验收时需提供附带市级法定机构出具的计量检定/校准证书。</w:t>
      </w:r>
    </w:p>
    <w:p w14:paraId="41D489F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（七）验收依据：</w:t>
      </w:r>
    </w:p>
    <w:p w14:paraId="5F14B0E1">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1、本合同及合同附件。</w:t>
      </w:r>
    </w:p>
    <w:p w14:paraId="3CBAF21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2、国家相应的标准、规范。</w:t>
      </w:r>
    </w:p>
    <w:p w14:paraId="692E0606">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3、招标文件、投标文件、中标通知书、澄清表（函）。</w:t>
      </w:r>
    </w:p>
    <w:p w14:paraId="53D087FB">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十、违约责任</w:t>
      </w:r>
    </w:p>
    <w:p w14:paraId="200AA5B8">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（一）按《政府采购法》、《民法典》中的相关条款执行。</w:t>
      </w:r>
    </w:p>
    <w:p w14:paraId="2276497B">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二）乙方未按合同要求提供货物或质量不能满足本合同、招标文件、投标文件等相关文件要求时，甲方验收不合格的或出现质量问题，在约定的条件下，乙方必须无条件按照甲方要求的时限进行更换，提高技术，完善质量，否则，甲方有权解除合同，解除合同书面通知书到达乙方之日视为合同已解除，并按以下两种方式追究乙方的违约责任：</w:t>
      </w:r>
    </w:p>
    <w:p w14:paraId="3AF08512">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1、乙方赔偿甲方解除合同的全部损失（包括但不限于重新采购产生的费用、合同未履行导致设备不能按规划交付使用可能产生的租赁费用及其它由此造成的甲方对第三方的违约损失）；</w:t>
      </w:r>
    </w:p>
    <w:p w14:paraId="46A4E3E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2、乙方支付甲方违约金，违约金计算方法：以合同总价为基数，支付甲方合同总价的30%为违约金，违约金不足以赔偿甲方损失的，由乙方另行承担。</w:t>
      </w:r>
    </w:p>
    <w:p w14:paraId="1E8D03AC">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同时，甲方有权对乙方的违约行为报监管机构进行相应的处罚。</w:t>
      </w:r>
    </w:p>
    <w:p w14:paraId="278BBD85">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（三）乙方逾期交货的，交货期每超过一天，乙方应按照合同总价款的【1】%向甲方支付违约金；迟延交货超过【7】天的，视为乙方根本违约，甲方有权依据本条第（二）款之约定单方解除本合同。</w:t>
      </w:r>
    </w:p>
    <w:p w14:paraId="6F66973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（四）乙方违约时，甲方为主张权利而支出的律师费、保全费、保全保险费、差旅费等费用由乙方承担。</w:t>
      </w:r>
    </w:p>
    <w:p w14:paraId="45BE6F7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五）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78BEDCAD">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十一、合同争议解决的方式</w:t>
      </w:r>
    </w:p>
    <w:p w14:paraId="25781362">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本合同在履行过程中发生的争议，由甲、乙双方当事人协商解决，协商不成的依法向甲方所在地人民法院起诉。</w:t>
      </w:r>
    </w:p>
    <w:p w14:paraId="4B165715">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十二、合同生效</w:t>
      </w:r>
    </w:p>
    <w:p w14:paraId="32A4B4D9">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本合同一式</w:t>
      </w:r>
      <w:r>
        <w:rPr>
          <w:rFonts w:hint="eastAsia" w:eastAsia="仿宋"/>
          <w:sz w:val="24"/>
          <w:highlight w:val="none"/>
          <w:u w:val="single"/>
        </w:rPr>
        <w:t>拾</w:t>
      </w:r>
      <w:r>
        <w:rPr>
          <w:rFonts w:hint="eastAsia" w:eastAsia="仿宋"/>
          <w:sz w:val="24"/>
          <w:highlight w:val="none"/>
        </w:rPr>
        <w:t>份，甲方</w:t>
      </w:r>
      <w:r>
        <w:rPr>
          <w:rFonts w:hint="eastAsia" w:eastAsia="仿宋"/>
          <w:sz w:val="24"/>
          <w:highlight w:val="none"/>
          <w:u w:val="single"/>
        </w:rPr>
        <w:t>捌</w:t>
      </w:r>
      <w:r>
        <w:rPr>
          <w:rFonts w:hint="eastAsia" w:eastAsia="仿宋"/>
          <w:sz w:val="24"/>
          <w:highlight w:val="none"/>
        </w:rPr>
        <w:t>份，乙方执</w:t>
      </w:r>
      <w:r>
        <w:rPr>
          <w:rFonts w:hint="eastAsia" w:eastAsia="仿宋"/>
          <w:sz w:val="24"/>
          <w:highlight w:val="none"/>
          <w:u w:val="single"/>
          <w:lang w:val="en-US" w:eastAsia="zh-CN"/>
        </w:rPr>
        <w:t>贰</w:t>
      </w:r>
      <w:r>
        <w:rPr>
          <w:rFonts w:hint="eastAsia" w:eastAsia="仿宋"/>
          <w:sz w:val="24"/>
          <w:highlight w:val="none"/>
        </w:rPr>
        <w:t>份，本合同经甲方、乙方签字盖章后生效，质保期结束后，自动终止（合同的服务承诺除外）。</w:t>
      </w:r>
    </w:p>
    <w:p w14:paraId="72F16551">
      <w:pPr>
        <w:widowControl/>
        <w:kinsoku w:val="0"/>
        <w:autoSpaceDE w:val="0"/>
        <w:autoSpaceDN w:val="0"/>
        <w:adjustRightInd w:val="0"/>
        <w:snapToGrid w:val="0"/>
        <w:spacing w:line="460" w:lineRule="exact"/>
        <w:ind w:firstLine="482" w:firstLineChars="200"/>
        <w:textAlignment w:val="baseline"/>
        <w:rPr>
          <w:rFonts w:hint="eastAsia" w:eastAsia="仿宋"/>
          <w:b/>
          <w:bCs/>
          <w:sz w:val="24"/>
          <w:highlight w:val="none"/>
        </w:rPr>
      </w:pPr>
      <w:r>
        <w:rPr>
          <w:rFonts w:hint="eastAsia" w:eastAsia="仿宋"/>
          <w:b/>
          <w:bCs/>
          <w:sz w:val="24"/>
          <w:highlight w:val="none"/>
        </w:rPr>
        <w:t>十三、其他事项</w:t>
      </w:r>
    </w:p>
    <w:p w14:paraId="0D2B579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w:t>
      </w:r>
      <w:r>
        <w:rPr>
          <w:rFonts w:hint="eastAsia" w:eastAsia="仿宋"/>
          <w:sz w:val="24"/>
          <w:highlight w:val="none"/>
          <w:lang w:val="en-US" w:eastAsia="zh-CN"/>
        </w:rPr>
        <w:t>一</w:t>
      </w:r>
      <w:r>
        <w:rPr>
          <w:rFonts w:hint="eastAsia" w:eastAsia="仿宋"/>
          <w:sz w:val="24"/>
          <w:highlight w:val="none"/>
        </w:rPr>
        <w:t>）西安市财政局政府采购管理处在合同的履行期间以及履行期后，可以随时检查项目的执行情况，对采购内容、标准进行调查核实，并对发现的问题进行处理。</w:t>
      </w:r>
    </w:p>
    <w:p w14:paraId="1CF93D99">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w:t>
      </w:r>
      <w:r>
        <w:rPr>
          <w:rFonts w:hint="eastAsia" w:eastAsia="仿宋"/>
          <w:sz w:val="24"/>
          <w:highlight w:val="none"/>
          <w:lang w:val="en-US" w:eastAsia="zh-CN"/>
        </w:rPr>
        <w:t>二</w:t>
      </w:r>
      <w:r>
        <w:rPr>
          <w:rFonts w:hint="eastAsia" w:eastAsia="仿宋"/>
          <w:sz w:val="24"/>
          <w:highlight w:val="none"/>
        </w:rPr>
        <w:t>）招标文件、投标文件、澄清表（函）、中标通知书、合同附件均成为合同不可分割的部分。</w:t>
      </w:r>
    </w:p>
    <w:p w14:paraId="26F6F9EF">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w:t>
      </w:r>
      <w:r>
        <w:rPr>
          <w:rFonts w:hint="eastAsia" w:eastAsia="仿宋"/>
          <w:sz w:val="24"/>
          <w:highlight w:val="none"/>
          <w:lang w:val="en-US" w:eastAsia="zh-CN"/>
        </w:rPr>
        <w:t>三</w:t>
      </w:r>
      <w:r>
        <w:rPr>
          <w:rFonts w:hint="eastAsia" w:eastAsia="仿宋"/>
          <w:sz w:val="24"/>
          <w:highlight w:val="none"/>
        </w:rPr>
        <w:t>）合同未尽事宜，由甲、乙双方协商，签订补充协议，与原合同具有同等法律效力。</w:t>
      </w:r>
    </w:p>
    <w:p w14:paraId="6E96C031">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w:t>
      </w:r>
      <w:r>
        <w:rPr>
          <w:rFonts w:hint="eastAsia" w:eastAsia="仿宋"/>
          <w:sz w:val="24"/>
          <w:highlight w:val="none"/>
          <w:lang w:val="en-US" w:eastAsia="zh-CN"/>
        </w:rPr>
        <w:t>四</w:t>
      </w:r>
      <w:r>
        <w:rPr>
          <w:rFonts w:hint="eastAsia" w:eastAsia="仿宋"/>
          <w:sz w:val="24"/>
          <w:highlight w:val="none"/>
        </w:rPr>
        <w:t>）合同一经签订，不得擅自变更、中止或终止合同。对确需变更、调整或中止、终止合同的，有法律规定的按照法律规定，除合同约定外，由甲乙双方再行协商，协商一致前，原合同或条款继续履行。</w:t>
      </w:r>
    </w:p>
    <w:p w14:paraId="7933AC3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（六）本合同按照中华人民共和国的现行法律进行解释。</w:t>
      </w:r>
    </w:p>
    <w:p w14:paraId="0CA2E37A">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（七）本合同附件作为本合同的组成部份，与本合同具有同等法律效力。</w:t>
      </w:r>
    </w:p>
    <w:p w14:paraId="04EBC6F9">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（八）供应商规模：                      （大型企业/中型企业/小微型企业）</w:t>
      </w:r>
    </w:p>
    <w:p w14:paraId="414BE878">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 xml:space="preserve">（九） 甲方联系人：               ；联系电话：                      </w:t>
      </w:r>
    </w:p>
    <w:p w14:paraId="5C2BFEF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 xml:space="preserve"> 乙方联系人：               ；联系电话：                      </w:t>
      </w:r>
    </w:p>
    <w:p w14:paraId="0BBC454C">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p w14:paraId="19B5A017">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（以下无正文）</w:t>
      </w:r>
    </w:p>
    <w:p w14:paraId="0187B66E">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p w14:paraId="59513D05">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 xml:space="preserve">甲方（公章）                             </w:t>
      </w:r>
      <w:r>
        <w:rPr>
          <w:rFonts w:hint="eastAsia" w:eastAsia="仿宋"/>
          <w:sz w:val="24"/>
          <w:highlight w:val="none"/>
          <w:lang w:val="en-US" w:eastAsia="zh-CN"/>
        </w:rPr>
        <w:t xml:space="preserve">   </w:t>
      </w:r>
      <w:r>
        <w:rPr>
          <w:rFonts w:hint="eastAsia" w:eastAsia="仿宋"/>
          <w:sz w:val="24"/>
          <w:highlight w:val="none"/>
        </w:rPr>
        <w:t>乙方（公章）</w:t>
      </w:r>
    </w:p>
    <w:p w14:paraId="1D91D6ED">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单位名称：西安市中心医院                    单位名称:</w:t>
      </w:r>
    </w:p>
    <w:p w14:paraId="3F083A1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 xml:space="preserve">地址：西安市西五路161号                     地址： </w:t>
      </w:r>
    </w:p>
    <w:p w14:paraId="23C9C4BD">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 xml:space="preserve"> </w:t>
      </w:r>
    </w:p>
    <w:p w14:paraId="38D58682">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法定代表人：（签字）                         法定代表人：（签字）</w:t>
      </w:r>
    </w:p>
    <w:p w14:paraId="7162AA84">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p w14:paraId="36F3F0B0">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代理人：（签字）                             代理人：（签字）</w:t>
      </w:r>
    </w:p>
    <w:p w14:paraId="770B236B">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开户银行:</w:t>
      </w:r>
    </w:p>
    <w:p w14:paraId="3C16CFE9">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帐号：</w:t>
      </w:r>
    </w:p>
    <w:p w14:paraId="59FBFD15">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签订日期：   年    月    日                 签订日期：   年    月    日</w:t>
      </w:r>
    </w:p>
    <w:p w14:paraId="7E21DAE3">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附件一：配置清单</w:t>
      </w:r>
    </w:p>
    <w:p w14:paraId="4D643D9B">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r>
        <w:rPr>
          <w:rFonts w:hint="eastAsia" w:eastAsia="仿宋"/>
          <w:sz w:val="24"/>
          <w:highlight w:val="none"/>
        </w:rPr>
        <w:t>附件二：设备参数</w:t>
      </w:r>
    </w:p>
    <w:p w14:paraId="0E3AAE6F">
      <w:pPr>
        <w:widowControl/>
        <w:kinsoku w:val="0"/>
        <w:autoSpaceDE w:val="0"/>
        <w:autoSpaceDN w:val="0"/>
        <w:adjustRightInd w:val="0"/>
        <w:snapToGrid w:val="0"/>
        <w:spacing w:line="460" w:lineRule="exact"/>
        <w:ind w:firstLine="480" w:firstLineChars="200"/>
        <w:textAlignment w:val="baseline"/>
        <w:rPr>
          <w:rFonts w:hint="eastAsia" w:eastAsia="仿宋"/>
          <w:sz w:val="24"/>
          <w:highlight w:val="none"/>
        </w:rPr>
      </w:pPr>
    </w:p>
    <w:p w14:paraId="18492E09">
      <w:r>
        <w:rPr>
          <w:rFonts w:hint="eastAsia" w:eastAsia="仿宋"/>
          <w:b/>
          <w:bCs/>
          <w:sz w:val="24"/>
          <w:highlight w:val="none"/>
        </w:rPr>
        <w:t>备注：供货合同与技术参数不一致的以招标文件正本技术参数为准。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124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2025-09-05T07:11:52Z</dcterms:created>
  <dc:creator>Administrator</dc:creator>
  <cp:lastModifiedBy>乐乐</cp:lastModifiedBy>
  <dcterms:modified xsi:type="dcterms:W3CDTF">2025-09-05T07:12:00Z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A17E75B959F748E89151C99EFC2CA674_12</vt:lpwstr>
  </property>
</Properties>
</file>