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版本号：0617-2521HZ291120251011001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64排CT维修更换球管和高压阳极油箱(二次)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0617-2521HZ2911</w:t>
      </w:r>
      <w:r>
        <w:br/>
      </w:r>
      <w:r>
        <w:br/>
      </w:r>
      <w:r>
        <w:br/>
      </w:r>
    </w:p>
    <w:p>
      <w:pPr>
        <w:pStyle w:val="null3"/>
        <w:jc w:val="center"/>
        <w:outlineLvl w:val="2"/>
      </w:pPr>
      <w:r>
        <w:rPr>
          <w:rFonts w:ascii="仿宋_GB2312" w:hAnsi="仿宋_GB2312" w:cs="仿宋_GB2312" w:eastAsia="仿宋_GB2312"/>
          <w:sz w:val="28"/>
          <w:b/>
        </w:rPr>
        <w:t>西安市第八医院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西安市第八医院</w:t>
      </w:r>
      <w:r>
        <w:rPr>
          <w:rFonts w:ascii="仿宋_GB2312" w:hAnsi="仿宋_GB2312" w:cs="仿宋_GB2312" w:eastAsia="仿宋_GB2312"/>
        </w:rPr>
        <w:t>委托，拟对</w:t>
      </w:r>
      <w:r>
        <w:rPr>
          <w:rFonts w:ascii="仿宋_GB2312" w:hAnsi="仿宋_GB2312" w:cs="仿宋_GB2312" w:eastAsia="仿宋_GB2312"/>
        </w:rPr>
        <w:t>64排CT维修更换球管和高压阳极油箱(二次)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0617-2521HZ2911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64排CT维修更换球管和高压阳极油箱(二次)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西安市第八医院现有一台型号为GE Optima 670的64排CT发生故障，需要采购配件。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1、投标产品的经营资格要求：投标人的投标产品及经营资格应符合《医疗器械监督管理条例》、《医疗器械经营监督管理办法》等相关的规定并提供相关证明文件：（1） 投标人为经营企业的，提供投标人经营投标产品的“医疗器械经营许可证”或“医疗器械经营备案证”（如国家另有规定，则适用其规定），并同时提供投标产品生产厂家的“医疗器械生产许可证”或“医疗器械生产备案凭证”（进口产品除外）。（2） 投标人为生产商的（仅限于投标产品均为投标人自身生产产品的情形），提供“医疗器械生产许可证”或“医疗器械生产备案凭证”（进口产品除外），如果生产厂家在其住所或者生产地址以外的其他场所贮存并销售其注册、备案的医疗器械应同时提供“医疗器械经营许可证”或“医疗器械经营备案证”（如国家另有规定，则适用其规定）。（3）投标产品（ 球管 ）为进口产品的，提供生产厂家的授权（授权链应完整）。</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西安市第八医院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陕西省西安市丈八东路2号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029-85222018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刘洁茜、宋鹏飞、张喆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说明：1.提交时间 合同签订后30个自然日内。 2. 退还条件 正常退还：合同履行完毕且验收合格后，履约保证金应一次性无息退还。 不予退还的情形： 乙方不履行合同或履行不符合约定，导致合同目的无法实现。 乙方未经甲方同意擅自转包、提前终止合同。 乙方在施工期间发生重大质量事故、安全事故。 乙方未按约定提交履约保证金。 3. 违约责任 乙方违约：甲方可扣除相应履约保证金。如果违约金不足以弥补损失，乙方还需赔偿超出部分。 甲方违约：如果甲方无正当理由逾期支付管理服务费用，需向乙方支付违约金。 其他违约责任：如乙方未达到质量标准但未造成损失，甲方可要求乙方整改；若延迟履行超过30日，甲方可解除合同。 4.特殊情况处理 不可抗力：如果因不可抗力导致合同无法履行，双方可根据具体情况协商处理，一般不追究违约责任。 5.其他约定 利息损失：如果甲方无正当理由逾期不退还履约保证金，需按人民银行同期存款基准利率按日向乙方支付利息损失。</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的收费标准下浮20%向中标供应商收取。 2.缴费时间：确定中标人后3日内，由中标人向招标代理机构一次付清招标代理服务费。 3.银行信息: 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西安市第八医院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西安市第八医院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西安市第八医院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按招标文件、响应文件及合同相关条款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西安市第八医院现有一台型号为GE Optima 670的64排CT发生故障，需要采购配件。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球管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1,730,000.00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高压油箱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标的名称：球管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本项目核心产品为： 球管</w:t>
            </w:r>
          </w:p>
          <w:p>
            <w:pPr>
              <w:pStyle w:val="null3"/>
            </w:pPr>
            <w:r>
              <w:rPr>
                <w:rFonts w:ascii="仿宋_GB2312" w:hAnsi="仿宋_GB2312" w:cs="仿宋_GB2312" w:eastAsia="仿宋_GB2312"/>
                <w:sz w:val="21"/>
              </w:rPr>
              <w:t>采购球管一个和高压阳极油箱一个。</w:t>
            </w:r>
          </w:p>
          <w:p>
            <w:pPr>
              <w:pStyle w:val="null3"/>
            </w:pPr>
            <w:r>
              <w:rPr>
                <w:rFonts w:ascii="仿宋_GB2312" w:hAnsi="仿宋_GB2312" w:cs="仿宋_GB2312" w:eastAsia="仿宋_GB2312"/>
                <w:sz w:val="21"/>
              </w:rPr>
              <w:t>一、球管技术参数：</w:t>
            </w:r>
          </w:p>
          <w:p>
            <w:pPr>
              <w:pStyle w:val="null3"/>
              <w:jc w:val="both"/>
            </w:pPr>
            <w:r>
              <w:rPr>
                <w:rFonts w:ascii="仿宋_GB2312" w:hAnsi="仿宋_GB2312" w:cs="仿宋_GB2312" w:eastAsia="仿宋_GB2312"/>
                <w:sz w:val="21"/>
              </w:rPr>
              <w:t>1.提供所投型号球管的原版技术白皮书。</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适配主机的</w:t>
            </w:r>
            <w:r>
              <w:rPr>
                <w:rFonts w:ascii="仿宋_GB2312" w:hAnsi="仿宋_GB2312" w:cs="仿宋_GB2312" w:eastAsia="仿宋_GB2312"/>
                <w:sz w:val="21"/>
              </w:rPr>
              <w:t>全新产品</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3.阳极热容量：≥5.0MJ</w:t>
            </w:r>
          </w:p>
          <w:p>
            <w:pPr>
              <w:pStyle w:val="null3"/>
            </w:pPr>
            <w:r>
              <w:rPr>
                <w:rFonts w:ascii="仿宋_GB2312" w:hAnsi="仿宋_GB2312" w:cs="仿宋_GB2312" w:eastAsia="仿宋_GB2312"/>
                <w:sz w:val="21"/>
              </w:rPr>
              <w:t>4.管套热容量：≥7.7MJ，焦点功率要求最大≥72KW</w:t>
            </w:r>
          </w:p>
          <w:p>
            <w:pPr>
              <w:pStyle w:val="null3"/>
            </w:pPr>
            <w:r>
              <w:rPr>
                <w:rFonts w:ascii="仿宋_GB2312" w:hAnsi="仿宋_GB2312" w:cs="仿宋_GB2312" w:eastAsia="仿宋_GB2312"/>
                <w:sz w:val="21"/>
              </w:rPr>
              <w:t>5.焦点数量≥两个</w:t>
            </w:r>
          </w:p>
          <w:p>
            <w:pPr>
              <w:pStyle w:val="null3"/>
            </w:pPr>
            <w:r>
              <w:rPr>
                <w:rFonts w:ascii="仿宋_GB2312" w:hAnsi="仿宋_GB2312" w:cs="仿宋_GB2312" w:eastAsia="仿宋_GB2312"/>
                <w:sz w:val="21"/>
              </w:rPr>
              <w:t>6.小焦点大小≤0.9mm×0.7mm；大焦点大小≤1.2mm×1.1mm</w:t>
            </w:r>
          </w:p>
          <w:p>
            <w:pPr>
              <w:pStyle w:val="null3"/>
            </w:pPr>
            <w:r>
              <w:rPr>
                <w:rFonts w:ascii="仿宋_GB2312" w:hAnsi="仿宋_GB2312" w:cs="仿宋_GB2312" w:eastAsia="仿宋_GB2312"/>
                <w:sz w:val="21"/>
              </w:rPr>
              <w:t>7.120KV时最大毫安输出≥600mA</w:t>
            </w:r>
          </w:p>
          <w:p>
            <w:pPr>
              <w:pStyle w:val="null3"/>
            </w:pPr>
            <w:r>
              <w:rPr>
                <w:rFonts w:ascii="仿宋_GB2312" w:hAnsi="仿宋_GB2312" w:cs="仿宋_GB2312" w:eastAsia="仿宋_GB2312"/>
                <w:sz w:val="21"/>
              </w:rPr>
              <w:t>8.管套出线窗口FOV尺寸：40mm，支持0.35秒每圈的高速旋转。</w:t>
            </w:r>
          </w:p>
          <w:p>
            <w:pPr>
              <w:pStyle w:val="null3"/>
            </w:pPr>
            <w:r>
              <w:rPr>
                <w:rFonts w:ascii="仿宋_GB2312" w:hAnsi="仿宋_GB2312" w:cs="仿宋_GB2312" w:eastAsia="仿宋_GB2312"/>
                <w:sz w:val="21"/>
              </w:rPr>
              <w:t>9.球管拥有ASiR芯片，并提供接口，以支持CT的ASiR技术。</w:t>
            </w:r>
          </w:p>
          <w:p>
            <w:pPr>
              <w:pStyle w:val="null3"/>
            </w:pPr>
            <w:r>
              <w:rPr>
                <w:rFonts w:ascii="仿宋_GB2312" w:hAnsi="仿宋_GB2312" w:cs="仿宋_GB2312" w:eastAsia="仿宋_GB2312"/>
                <w:sz w:val="21"/>
              </w:rPr>
              <w:t>10.球管最大额定电压≥140KV。</w:t>
            </w:r>
          </w:p>
          <w:p>
            <w:pPr>
              <w:pStyle w:val="null3"/>
              <w:jc w:val="both"/>
            </w:pPr>
            <w:r>
              <w:rPr>
                <w:rFonts w:ascii="仿宋_GB2312" w:hAnsi="仿宋_GB2312" w:cs="仿宋_GB2312" w:eastAsia="仿宋_GB2312"/>
                <w:sz w:val="21"/>
              </w:rPr>
              <w:t>11.阳极靶面角度：7°</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12.提供球管与GE Optima CT670整机匹配的技术证明材料。</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提供原厂的</w:t>
            </w:r>
            <w:r>
              <w:rPr>
                <w:rFonts w:ascii="仿宋_GB2312" w:hAnsi="仿宋_GB2312" w:cs="仿宋_GB2312" w:eastAsia="仿宋_GB2312"/>
                <w:sz w:val="21"/>
              </w:rPr>
              <w:t>InSiteTM</w:t>
            </w:r>
            <w:r>
              <w:rPr>
                <w:rFonts w:ascii="仿宋_GB2312" w:hAnsi="仿宋_GB2312" w:cs="仿宋_GB2312" w:eastAsia="仿宋_GB2312"/>
                <w:sz w:val="21"/>
              </w:rPr>
              <w:t>数字化远程故障筛排系统，提前预知球管的问题。</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二、服务要求：</w:t>
            </w:r>
          </w:p>
          <w:p>
            <w:pPr>
              <w:pStyle w:val="null3"/>
              <w:jc w:val="both"/>
            </w:pPr>
            <w:r>
              <w:rPr>
                <w:rFonts w:ascii="仿宋_GB2312" w:hAnsi="仿宋_GB2312" w:cs="仿宋_GB2312" w:eastAsia="仿宋_GB2312"/>
                <w:sz w:val="21"/>
              </w:rPr>
              <w:t>1.球管质保自安装调试并经第三方检测机构检测且验收合格之日起贰年或4万个病人（二者以先到为准）。</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2.自安装验收合格之日起，如在完全保证病人量/时间（先到为准）内出现无法使用的故障，中标单位将免费为甲方更换新球管，直至中标单位提供的全部球管累计病人量/时间达到完全保证病人量/时间为止。</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3.服务技术支持：</w:t>
            </w:r>
          </w:p>
          <w:p>
            <w:pPr>
              <w:pStyle w:val="null3"/>
            </w:pPr>
            <w:r>
              <w:rPr>
                <w:rFonts w:ascii="仿宋_GB2312" w:hAnsi="仿宋_GB2312" w:cs="仿宋_GB2312" w:eastAsia="仿宋_GB2312"/>
                <w:sz w:val="21"/>
              </w:rPr>
              <w:t>供应商需要配备两名及以上全职的原CT厂家认证的维修工程师，并提供相关资质证明.</w:t>
            </w:r>
          </w:p>
          <w:p>
            <w:pPr>
              <w:pStyle w:val="null3"/>
            </w:pPr>
            <w:r>
              <w:rPr>
                <w:rFonts w:ascii="仿宋_GB2312" w:hAnsi="仿宋_GB2312" w:cs="仿宋_GB2312" w:eastAsia="仿宋_GB2312"/>
                <w:sz w:val="21"/>
              </w:rPr>
              <w:t>4.响应时间：2小时响应，24小时内到场</w:t>
            </w:r>
          </w:p>
          <w:p>
            <w:pPr>
              <w:pStyle w:val="null3"/>
            </w:pPr>
            <w:r>
              <w:rPr>
                <w:rFonts w:ascii="仿宋_GB2312" w:hAnsi="仿宋_GB2312" w:cs="仿宋_GB2312" w:eastAsia="仿宋_GB2312"/>
                <w:sz w:val="21"/>
              </w:rPr>
              <w:t>5.提供服务期内全年365×24小时的技术咨询服务（负责解答院方在设备使用中遇到的问题，并及时提出解决问题的建议和操作方法。技术服务热线支持中文）。供应商无法提供技术支持的，院方有权委托第三方处理，由此产生的费用和后果由供应商负责，费用直接从应付款中扣除。供应商指定的项目总协调人必须是供应商管理层人员。供应商总协调人变更应书面通知院方。因供应商的人员变更原因所造成的任何项目质量、进度滞后的后果，由供应商自行承担。</w:t>
            </w:r>
          </w:p>
          <w:p>
            <w:pPr>
              <w:pStyle w:val="null3"/>
            </w:pPr>
            <w:r>
              <w:rPr>
                <w:rFonts w:ascii="仿宋_GB2312" w:hAnsi="仿宋_GB2312" w:cs="仿宋_GB2312" w:eastAsia="仿宋_GB2312"/>
                <w:sz w:val="21"/>
              </w:rPr>
              <w:t>6.若因更换球管和油箱引发主机其他故障或损伤皆有供应商无条件负责。</w:t>
            </w:r>
          </w:p>
          <w:p>
            <w:pPr>
              <w:pStyle w:val="null3"/>
            </w:pPr>
            <w:r>
              <w:rPr>
                <w:rFonts w:ascii="仿宋_GB2312" w:hAnsi="仿宋_GB2312" w:cs="仿宋_GB2312" w:eastAsia="仿宋_GB2312"/>
                <w:sz w:val="21"/>
              </w:rPr>
              <w:t>7.负责旧件回收。</w:t>
            </w:r>
          </w:p>
          <w:p>
            <w:pPr>
              <w:pStyle w:val="null3"/>
            </w:pPr>
            <w:r>
              <w:rPr>
                <w:rFonts w:ascii="仿宋_GB2312" w:hAnsi="仿宋_GB2312" w:cs="仿宋_GB2312" w:eastAsia="仿宋_GB2312"/>
                <w:sz w:val="21"/>
              </w:rPr>
              <w:t>三、其他</w:t>
            </w:r>
          </w:p>
          <w:p>
            <w:pPr>
              <w:pStyle w:val="null3"/>
              <w:jc w:val="both"/>
            </w:pPr>
            <w:r>
              <w:rPr>
                <w:rFonts w:ascii="仿宋_GB2312" w:hAnsi="仿宋_GB2312" w:cs="仿宋_GB2312" w:eastAsia="仿宋_GB2312"/>
                <w:sz w:val="21"/>
              </w:rPr>
              <w:t>违约条款：双方签订合同后，若供应商迟延交付，每迟延一日，应承担合同总价款5‰作为违约金，若迟延超过7日，则医院有权解除合同，供应商除承担合同总价款20%违约金外，还应承担医院因此产生的全部损失，包括但不限于实际损失、可预期利益、委托第三方产生的费用，以及医院因维权所产生的诉讼费、律师费、公证费、保全费、差旅费等全部相关费用。</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商务要求：</w:t>
            </w:r>
          </w:p>
          <w:p>
            <w:pPr>
              <w:pStyle w:val="null3"/>
            </w:pPr>
            <w:r>
              <w:rPr>
                <w:rFonts w:ascii="仿宋_GB2312" w:hAnsi="仿宋_GB2312" w:cs="仿宋_GB2312" w:eastAsia="仿宋_GB2312"/>
                <w:sz w:val="21"/>
              </w:rPr>
              <w:t>一、交货时间：自签订合同后7日内到货安装。</w:t>
            </w:r>
          </w:p>
          <w:p>
            <w:pPr>
              <w:pStyle w:val="null3"/>
            </w:pPr>
            <w:r>
              <w:rPr>
                <w:rFonts w:ascii="仿宋_GB2312" w:hAnsi="仿宋_GB2312" w:cs="仿宋_GB2312" w:eastAsia="仿宋_GB2312"/>
                <w:sz w:val="21"/>
              </w:rPr>
              <w:t>二、交货地点：甲方指定地点</w:t>
            </w:r>
          </w:p>
          <w:p>
            <w:pPr>
              <w:pStyle w:val="null3"/>
            </w:pPr>
            <w:r>
              <w:rPr>
                <w:rFonts w:ascii="仿宋_GB2312" w:hAnsi="仿宋_GB2312" w:cs="仿宋_GB2312" w:eastAsia="仿宋_GB2312"/>
                <w:sz w:val="21"/>
              </w:rPr>
              <w:t>三、款项结算</w:t>
            </w:r>
          </w:p>
          <w:p>
            <w:pPr>
              <w:pStyle w:val="null3"/>
            </w:pPr>
            <w:r>
              <w:rPr>
                <w:rFonts w:ascii="仿宋_GB2312" w:hAnsi="仿宋_GB2312" w:cs="仿宋_GB2312" w:eastAsia="仿宋_GB2312"/>
                <w:sz w:val="21"/>
              </w:rPr>
              <w:t>1）支付方式：银行转账。</w:t>
            </w:r>
          </w:p>
          <w:p>
            <w:pPr>
              <w:pStyle w:val="null3"/>
            </w:pPr>
            <w:r>
              <w:rPr>
                <w:rFonts w:ascii="仿宋_GB2312" w:hAnsi="仿宋_GB2312" w:cs="仿宋_GB2312" w:eastAsia="仿宋_GB2312"/>
                <w:sz w:val="21"/>
              </w:rPr>
              <w:t>2）付款条件说明：合同签订后所有货物到达甲方指定地点，达到付款条件起30日内支付合同总价款的100%。</w:t>
            </w:r>
          </w:p>
          <w:p>
            <w:pPr>
              <w:pStyle w:val="null3"/>
            </w:pPr>
            <w:r>
              <w:rPr>
                <w:rFonts w:ascii="仿宋_GB2312" w:hAnsi="仿宋_GB2312" w:cs="仿宋_GB2312" w:eastAsia="仿宋_GB2312"/>
                <w:sz w:val="21"/>
              </w:rPr>
              <w:t>3）结算方式：供应商持验收书，发票（按合同总价开采购人），成交通知书、服务合同，与采购人结算。</w:t>
            </w:r>
          </w:p>
          <w:p>
            <w:pPr>
              <w:pStyle w:val="null3"/>
            </w:pPr>
            <w:r>
              <w:rPr>
                <w:rFonts w:ascii="仿宋_GB2312" w:hAnsi="仿宋_GB2312" w:cs="仿宋_GB2312" w:eastAsia="仿宋_GB2312"/>
                <w:sz w:val="21"/>
              </w:rPr>
              <w:t>注：如符合财库〔2020〕46号文中规定的小企业中标则预付款比例为，采购人支付合同价款40%的作为预付款，且在自验收合格之日起30日内支付剩余款项。</w:t>
            </w:r>
          </w:p>
          <w:p>
            <w:pPr>
              <w:pStyle w:val="null3"/>
            </w:pPr>
            <w:r>
              <w:rPr>
                <w:rFonts w:ascii="仿宋_GB2312" w:hAnsi="仿宋_GB2312" w:cs="仿宋_GB2312" w:eastAsia="仿宋_GB2312"/>
                <w:sz w:val="21"/>
              </w:rPr>
              <w:t>四、关于履约保证金的约定</w:t>
            </w:r>
          </w:p>
          <w:p>
            <w:pPr>
              <w:pStyle w:val="null3"/>
            </w:pPr>
            <w:r>
              <w:rPr>
                <w:rFonts w:ascii="仿宋_GB2312" w:hAnsi="仿宋_GB2312" w:cs="仿宋_GB2312" w:eastAsia="仿宋_GB2312"/>
                <w:sz w:val="21"/>
              </w:rPr>
              <w:t>1. 履约保证金的形式和金额</w:t>
            </w:r>
          </w:p>
          <w:p>
            <w:pPr>
              <w:pStyle w:val="null3"/>
            </w:pPr>
            <w:r>
              <w:rPr>
                <w:rFonts w:ascii="仿宋_GB2312" w:hAnsi="仿宋_GB2312" w:cs="仿宋_GB2312" w:eastAsia="仿宋_GB2312"/>
                <w:sz w:val="21"/>
              </w:rPr>
              <w:t>•  形式：现金、银行转账、支票、汇票、本票、银行保函、保证保险等非现金形式。</w:t>
            </w:r>
          </w:p>
          <w:p>
            <w:pPr>
              <w:pStyle w:val="null3"/>
            </w:pPr>
            <w:r>
              <w:rPr>
                <w:rFonts w:ascii="仿宋_GB2312" w:hAnsi="仿宋_GB2312" w:cs="仿宋_GB2312" w:eastAsia="仿宋_GB2312"/>
                <w:sz w:val="21"/>
              </w:rPr>
              <w:t>•  金额：履约保证金为合同总价的5%。</w:t>
            </w:r>
          </w:p>
          <w:p>
            <w:pPr>
              <w:pStyle w:val="null3"/>
            </w:pPr>
            <w:r>
              <w:rPr>
                <w:rFonts w:ascii="仿宋_GB2312" w:hAnsi="仿宋_GB2312" w:cs="仿宋_GB2312" w:eastAsia="仿宋_GB2312"/>
                <w:sz w:val="21"/>
              </w:rPr>
              <w:t>2. 提交时间</w:t>
            </w:r>
          </w:p>
          <w:p>
            <w:pPr>
              <w:pStyle w:val="null3"/>
            </w:pPr>
            <w:r>
              <w:rPr>
                <w:rFonts w:ascii="仿宋_GB2312" w:hAnsi="仿宋_GB2312" w:cs="仿宋_GB2312" w:eastAsia="仿宋_GB2312"/>
                <w:sz w:val="21"/>
              </w:rPr>
              <w:t>•  合同签订后30个自然日内。</w:t>
            </w:r>
          </w:p>
          <w:p>
            <w:pPr>
              <w:pStyle w:val="null3"/>
            </w:pPr>
            <w:r>
              <w:rPr>
                <w:rFonts w:ascii="仿宋_GB2312" w:hAnsi="仿宋_GB2312" w:cs="仿宋_GB2312" w:eastAsia="仿宋_GB2312"/>
                <w:sz w:val="21"/>
              </w:rPr>
              <w:t>3. 退还条件</w:t>
            </w:r>
          </w:p>
          <w:p>
            <w:pPr>
              <w:pStyle w:val="null3"/>
            </w:pPr>
            <w:r>
              <w:rPr>
                <w:rFonts w:ascii="仿宋_GB2312" w:hAnsi="仿宋_GB2312" w:cs="仿宋_GB2312" w:eastAsia="仿宋_GB2312"/>
                <w:sz w:val="21"/>
              </w:rPr>
              <w:t>•  正常退还：合同履行完毕且验收合格后，履约保证金应一次性无息退还。</w:t>
            </w:r>
          </w:p>
          <w:p>
            <w:pPr>
              <w:pStyle w:val="null3"/>
            </w:pPr>
            <w:r>
              <w:rPr>
                <w:rFonts w:ascii="仿宋_GB2312" w:hAnsi="仿宋_GB2312" w:cs="仿宋_GB2312" w:eastAsia="仿宋_GB2312"/>
                <w:sz w:val="21"/>
              </w:rPr>
              <w:t>•  不予退还的情形：</w:t>
            </w:r>
          </w:p>
          <w:p>
            <w:pPr>
              <w:pStyle w:val="null3"/>
            </w:pPr>
            <w:r>
              <w:rPr>
                <w:rFonts w:ascii="仿宋_GB2312" w:hAnsi="仿宋_GB2312" w:cs="仿宋_GB2312" w:eastAsia="仿宋_GB2312"/>
                <w:sz w:val="21"/>
              </w:rPr>
              <w:t>•  乙方不履行合同或履行不符合约定，导致合同目的无法实现。</w:t>
            </w:r>
          </w:p>
          <w:p>
            <w:pPr>
              <w:pStyle w:val="null3"/>
            </w:pPr>
            <w:r>
              <w:rPr>
                <w:rFonts w:ascii="仿宋_GB2312" w:hAnsi="仿宋_GB2312" w:cs="仿宋_GB2312" w:eastAsia="仿宋_GB2312"/>
                <w:sz w:val="21"/>
              </w:rPr>
              <w:t>•  乙方未经甲方同意擅自转包、提前终止合同。</w:t>
            </w:r>
          </w:p>
          <w:p>
            <w:pPr>
              <w:pStyle w:val="null3"/>
            </w:pPr>
            <w:r>
              <w:rPr>
                <w:rFonts w:ascii="仿宋_GB2312" w:hAnsi="仿宋_GB2312" w:cs="仿宋_GB2312" w:eastAsia="仿宋_GB2312"/>
                <w:sz w:val="21"/>
              </w:rPr>
              <w:t>•  乙方在施工期间发生重大质量事故、安全事故。</w:t>
            </w:r>
          </w:p>
          <w:p>
            <w:pPr>
              <w:pStyle w:val="null3"/>
            </w:pPr>
            <w:r>
              <w:rPr>
                <w:rFonts w:ascii="仿宋_GB2312" w:hAnsi="仿宋_GB2312" w:cs="仿宋_GB2312" w:eastAsia="仿宋_GB2312"/>
                <w:sz w:val="21"/>
              </w:rPr>
              <w:t>•  乙方未按约定提交履约保证金。</w:t>
            </w:r>
          </w:p>
          <w:p>
            <w:pPr>
              <w:pStyle w:val="null3"/>
            </w:pPr>
            <w:r>
              <w:rPr>
                <w:rFonts w:ascii="仿宋_GB2312" w:hAnsi="仿宋_GB2312" w:cs="仿宋_GB2312" w:eastAsia="仿宋_GB2312"/>
                <w:sz w:val="21"/>
              </w:rPr>
              <w:t>4. 违约责任</w:t>
            </w:r>
          </w:p>
          <w:p>
            <w:pPr>
              <w:pStyle w:val="null3"/>
            </w:pPr>
            <w:r>
              <w:rPr>
                <w:rFonts w:ascii="仿宋_GB2312" w:hAnsi="仿宋_GB2312" w:cs="仿宋_GB2312" w:eastAsia="仿宋_GB2312"/>
                <w:sz w:val="21"/>
              </w:rPr>
              <w:t>•  乙方违约：甲方可扣除相应履约保证金。如果违约金不足以弥补损失，乙方还需赔偿超出部分。</w:t>
            </w:r>
          </w:p>
          <w:p>
            <w:pPr>
              <w:pStyle w:val="null3"/>
            </w:pPr>
            <w:r>
              <w:rPr>
                <w:rFonts w:ascii="仿宋_GB2312" w:hAnsi="仿宋_GB2312" w:cs="仿宋_GB2312" w:eastAsia="仿宋_GB2312"/>
                <w:sz w:val="21"/>
              </w:rPr>
              <w:t>•  甲方违约：如果甲方无正当理由逾期支付管理服务费用，需向乙方支付违约金。</w:t>
            </w:r>
          </w:p>
          <w:p>
            <w:pPr>
              <w:pStyle w:val="null3"/>
            </w:pPr>
            <w:r>
              <w:rPr>
                <w:rFonts w:ascii="仿宋_GB2312" w:hAnsi="仿宋_GB2312" w:cs="仿宋_GB2312" w:eastAsia="仿宋_GB2312"/>
                <w:sz w:val="21"/>
              </w:rPr>
              <w:t>•  其他违约责任：如乙方未达到质量标准但未造成损失，甲方可要求乙方整改；若延迟履行超过30日，甲方可解除合同。</w:t>
            </w:r>
          </w:p>
          <w:p>
            <w:pPr>
              <w:pStyle w:val="null3"/>
            </w:pPr>
            <w:r>
              <w:rPr>
                <w:rFonts w:ascii="仿宋_GB2312" w:hAnsi="仿宋_GB2312" w:cs="仿宋_GB2312" w:eastAsia="仿宋_GB2312"/>
                <w:sz w:val="21"/>
              </w:rPr>
              <w:t>5. 特殊情况处理</w:t>
            </w:r>
          </w:p>
          <w:p>
            <w:pPr>
              <w:pStyle w:val="null3"/>
            </w:pPr>
            <w:r>
              <w:rPr>
                <w:rFonts w:ascii="仿宋_GB2312" w:hAnsi="仿宋_GB2312" w:cs="仿宋_GB2312" w:eastAsia="仿宋_GB2312"/>
                <w:sz w:val="21"/>
              </w:rPr>
              <w:t>•  不可抗力：如果因不可抗力导致合同无法履行，双方可根据具体情况协商处理，一般不追究违约责任。</w:t>
            </w:r>
          </w:p>
          <w:p>
            <w:pPr>
              <w:pStyle w:val="null3"/>
            </w:pPr>
            <w:r>
              <w:rPr>
                <w:rFonts w:ascii="仿宋_GB2312" w:hAnsi="仿宋_GB2312" w:cs="仿宋_GB2312" w:eastAsia="仿宋_GB2312"/>
                <w:sz w:val="21"/>
              </w:rPr>
              <w:t>6. 其他约定</w:t>
            </w:r>
          </w:p>
          <w:p>
            <w:pPr>
              <w:pStyle w:val="null3"/>
            </w:pPr>
            <w:r>
              <w:rPr>
                <w:rFonts w:ascii="仿宋_GB2312" w:hAnsi="仿宋_GB2312" w:cs="仿宋_GB2312" w:eastAsia="仿宋_GB2312"/>
                <w:sz w:val="21"/>
              </w:rPr>
              <w:t>•  利息损失：如果甲方无正当理由逾期不退还履约保证金，需按人民银行同期存款基准利率按日向乙方支付利息损失。</w:t>
            </w:r>
          </w:p>
        </w:tc>
      </w:tr>
    </w:tbl>
    <w:p>
      <w:pPr>
        <w:pStyle w:val="null3"/>
      </w:pPr>
      <w:r>
        <w:rPr>
          <w:rFonts w:ascii="仿宋_GB2312" w:hAnsi="仿宋_GB2312" w:cs="仿宋_GB2312" w:eastAsia="仿宋_GB2312"/>
        </w:rPr>
        <w:t>标的名称：高压油箱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一、高压阳极油箱技术参数：</w:t>
            </w:r>
          </w:p>
          <w:p>
            <w:pPr>
              <w:pStyle w:val="null3"/>
            </w:pPr>
            <w:r>
              <w:rPr>
                <w:rFonts w:ascii="仿宋_GB2312" w:hAnsi="仿宋_GB2312" w:cs="仿宋_GB2312" w:eastAsia="仿宋_GB2312"/>
                <w:sz w:val="21"/>
              </w:rPr>
              <w:t>1.匹配GE Optima CT670设备</w:t>
            </w:r>
          </w:p>
          <w:p>
            <w:pPr>
              <w:pStyle w:val="null3"/>
            </w:pPr>
            <w:r>
              <w:rPr>
                <w:rFonts w:ascii="仿宋_GB2312" w:hAnsi="仿宋_GB2312" w:cs="仿宋_GB2312" w:eastAsia="仿宋_GB2312"/>
                <w:sz w:val="21"/>
              </w:rPr>
              <w:t>2.匹配GE Perfomix球管的全新产品</w:t>
            </w:r>
          </w:p>
          <w:p>
            <w:pPr>
              <w:pStyle w:val="null3"/>
              <w:jc w:val="both"/>
            </w:pPr>
            <w:r>
              <w:rPr>
                <w:rFonts w:ascii="仿宋_GB2312" w:hAnsi="仿宋_GB2312" w:cs="仿宋_GB2312" w:eastAsia="仿宋_GB2312"/>
                <w:sz w:val="21"/>
              </w:rPr>
              <w:t>3.内部初级、次级线圈隔离电压≥75KV</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21"/>
              </w:rPr>
              <w:t>1.高压阳极油箱质保贰年。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2.服务技术支持：</w:t>
            </w:r>
          </w:p>
          <w:p>
            <w:pPr>
              <w:pStyle w:val="null3"/>
            </w:pPr>
            <w:r>
              <w:rPr>
                <w:rFonts w:ascii="仿宋_GB2312" w:hAnsi="仿宋_GB2312" w:cs="仿宋_GB2312" w:eastAsia="仿宋_GB2312"/>
                <w:sz w:val="21"/>
              </w:rPr>
              <w:t>供应商需要配备两名及以上全职的原CT厂家认证的维修工程师，并提供相关资质证明.</w:t>
            </w:r>
          </w:p>
          <w:p>
            <w:pPr>
              <w:pStyle w:val="null3"/>
            </w:pPr>
            <w:r>
              <w:rPr>
                <w:rFonts w:ascii="仿宋_GB2312" w:hAnsi="仿宋_GB2312" w:cs="仿宋_GB2312" w:eastAsia="仿宋_GB2312"/>
                <w:sz w:val="21"/>
              </w:rPr>
              <w:t>3.响应时间：2小时响应，24小时内到场</w:t>
            </w:r>
          </w:p>
          <w:p>
            <w:pPr>
              <w:pStyle w:val="null3"/>
            </w:pPr>
            <w:r>
              <w:rPr>
                <w:rFonts w:ascii="仿宋_GB2312" w:hAnsi="仿宋_GB2312" w:cs="仿宋_GB2312" w:eastAsia="仿宋_GB2312"/>
                <w:sz w:val="21"/>
              </w:rPr>
              <w:t>4.提供服务期内全年365×24小时的技术咨询服务（负责解答院方在设备使用中遇到的问题，并及时提出解决问题的建议和操作方法。技术服务热线支持中文）。供应商无法提供技术支持的，院方有权委托第三方处理，由此产生的费用和后果由供应商负责，费用直接从应付款中扣除。供应商指定的项目总协调人必须是供应商管理层人员。供应商总协调人变更应书面通知院方。因供应商的人员变更原因所造成的任何项目质量、进度滞后的后果，由供应商自行承担。</w:t>
            </w:r>
          </w:p>
          <w:p>
            <w:pPr>
              <w:pStyle w:val="null3"/>
            </w:pPr>
            <w:r>
              <w:rPr>
                <w:rFonts w:ascii="仿宋_GB2312" w:hAnsi="仿宋_GB2312" w:cs="仿宋_GB2312" w:eastAsia="仿宋_GB2312"/>
                <w:sz w:val="21"/>
              </w:rPr>
              <w:t>5.若因更换球管和油箱引发主机其他故障或损伤皆有供应商无条件负责。</w:t>
            </w:r>
          </w:p>
          <w:p>
            <w:pPr>
              <w:pStyle w:val="null3"/>
            </w:pPr>
            <w:r>
              <w:rPr>
                <w:rFonts w:ascii="仿宋_GB2312" w:hAnsi="仿宋_GB2312" w:cs="仿宋_GB2312" w:eastAsia="仿宋_GB2312"/>
                <w:sz w:val="21"/>
              </w:rPr>
              <w:t>6.负责旧件回收。</w:t>
            </w:r>
          </w:p>
          <w:p>
            <w:pPr>
              <w:pStyle w:val="null3"/>
            </w:pPr>
            <w:r>
              <w:rPr>
                <w:rFonts w:ascii="仿宋_GB2312" w:hAnsi="仿宋_GB2312" w:cs="仿宋_GB2312" w:eastAsia="仿宋_GB2312"/>
                <w:sz w:val="21"/>
              </w:rPr>
              <w:t>三、其他</w:t>
            </w:r>
          </w:p>
          <w:p>
            <w:pPr>
              <w:pStyle w:val="null3"/>
              <w:jc w:val="both"/>
            </w:pPr>
            <w:r>
              <w:rPr>
                <w:rFonts w:ascii="仿宋_GB2312" w:hAnsi="仿宋_GB2312" w:cs="仿宋_GB2312" w:eastAsia="仿宋_GB2312"/>
                <w:sz w:val="21"/>
              </w:rPr>
              <w:t>违约条款：双方签订合同后，若供应商迟延交付，每迟延一日，应承担合同总价款5‰作为违约金，若迟延超过7日，则医院有权解除合同，供应商除承担合同总价款20%违约金外，还应承担医院因此产生的全部损失，包括但不限于实际损失、可预期利益、委托第三方产生的费用，以及医院因维权所产生的诉讼费、律师费、公证费、保全费、差旅费等全部相关费用。</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商务要求：</w:t>
            </w:r>
          </w:p>
          <w:p>
            <w:pPr>
              <w:pStyle w:val="null3"/>
            </w:pPr>
            <w:r>
              <w:rPr>
                <w:rFonts w:ascii="仿宋_GB2312" w:hAnsi="仿宋_GB2312" w:cs="仿宋_GB2312" w:eastAsia="仿宋_GB2312"/>
                <w:sz w:val="21"/>
              </w:rPr>
              <w:t>一、交货时间：自签订合同后7日内到货安装。</w:t>
            </w:r>
          </w:p>
          <w:p>
            <w:pPr>
              <w:pStyle w:val="null3"/>
            </w:pPr>
            <w:r>
              <w:rPr>
                <w:rFonts w:ascii="仿宋_GB2312" w:hAnsi="仿宋_GB2312" w:cs="仿宋_GB2312" w:eastAsia="仿宋_GB2312"/>
                <w:sz w:val="21"/>
              </w:rPr>
              <w:t>二、交货地点：甲方指定地点</w:t>
            </w:r>
          </w:p>
          <w:p>
            <w:pPr>
              <w:pStyle w:val="null3"/>
            </w:pPr>
            <w:r>
              <w:rPr>
                <w:rFonts w:ascii="仿宋_GB2312" w:hAnsi="仿宋_GB2312" w:cs="仿宋_GB2312" w:eastAsia="仿宋_GB2312"/>
                <w:sz w:val="21"/>
              </w:rPr>
              <w:t>三、款项结算</w:t>
            </w:r>
          </w:p>
          <w:p>
            <w:pPr>
              <w:pStyle w:val="null3"/>
            </w:pPr>
            <w:r>
              <w:rPr>
                <w:rFonts w:ascii="仿宋_GB2312" w:hAnsi="仿宋_GB2312" w:cs="仿宋_GB2312" w:eastAsia="仿宋_GB2312"/>
                <w:sz w:val="21"/>
              </w:rPr>
              <w:t>1）支付方式：银行转账。</w:t>
            </w:r>
          </w:p>
          <w:p>
            <w:pPr>
              <w:pStyle w:val="null3"/>
            </w:pPr>
            <w:r>
              <w:rPr>
                <w:rFonts w:ascii="仿宋_GB2312" w:hAnsi="仿宋_GB2312" w:cs="仿宋_GB2312" w:eastAsia="仿宋_GB2312"/>
                <w:sz w:val="21"/>
              </w:rPr>
              <w:t>2）付款条件说明：合同签订后所有货物到达甲方指定地点，达到付款条件起30日内支付合同总价款的100%。</w:t>
            </w:r>
          </w:p>
          <w:p>
            <w:pPr>
              <w:pStyle w:val="null3"/>
            </w:pPr>
            <w:r>
              <w:rPr>
                <w:rFonts w:ascii="仿宋_GB2312" w:hAnsi="仿宋_GB2312" w:cs="仿宋_GB2312" w:eastAsia="仿宋_GB2312"/>
                <w:sz w:val="21"/>
              </w:rPr>
              <w:t>3）结算方式：供应商持验收书，发票（按合同总价开采购人），成交通知书、服务合同，与采购人结算。</w:t>
            </w:r>
          </w:p>
          <w:p>
            <w:pPr>
              <w:pStyle w:val="null3"/>
            </w:pPr>
            <w:r>
              <w:rPr>
                <w:rFonts w:ascii="仿宋_GB2312" w:hAnsi="仿宋_GB2312" w:cs="仿宋_GB2312" w:eastAsia="仿宋_GB2312"/>
                <w:sz w:val="21"/>
              </w:rPr>
              <w:t>注：如符合财库〔2020〕46号文中规定的小企业中标则预付款比例为，采购人支付合同价款40%的作为预付款，且在自验收合格之日起30日内支付剩余款项。</w:t>
            </w:r>
          </w:p>
          <w:p>
            <w:pPr>
              <w:pStyle w:val="null3"/>
            </w:pPr>
            <w:r>
              <w:rPr>
                <w:rFonts w:ascii="仿宋_GB2312" w:hAnsi="仿宋_GB2312" w:cs="仿宋_GB2312" w:eastAsia="仿宋_GB2312"/>
                <w:sz w:val="21"/>
              </w:rPr>
              <w:t>四、关于履约保证金的约定</w:t>
            </w:r>
          </w:p>
          <w:p>
            <w:pPr>
              <w:pStyle w:val="null3"/>
            </w:pPr>
            <w:r>
              <w:rPr>
                <w:rFonts w:ascii="仿宋_GB2312" w:hAnsi="仿宋_GB2312" w:cs="仿宋_GB2312" w:eastAsia="仿宋_GB2312"/>
                <w:sz w:val="21"/>
              </w:rPr>
              <w:t>1. 履约保证金的形式和金额</w:t>
            </w:r>
          </w:p>
          <w:p>
            <w:pPr>
              <w:pStyle w:val="null3"/>
            </w:pPr>
            <w:r>
              <w:rPr>
                <w:rFonts w:ascii="仿宋_GB2312" w:hAnsi="仿宋_GB2312" w:cs="仿宋_GB2312" w:eastAsia="仿宋_GB2312"/>
                <w:sz w:val="21"/>
              </w:rPr>
              <w:t>•  形式：现金、银行转账、支票、汇票、本票、银行保函、保证保险等非现金形式。</w:t>
            </w:r>
          </w:p>
          <w:p>
            <w:pPr>
              <w:pStyle w:val="null3"/>
            </w:pPr>
            <w:r>
              <w:rPr>
                <w:rFonts w:ascii="仿宋_GB2312" w:hAnsi="仿宋_GB2312" w:cs="仿宋_GB2312" w:eastAsia="仿宋_GB2312"/>
                <w:sz w:val="21"/>
              </w:rPr>
              <w:t>•  金额：履约保证金为合同总价的5%。</w:t>
            </w:r>
          </w:p>
          <w:p>
            <w:pPr>
              <w:pStyle w:val="null3"/>
            </w:pPr>
            <w:r>
              <w:rPr>
                <w:rFonts w:ascii="仿宋_GB2312" w:hAnsi="仿宋_GB2312" w:cs="仿宋_GB2312" w:eastAsia="仿宋_GB2312"/>
                <w:sz w:val="21"/>
              </w:rPr>
              <w:t>2. 提交时间</w:t>
            </w:r>
          </w:p>
          <w:p>
            <w:pPr>
              <w:pStyle w:val="null3"/>
            </w:pPr>
            <w:r>
              <w:rPr>
                <w:rFonts w:ascii="仿宋_GB2312" w:hAnsi="仿宋_GB2312" w:cs="仿宋_GB2312" w:eastAsia="仿宋_GB2312"/>
                <w:sz w:val="21"/>
              </w:rPr>
              <w:t>•  合同签订后30个自然日内。</w:t>
            </w:r>
          </w:p>
          <w:p>
            <w:pPr>
              <w:pStyle w:val="null3"/>
            </w:pPr>
            <w:r>
              <w:rPr>
                <w:rFonts w:ascii="仿宋_GB2312" w:hAnsi="仿宋_GB2312" w:cs="仿宋_GB2312" w:eastAsia="仿宋_GB2312"/>
                <w:sz w:val="21"/>
              </w:rPr>
              <w:t>3. 退还条件</w:t>
            </w:r>
          </w:p>
          <w:p>
            <w:pPr>
              <w:pStyle w:val="null3"/>
            </w:pPr>
            <w:r>
              <w:rPr>
                <w:rFonts w:ascii="仿宋_GB2312" w:hAnsi="仿宋_GB2312" w:cs="仿宋_GB2312" w:eastAsia="仿宋_GB2312"/>
                <w:sz w:val="21"/>
              </w:rPr>
              <w:t>•  正常退还：合同履行完毕且验收合格后，履约保证金应一次性无息退还。</w:t>
            </w:r>
          </w:p>
          <w:p>
            <w:pPr>
              <w:pStyle w:val="null3"/>
            </w:pPr>
            <w:r>
              <w:rPr>
                <w:rFonts w:ascii="仿宋_GB2312" w:hAnsi="仿宋_GB2312" w:cs="仿宋_GB2312" w:eastAsia="仿宋_GB2312"/>
                <w:sz w:val="21"/>
              </w:rPr>
              <w:t>•  不予退还的情形：</w:t>
            </w:r>
          </w:p>
          <w:p>
            <w:pPr>
              <w:pStyle w:val="null3"/>
            </w:pPr>
            <w:r>
              <w:rPr>
                <w:rFonts w:ascii="仿宋_GB2312" w:hAnsi="仿宋_GB2312" w:cs="仿宋_GB2312" w:eastAsia="仿宋_GB2312"/>
                <w:sz w:val="21"/>
              </w:rPr>
              <w:t>•  乙方不履行合同或履行不符合约定，导致合同目的无法实现。</w:t>
            </w:r>
          </w:p>
          <w:p>
            <w:pPr>
              <w:pStyle w:val="null3"/>
            </w:pPr>
            <w:r>
              <w:rPr>
                <w:rFonts w:ascii="仿宋_GB2312" w:hAnsi="仿宋_GB2312" w:cs="仿宋_GB2312" w:eastAsia="仿宋_GB2312"/>
                <w:sz w:val="21"/>
              </w:rPr>
              <w:t>•  乙方未经甲方同意擅自转包、提前终止合同。</w:t>
            </w:r>
          </w:p>
          <w:p>
            <w:pPr>
              <w:pStyle w:val="null3"/>
            </w:pPr>
            <w:r>
              <w:rPr>
                <w:rFonts w:ascii="仿宋_GB2312" w:hAnsi="仿宋_GB2312" w:cs="仿宋_GB2312" w:eastAsia="仿宋_GB2312"/>
                <w:sz w:val="21"/>
              </w:rPr>
              <w:t>•  乙方在施工期间发生重大质量事故、安全事故。</w:t>
            </w:r>
          </w:p>
          <w:p>
            <w:pPr>
              <w:pStyle w:val="null3"/>
            </w:pPr>
            <w:r>
              <w:rPr>
                <w:rFonts w:ascii="仿宋_GB2312" w:hAnsi="仿宋_GB2312" w:cs="仿宋_GB2312" w:eastAsia="仿宋_GB2312"/>
                <w:sz w:val="21"/>
              </w:rPr>
              <w:t>•  乙方未按约定提交履约保证金。</w:t>
            </w:r>
          </w:p>
          <w:p>
            <w:pPr>
              <w:pStyle w:val="null3"/>
            </w:pPr>
            <w:r>
              <w:rPr>
                <w:rFonts w:ascii="仿宋_GB2312" w:hAnsi="仿宋_GB2312" w:cs="仿宋_GB2312" w:eastAsia="仿宋_GB2312"/>
                <w:sz w:val="21"/>
              </w:rPr>
              <w:t>4. 违约责任</w:t>
            </w:r>
          </w:p>
          <w:p>
            <w:pPr>
              <w:pStyle w:val="null3"/>
            </w:pPr>
            <w:r>
              <w:rPr>
                <w:rFonts w:ascii="仿宋_GB2312" w:hAnsi="仿宋_GB2312" w:cs="仿宋_GB2312" w:eastAsia="仿宋_GB2312"/>
                <w:sz w:val="21"/>
              </w:rPr>
              <w:t>•  乙方违约：甲方可扣除相应履约保证金。如果违约金不足以弥补损失，乙方还需赔偿超出部分。</w:t>
            </w:r>
          </w:p>
          <w:p>
            <w:pPr>
              <w:pStyle w:val="null3"/>
            </w:pPr>
            <w:r>
              <w:rPr>
                <w:rFonts w:ascii="仿宋_GB2312" w:hAnsi="仿宋_GB2312" w:cs="仿宋_GB2312" w:eastAsia="仿宋_GB2312"/>
                <w:sz w:val="21"/>
              </w:rPr>
              <w:t>•  甲方违约：如果甲方无正当理由逾期支付管理服务费用，需向乙方支付违约金。</w:t>
            </w:r>
          </w:p>
          <w:p>
            <w:pPr>
              <w:pStyle w:val="null3"/>
            </w:pPr>
            <w:r>
              <w:rPr>
                <w:rFonts w:ascii="仿宋_GB2312" w:hAnsi="仿宋_GB2312" w:cs="仿宋_GB2312" w:eastAsia="仿宋_GB2312"/>
                <w:sz w:val="21"/>
              </w:rPr>
              <w:t>•  其他违约责任：如乙方未达到质量标准但未造成损失，甲方可要求乙方整改；若延迟履行超过30日，甲方可解除合同。</w:t>
            </w:r>
          </w:p>
          <w:p>
            <w:pPr>
              <w:pStyle w:val="null3"/>
            </w:pPr>
            <w:r>
              <w:rPr>
                <w:rFonts w:ascii="仿宋_GB2312" w:hAnsi="仿宋_GB2312" w:cs="仿宋_GB2312" w:eastAsia="仿宋_GB2312"/>
                <w:sz w:val="21"/>
              </w:rPr>
              <w:t>5. 特殊情况处理</w:t>
            </w:r>
          </w:p>
          <w:p>
            <w:pPr>
              <w:pStyle w:val="null3"/>
            </w:pPr>
            <w:r>
              <w:rPr>
                <w:rFonts w:ascii="仿宋_GB2312" w:hAnsi="仿宋_GB2312" w:cs="仿宋_GB2312" w:eastAsia="仿宋_GB2312"/>
                <w:sz w:val="21"/>
              </w:rPr>
              <w:t>•  不可抗力：如果因不可抗力导致合同无法履行，双方可根据具体情况协商处理，一般不追究违约责任。</w:t>
            </w:r>
          </w:p>
          <w:p>
            <w:pPr>
              <w:pStyle w:val="null3"/>
            </w:pPr>
            <w:r>
              <w:rPr>
                <w:rFonts w:ascii="仿宋_GB2312" w:hAnsi="仿宋_GB2312" w:cs="仿宋_GB2312" w:eastAsia="仿宋_GB2312"/>
                <w:sz w:val="21"/>
              </w:rPr>
              <w:t>6. 其他约定</w:t>
            </w:r>
          </w:p>
          <w:p>
            <w:pPr>
              <w:pStyle w:val="null3"/>
            </w:pPr>
            <w:r>
              <w:rPr>
                <w:rFonts w:ascii="仿宋_GB2312" w:hAnsi="仿宋_GB2312" w:cs="仿宋_GB2312" w:eastAsia="仿宋_GB2312"/>
                <w:sz w:val="21"/>
              </w:rPr>
              <w:t>•  利息损失：如果甲方无正当理由逾期不退还履约保证金，需按人民银行同期存款基准利率按日向乙方支付利息损失。</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交货时间：自签订合同后7日内到货安装。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合同签订后所有货物到达甲方指定地点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按招标文件、响应文件及合同相关条款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按招标文件、响应文件及合同相关条款</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按招标文件、响应文件及合同相关条款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1、球管单价限价：1,730,000.00元 2、高压油箱单价限价：70,000.00元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投标截止日期前六个月内其基本开户银行出具的资信证明（附《基本存款账户信息》或《银行开户许可证》复印件）； /或财政部门认可的政府采购专业担保机构出具的投标担保函；/或表明具有良好的商业信誉和健全的财务会计制度的诚信声明；以上四种形式的资料提供任何一种即可。 3）具有履行合同所必需的设备和专业技术能力 提供声明文件。 4）具有依法缴纳税收的良好记录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或具有依法缴纳税收的诚信声明；以上三种形式的资料提供任何一种即可。 5）具有依法缴纳社会保障资金的良好记录 提供缴费所属日期为投标截止时间前12个月内任一月份（投标截止时间当月不计入）的缴费凭据或社保机关出具的缴费证明/在法规范围内不需提供的应出具书面说明和证明文件/或具有依法缴纳社保的诚信声明；以上三种形式的资料提供任何一种即可。 6）参加政府采购活动前3年内在经营活动中没有重大违法记录的书面声明。 7）法人代表授权书（原件），同时须提供被授权人投标截止时间前3个月内（投标截止时间当月不计入）的社保缴费凭据或社保机关出具的缴费证明。</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资格部分.docx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投标产品的经营资格要求</w:t>
            </w:r>
          </w:p>
        </w:tc>
        <w:tc>
          <w:tcPr>
            <w:tcW w:type="dxa" w:w="3322"/>
          </w:tcPr>
          <w:p>
            <w:pPr>
              <w:pStyle w:val="null3"/>
            </w:pPr>
            <w:r>
              <w:rPr>
                <w:rFonts w:ascii="仿宋_GB2312" w:hAnsi="仿宋_GB2312" w:cs="仿宋_GB2312" w:eastAsia="仿宋_GB2312"/>
              </w:rPr>
              <w:t>投标人的投标产品及经营资格应符合《医疗器械监督管理条例》、《医疗器械经营监督管理办法》等相关的规定并提供相关证明文件：（1） 投标人为经营企业的，提供投标人经营投标产品的“医疗器械经营许可证”或“医疗器械经营备案证”（如国家另有规定，则适用其规定），并同时提供投标产品生产厂家的“医疗器械生产许可证”或“医疗器械生产备案凭证”（进口产品除外）。（2） 投标人为生产商的（仅限于投标产品均为投标人自身生产产品的情形），提供“医疗器械生产许可证”或“医疗器械生产备案凭证”（进口产品除外），如果生产厂家在其住所或者生产地址以外的其他场所贮存并销售其注册、备案的医疗器械应同时提供“医疗器械经营许可证”或“医疗器械经营备案证”（如国家另有规定，则适用其规定）。（3）投标产品（ 球管 ）为进口产品的，提供生产厂家的授权（授权链应完整）。</w:t>
            </w:r>
          </w:p>
        </w:tc>
        <w:tc>
          <w:tcPr>
            <w:tcW w:type="dxa" w:w="1661"/>
          </w:tcPr>
          <w:p>
            <w:pPr>
              <w:pStyle w:val="null3"/>
            </w:pPr>
            <w:r>
              <w:rPr>
                <w:rFonts w:ascii="仿宋_GB2312" w:hAnsi="仿宋_GB2312" w:cs="仿宋_GB2312" w:eastAsia="仿宋_GB2312"/>
              </w:rPr>
              <w:t>资格部分.docx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产品技术参数表 投标函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投标文件完整性审查</w:t>
            </w:r>
          </w:p>
        </w:tc>
        <w:tc>
          <w:tcPr>
            <w:tcW w:type="dxa" w:w="3322"/>
          </w:tcPr>
          <w:p>
            <w:pPr>
              <w:pStyle w:val="null3"/>
            </w:pPr>
            <w:r>
              <w:rPr>
                <w:rFonts w:ascii="仿宋_GB2312" w:hAnsi="仿宋_GB2312" w:cs="仿宋_GB2312" w:eastAsia="仿宋_GB2312"/>
              </w:rPr>
              <w:t>投标文件是否按照招标文件要求的格式编写；投标文件内容是否有重大缺漏项。《利益关系承诺函》、《控股关系关联承诺书 》是否符合文件格式。</w:t>
            </w:r>
          </w:p>
        </w:tc>
        <w:tc>
          <w:tcPr>
            <w:tcW w:type="dxa" w:w="1661"/>
          </w:tcPr>
          <w:p>
            <w:pPr>
              <w:pStyle w:val="null3"/>
            </w:pPr>
            <w:r>
              <w:rPr>
                <w:rFonts w:ascii="仿宋_GB2312" w:hAnsi="仿宋_GB2312" w:cs="仿宋_GB2312" w:eastAsia="仿宋_GB2312"/>
              </w:rPr>
              <w:t>技术商务部分.docx 开标一览表 产品技术参数表 投标函 商务应答表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技术商务部分.docx 开标一览表 产品技术参数表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1.投标报价是否超过采购预算；2.投标报价有效期是否符合招标文件的要求；3.投标文件内容是否符合国家法律法规，没有重大偏离；4.对招标文件中规定的要求是否做出了实质性响应。</w:t>
            </w:r>
          </w:p>
        </w:tc>
        <w:tc>
          <w:tcPr>
            <w:tcW w:type="dxa" w:w="1661"/>
          </w:tcPr>
          <w:p>
            <w:pPr>
              <w:pStyle w:val="null3"/>
            </w:pPr>
            <w:r>
              <w:rPr>
                <w:rFonts w:ascii="仿宋_GB2312" w:hAnsi="仿宋_GB2312" w:cs="仿宋_GB2312" w:eastAsia="仿宋_GB2312"/>
              </w:rPr>
              <w:t>技术商务部分.docx 开标一览表 产品技术参数表 投标函 商务应答表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投标产品技术参数清楚、明确，有相应齐全的技术资料，完全满足招标技术参数要求得34分；“▲”项每偏离一项扣4分；非“▲”项每偏离一项扣2分，扣完为止。</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服务、实施方案，包括项目团队人员配备充足（提供专职人员名单及联系方式、有效身份证复印件），技术能力出众（提供相关资格证书），人员分工合理、保证工作时间内正常运行的实施方案、出现故障时维修人员的实施方案等进行理解及分析描述。 服务、实施方案不存在瑕疵，得9分，服务、实施方案存在1处瑕疵，得6分，服务、实施方案存在2处瑕疵，得3分，服务、实施方案存在3处及以上瑕疵或未提供方案得0分。 注：本项内容中所称的“瑕疵”指以下任意一种情形： 1.方案部分内容不满足项目要求； 2.内容表述不完整或缺少关键分析点； 3.方案科学合理性或针对性或实用性不强； 4.内容表述前后矛盾、无连贯性、内容存在逻辑漏洞、常识性错误； 5.方案部分内容与本项目关联度不高或不适用于本项目或不利于本项目的实施。未提供的不得分。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供货方案及措施</w:t>
            </w:r>
          </w:p>
        </w:tc>
        <w:tc>
          <w:tcPr>
            <w:tcW w:type="dxa" w:w="2492"/>
          </w:tcPr>
          <w:p>
            <w:pPr>
              <w:pStyle w:val="null3"/>
            </w:pPr>
            <w:r>
              <w:rPr>
                <w:rFonts w:ascii="仿宋_GB2312" w:hAnsi="仿宋_GB2312" w:cs="仿宋_GB2312" w:eastAsia="仿宋_GB2312"/>
              </w:rPr>
              <w:t>对产品的供货、安装调试组织措施及方案完善，并针对该项目做出合理计划及调配，保证顺利进行。 供货方案及措施不存在瑕疵，得9分，供货方案及措施存在1处瑕疵，得6分，供货方案及措施存在2处瑕疵，得3分，供货方案及措施存在3处及以上瑕疵或未提供方案得0分。 注：本项内容中所称的“瑕疵”指以下任意一种情形： 1.方案措施部分内容不满足项目要求； 2.方案措施表述不完整或缺少关键分析点； 3.方案措施科学合理性或针对性或实用性不强； 4.方案措施内容表述前后矛盾、无连贯性、内容存在逻辑漏洞、常识性错误； 5.方案部分内容与本项目关联度不高或不适用于本项目或不利于本项目的实施。未提供的不得分。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有可靠的售后服务方案，能够在招标文件要求的时间内派技术人员到场提供技术支持和售后服务（提供证明材料）由评标委员会，综合评审 售后服务方案不存在瑕疵，得4分，售后服务存在1处瑕疵，得3分，售后服务存在2处瑕疵，得2分，售后服务存在3处瑕疵，得1分，售后服务存在4处及以上瑕疵或未提供方案得0分。 注：本项内容中所称的“瑕疵”指以下任意一种情形： 1.方案部分内容不满足项目要求； 2.内容表述不完整或缺少关键分析点； 3.方案科学合理性或针对性或实用性不强； 4.内容表述前后矛盾、无连贯性、内容存在逻辑漏洞、常识性错误； 5.方案部分内容与本项目关联度不高或不适用于本项目或不利于本项目的实施。未提供的不得分。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对采购方技术人员的操作、保养等方面进行专业培训，须列出具体培训工作的响应方案并编制详细的响应说明（响应说明需包含培训具体内容、时长、地点等内容，保证使用人员正常操作设备的各种功能）。由评标委员会综合评审。培训方案不存在瑕疵，得4分，培训方案存在1处瑕疵，得3分，培训方案存在2处瑕疵，得2分，培训方案存在3处瑕疵，得1分，培训方案存在4处及以上瑕疵或未提供方案得0分。 注：本项内容中所称的“瑕疵”指以下任意一种情形： 1.方案部分内容不满足项目要求； 2.内容表述不完整或缺少关键分析点； 3.方案科学合理性或针对性或实用性不强； 4.内容表述前后矛盾、无连贯性、内容存在逻辑漏洞、常识性错误； 5.方案部分内容与本项目关联度不高或不适用于本项目或不利于本项目的实施。未提供的不得分。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所投核心产品业绩</w:t>
            </w:r>
          </w:p>
        </w:tc>
        <w:tc>
          <w:tcPr>
            <w:tcW w:type="dxa" w:w="2492"/>
          </w:tcPr>
          <w:p>
            <w:pPr>
              <w:pStyle w:val="null3"/>
            </w:pPr>
            <w:r>
              <w:rPr>
                <w:rFonts w:ascii="仿宋_GB2312" w:hAnsi="仿宋_GB2312" w:cs="仿宋_GB2312" w:eastAsia="仿宋_GB2312"/>
              </w:rPr>
              <w:t>提供2022年1月1日至今（以合同签署日期为准）所投核心产品供货业绩（以合同复印件为准），一个有效业绩计2分，最高10分。 不提供，得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 其他投标人的价格分统一按照下列公式计算： 投标报价得分=(评标基准价／投标报价)×30。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