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A1F39">
      <w:pPr>
        <w:spacing w:before="312" w:beforeLines="100" w:after="312" w:afterLines="100" w:line="480" w:lineRule="auto"/>
        <w:jc w:val="center"/>
        <w:rPr>
          <w:rFonts w:ascii="仿宋_GB2312" w:hAnsi="仿宋_GB2312" w:eastAsia="仿宋_GB2312" w:cs="仿宋_GB2312"/>
        </w:rPr>
      </w:pPr>
      <w:r>
        <w:rPr>
          <w:rFonts w:hint="eastAsia" w:ascii="仿宋_GB2312" w:hAnsi="仿宋_GB2312" w:eastAsia="仿宋_GB2312" w:cs="仿宋_GB2312"/>
        </w:rPr>
        <w:t xml:space="preserve"> </w:t>
      </w:r>
    </w:p>
    <w:p w14:paraId="5BA67166">
      <w:pPr>
        <w:spacing w:before="312" w:beforeLines="100" w:after="312" w:afterLines="100" w:line="480" w:lineRule="auto"/>
        <w:jc w:val="center"/>
        <w:rPr>
          <w:rFonts w:ascii="仿宋_GB2312" w:hAnsi="仿宋_GB2312" w:eastAsia="仿宋_GB2312" w:cs="仿宋_GB2312"/>
          <w:b/>
          <w:sz w:val="44"/>
          <w:szCs w:val="44"/>
        </w:rPr>
      </w:pPr>
      <w:r>
        <w:rPr>
          <w:rFonts w:hint="eastAsia" w:ascii="仿宋_GB2312" w:hAnsi="仿宋_GB2312" w:eastAsia="仿宋_GB2312" w:cs="仿宋_GB2312"/>
          <w:b/>
          <w:sz w:val="44"/>
          <w:szCs w:val="44"/>
        </w:rPr>
        <w:t>西安市疾病预防控制中心</w:t>
      </w:r>
    </w:p>
    <w:p w14:paraId="73805B1E">
      <w:pPr>
        <w:spacing w:before="312" w:beforeLines="100" w:after="312" w:afterLines="100" w:line="480" w:lineRule="auto"/>
        <w:jc w:val="center"/>
        <w:rPr>
          <w:rFonts w:ascii="仿宋_GB2312" w:hAnsi="仿宋_GB2312" w:eastAsia="仿宋_GB2312" w:cs="仿宋_GB2312"/>
          <w:b/>
          <w:sz w:val="44"/>
          <w:szCs w:val="44"/>
        </w:rPr>
      </w:pPr>
      <w:r>
        <w:rPr>
          <w:rFonts w:hint="eastAsia" w:ascii="仿宋_GB2312" w:hAnsi="仿宋_GB2312" w:eastAsia="仿宋_GB2312" w:cs="仿宋_GB2312"/>
          <w:b/>
          <w:sz w:val="44"/>
          <w:szCs w:val="44"/>
        </w:rPr>
        <w:t>新冠本土变异株监测试剂采购项目</w:t>
      </w:r>
      <w:r>
        <w:rPr>
          <w:rFonts w:hint="eastAsia" w:ascii="仿宋_GB2312" w:hAnsi="仿宋_GB2312" w:eastAsia="仿宋_GB2312" w:cs="仿宋_GB2312"/>
          <w:b/>
          <w:color w:val="000000"/>
          <w:sz w:val="44"/>
          <w:szCs w:val="44"/>
        </w:rPr>
        <w:t>采购合同</w:t>
      </w:r>
    </w:p>
    <w:p w14:paraId="39648223">
      <w:pPr>
        <w:jc w:val="center"/>
        <w:rPr>
          <w:rFonts w:ascii="仿宋_GB2312" w:hAnsi="仿宋_GB2312" w:eastAsia="仿宋_GB2312" w:cs="仿宋_GB2312"/>
          <w:bCs/>
          <w:color w:val="000000"/>
          <w:sz w:val="15"/>
          <w:szCs w:val="18"/>
        </w:rPr>
      </w:pPr>
      <w:r>
        <w:rPr>
          <w:rFonts w:hint="eastAsia" w:ascii="仿宋_GB2312" w:hAnsi="仿宋_GB2312" w:eastAsia="仿宋_GB2312" w:cs="仿宋_GB2312"/>
          <w:bCs/>
          <w:color w:val="000000"/>
          <w:sz w:val="28"/>
          <w:szCs w:val="28"/>
        </w:rPr>
        <w:t>（项目编号：</w:t>
      </w:r>
      <w:r>
        <w:rPr>
          <w:rFonts w:hint="eastAsia" w:ascii="仿宋_GB2312" w:hAnsi="仿宋_GB2312" w:eastAsia="仿宋_GB2312" w:cs="仿宋_GB2312"/>
          <w:b/>
          <w:bCs/>
          <w:sz w:val="28"/>
          <w:szCs w:val="28"/>
        </w:rPr>
        <w:t>SZT2025-SN-XC-ZC-HW-0907</w:t>
      </w:r>
      <w:r>
        <w:rPr>
          <w:rFonts w:hint="eastAsia" w:ascii="仿宋_GB2312" w:hAnsi="仿宋_GB2312" w:eastAsia="仿宋_GB2312" w:cs="仿宋_GB2312"/>
          <w:bCs/>
          <w:color w:val="000000"/>
          <w:sz w:val="28"/>
          <w:szCs w:val="28"/>
        </w:rPr>
        <w:t>）</w:t>
      </w:r>
    </w:p>
    <w:p w14:paraId="3B20B2F7">
      <w:pPr>
        <w:pStyle w:val="4"/>
        <w:spacing w:before="156" w:beforeLines="50" w:after="156" w:afterLines="50"/>
        <w:jc w:val="center"/>
        <w:rPr>
          <w:rFonts w:ascii="仿宋_GB2312" w:hAnsi="仿宋_GB2312" w:eastAsia="仿宋_GB2312" w:cs="仿宋_GB2312"/>
          <w:b/>
          <w:color w:val="000000"/>
          <w:sz w:val="32"/>
          <w:szCs w:val="32"/>
          <w:u w:val="single"/>
        </w:rPr>
      </w:pPr>
    </w:p>
    <w:p w14:paraId="4635505F">
      <w:pPr>
        <w:rPr>
          <w:rFonts w:ascii="仿宋_GB2312" w:hAnsi="仿宋_GB2312" w:eastAsia="仿宋_GB2312" w:cs="仿宋_GB2312"/>
        </w:rPr>
      </w:pPr>
    </w:p>
    <w:p w14:paraId="3E681600">
      <w:pPr>
        <w:rPr>
          <w:rFonts w:ascii="仿宋_GB2312" w:hAnsi="仿宋_GB2312" w:eastAsia="仿宋_GB2312" w:cs="仿宋_GB2312"/>
        </w:rPr>
      </w:pPr>
    </w:p>
    <w:p w14:paraId="0FF9EAB8">
      <w:pPr>
        <w:rPr>
          <w:rFonts w:ascii="仿宋_GB2312" w:hAnsi="仿宋_GB2312" w:eastAsia="仿宋_GB2312" w:cs="仿宋_GB2312"/>
        </w:rPr>
      </w:pPr>
    </w:p>
    <w:p w14:paraId="1797CDD5">
      <w:pPr>
        <w:rPr>
          <w:rFonts w:ascii="仿宋_GB2312" w:hAnsi="仿宋_GB2312" w:eastAsia="仿宋_GB2312" w:cs="仿宋_GB2312"/>
        </w:rPr>
      </w:pPr>
    </w:p>
    <w:p w14:paraId="486D3CC8">
      <w:pPr>
        <w:rPr>
          <w:rFonts w:ascii="仿宋_GB2312" w:hAnsi="仿宋_GB2312" w:eastAsia="仿宋_GB2312" w:cs="仿宋_GB2312"/>
        </w:rPr>
      </w:pPr>
    </w:p>
    <w:p w14:paraId="13B25737">
      <w:pPr>
        <w:rPr>
          <w:rFonts w:ascii="仿宋_GB2312" w:hAnsi="仿宋_GB2312" w:eastAsia="仿宋_GB2312" w:cs="仿宋_GB2312"/>
        </w:rPr>
      </w:pPr>
    </w:p>
    <w:p w14:paraId="281307B9">
      <w:pPr>
        <w:spacing w:line="440" w:lineRule="exact"/>
        <w:rPr>
          <w:rFonts w:ascii="仿宋_GB2312" w:hAnsi="仿宋_GB2312" w:eastAsia="仿宋_GB2312" w:cs="仿宋_GB2312"/>
          <w:b/>
          <w:szCs w:val="32"/>
        </w:rPr>
      </w:pPr>
    </w:p>
    <w:p w14:paraId="4A055D11">
      <w:pPr>
        <w:pStyle w:val="4"/>
        <w:rPr>
          <w:rFonts w:ascii="仿宋_GB2312" w:hAnsi="仿宋_GB2312" w:eastAsia="仿宋_GB2312" w:cs="仿宋_GB2312"/>
        </w:rPr>
      </w:pPr>
    </w:p>
    <w:p w14:paraId="3B3B68BC">
      <w:pPr>
        <w:pStyle w:val="4"/>
        <w:rPr>
          <w:rFonts w:ascii="仿宋_GB2312" w:hAnsi="仿宋_GB2312" w:eastAsia="仿宋_GB2312" w:cs="仿宋_GB2312"/>
        </w:rPr>
      </w:pPr>
    </w:p>
    <w:p w14:paraId="7C52CB2E">
      <w:pPr>
        <w:pStyle w:val="4"/>
        <w:rPr>
          <w:rFonts w:ascii="仿宋_GB2312" w:hAnsi="仿宋_GB2312" w:eastAsia="仿宋_GB2312" w:cs="仿宋_GB2312"/>
        </w:rPr>
      </w:pPr>
    </w:p>
    <w:p w14:paraId="4103A595">
      <w:pPr>
        <w:pStyle w:val="4"/>
        <w:rPr>
          <w:rFonts w:ascii="仿宋_GB2312" w:hAnsi="仿宋_GB2312" w:eastAsia="仿宋_GB2312" w:cs="仿宋_GB2312"/>
        </w:rPr>
      </w:pPr>
    </w:p>
    <w:p w14:paraId="373593F0">
      <w:pPr>
        <w:pStyle w:val="4"/>
        <w:rPr>
          <w:rFonts w:ascii="仿宋_GB2312" w:hAnsi="仿宋_GB2312" w:eastAsia="仿宋_GB2312" w:cs="仿宋_GB2312"/>
        </w:rPr>
      </w:pPr>
    </w:p>
    <w:p w14:paraId="3FFB7962">
      <w:pPr>
        <w:pStyle w:val="4"/>
        <w:rPr>
          <w:rFonts w:ascii="仿宋_GB2312" w:hAnsi="仿宋_GB2312" w:eastAsia="仿宋_GB2312" w:cs="仿宋_GB2312"/>
        </w:rPr>
      </w:pPr>
    </w:p>
    <w:p w14:paraId="5A348080">
      <w:pPr>
        <w:pStyle w:val="4"/>
        <w:rPr>
          <w:rFonts w:ascii="仿宋_GB2312" w:hAnsi="仿宋_GB2312" w:eastAsia="仿宋_GB2312" w:cs="仿宋_GB2312"/>
        </w:rPr>
      </w:pPr>
    </w:p>
    <w:p w14:paraId="7A3ED91E">
      <w:pPr>
        <w:pStyle w:val="4"/>
        <w:rPr>
          <w:rFonts w:ascii="仿宋_GB2312" w:hAnsi="仿宋_GB2312" w:eastAsia="仿宋_GB2312" w:cs="仿宋_GB2312"/>
        </w:rPr>
      </w:pPr>
    </w:p>
    <w:p w14:paraId="51B67F9A">
      <w:pPr>
        <w:pStyle w:val="4"/>
        <w:rPr>
          <w:rFonts w:ascii="仿宋_GB2312" w:hAnsi="仿宋_GB2312" w:eastAsia="仿宋_GB2312" w:cs="仿宋_GB2312"/>
        </w:rPr>
      </w:pPr>
    </w:p>
    <w:p w14:paraId="376CB19E">
      <w:pPr>
        <w:pStyle w:val="4"/>
        <w:rPr>
          <w:rFonts w:ascii="仿宋_GB2312" w:hAnsi="仿宋_GB2312" w:eastAsia="仿宋_GB2312" w:cs="仿宋_GB2312"/>
        </w:rPr>
      </w:pPr>
    </w:p>
    <w:p w14:paraId="1767D493">
      <w:pPr>
        <w:pStyle w:val="4"/>
        <w:rPr>
          <w:rFonts w:ascii="仿宋_GB2312" w:hAnsi="仿宋_GB2312" w:eastAsia="仿宋_GB2312" w:cs="仿宋_GB2312"/>
        </w:rPr>
      </w:pPr>
    </w:p>
    <w:p w14:paraId="6524933C">
      <w:pPr>
        <w:pStyle w:val="4"/>
        <w:rPr>
          <w:rFonts w:ascii="仿宋_GB2312" w:hAnsi="仿宋_GB2312" w:eastAsia="仿宋_GB2312" w:cs="仿宋_GB2312"/>
        </w:rPr>
      </w:pPr>
    </w:p>
    <w:p w14:paraId="12B09CA4">
      <w:pPr>
        <w:spacing w:line="360" w:lineRule="auto"/>
        <w:ind w:firstLine="2940" w:firstLineChars="1400"/>
        <w:rPr>
          <w:rFonts w:ascii="仿宋_GB2312" w:hAnsi="仿宋_GB2312" w:eastAsia="仿宋_GB2312" w:cs="仿宋_GB2312"/>
          <w:bCs/>
          <w:szCs w:val="32"/>
        </w:rPr>
      </w:pPr>
      <w:r>
        <w:rPr>
          <w:rFonts w:hint="eastAsia" w:ascii="仿宋_GB2312" w:hAnsi="仿宋_GB2312" w:eastAsia="仿宋_GB2312" w:cs="仿宋_GB2312"/>
          <w:bCs/>
          <w:szCs w:val="32"/>
        </w:rPr>
        <w:t>甲  方：西安市疾病预防控制中心</w:t>
      </w:r>
    </w:p>
    <w:p w14:paraId="2EF663A4">
      <w:pPr>
        <w:pStyle w:val="3"/>
        <w:spacing w:line="336" w:lineRule="auto"/>
        <w:ind w:firstLine="2880" w:firstLineChars="1200"/>
        <w:rPr>
          <w:rFonts w:ascii="仿宋_GB2312" w:hAnsi="仿宋_GB2312" w:eastAsia="仿宋_GB2312" w:cs="仿宋_GB2312"/>
          <w:bCs/>
          <w:szCs w:val="32"/>
        </w:rPr>
      </w:pPr>
      <w:r>
        <w:rPr>
          <w:rFonts w:hint="eastAsia" w:ascii="仿宋_GB2312" w:hAnsi="仿宋_GB2312" w:eastAsia="仿宋_GB2312" w:cs="仿宋_GB2312"/>
          <w:bCs/>
          <w:szCs w:val="32"/>
        </w:rPr>
        <w:t>乙  方：xxxxxxxx</w:t>
      </w:r>
    </w:p>
    <w:p w14:paraId="581485D3">
      <w:pPr>
        <w:spacing w:line="360" w:lineRule="auto"/>
        <w:ind w:firstLine="2940" w:firstLineChars="1400"/>
        <w:rPr>
          <w:rFonts w:ascii="仿宋_GB2312" w:hAnsi="仿宋_GB2312" w:eastAsia="仿宋_GB2312" w:cs="仿宋_GB2312"/>
          <w:bCs/>
          <w:szCs w:val="32"/>
        </w:rPr>
      </w:pPr>
      <w:r>
        <w:rPr>
          <w:rFonts w:hint="eastAsia" w:ascii="仿宋_GB2312" w:hAnsi="仿宋_GB2312" w:eastAsia="仿宋_GB2312" w:cs="仿宋_GB2312"/>
          <w:bCs/>
          <w:szCs w:val="32"/>
        </w:rPr>
        <w:t>鉴证方：陕西中技招标有限公司</w:t>
      </w:r>
    </w:p>
    <w:p w14:paraId="3B045FC8">
      <w:pPr>
        <w:spacing w:line="360" w:lineRule="auto"/>
        <w:jc w:val="center"/>
        <w:rPr>
          <w:rFonts w:ascii="仿宋_GB2312" w:hAnsi="仿宋_GB2312" w:eastAsia="仿宋_GB2312" w:cs="仿宋_GB2312"/>
          <w:bCs/>
          <w:szCs w:val="32"/>
        </w:rPr>
      </w:pPr>
      <w:r>
        <w:rPr>
          <w:rFonts w:hint="eastAsia" w:ascii="仿宋_GB2312" w:hAnsi="仿宋_GB2312" w:eastAsia="仿宋_GB2312" w:cs="仿宋_GB2312"/>
          <w:bCs/>
          <w:szCs w:val="32"/>
        </w:rPr>
        <w:t>2025年x月</w:t>
      </w:r>
    </w:p>
    <w:p w14:paraId="25E12C2C">
      <w:pPr>
        <w:pStyle w:val="7"/>
        <w:rPr>
          <w:rFonts w:hint="default" w:ascii="仿宋_GB2312" w:hAnsi="仿宋_GB2312" w:eastAsia="仿宋_GB2312" w:cs="仿宋_GB2312"/>
        </w:rPr>
      </w:pPr>
      <w:r>
        <w:rPr>
          <w:rFonts w:ascii="仿宋_GB2312" w:hAnsi="仿宋_GB2312" w:eastAsia="仿宋_GB2312" w:cs="仿宋_GB2312"/>
          <w:sz w:val="18"/>
          <w:szCs w:val="18"/>
        </w:rPr>
        <w:br w:type="page"/>
      </w:r>
    </w:p>
    <w:p w14:paraId="17CBA464">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甲  方：</w:t>
      </w:r>
      <w:r>
        <w:rPr>
          <w:rFonts w:hint="eastAsia" w:ascii="仿宋_GB2312" w:hAnsi="仿宋_GB2312" w:eastAsia="仿宋_GB2312" w:cs="仿宋_GB2312"/>
          <w:b/>
          <w:sz w:val="24"/>
          <w:u w:val="single"/>
        </w:rPr>
        <w:t>西安市疾病预防控制中心</w:t>
      </w:r>
    </w:p>
    <w:p w14:paraId="4E8B772A">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乙  方：</w:t>
      </w:r>
      <w:r>
        <w:rPr>
          <w:rFonts w:hint="eastAsia" w:ascii="仿宋_GB2312" w:hAnsi="仿宋_GB2312" w:eastAsia="仿宋_GB2312" w:cs="仿宋_GB2312"/>
          <w:b/>
          <w:sz w:val="24"/>
          <w:u w:val="single"/>
        </w:rPr>
        <w:t xml:space="preserve">                      </w:t>
      </w:r>
    </w:p>
    <w:p w14:paraId="09088142">
      <w:pPr>
        <w:tabs>
          <w:tab w:val="left" w:pos="480"/>
        </w:tabs>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鉴证方：</w:t>
      </w:r>
      <w:r>
        <w:rPr>
          <w:rFonts w:hint="eastAsia" w:ascii="仿宋_GB2312" w:hAnsi="仿宋_GB2312" w:eastAsia="仿宋_GB2312" w:cs="仿宋_GB2312"/>
          <w:b/>
          <w:sz w:val="24"/>
          <w:u w:val="single"/>
        </w:rPr>
        <w:t xml:space="preserve">陕西中技招标有限公司 </w:t>
      </w:r>
    </w:p>
    <w:p w14:paraId="211C0D2F">
      <w:pPr>
        <w:tabs>
          <w:tab w:val="left" w:pos="480"/>
        </w:tabs>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根据《中华人民共和国政府采购法》及实施条例、《中华人民共和国民法典》和甲方采购项目</w:t>
      </w:r>
      <w:r>
        <w:rPr>
          <w:rFonts w:hint="eastAsia" w:ascii="仿宋_GB2312" w:hAnsi="仿宋_GB2312" w:eastAsia="仿宋_GB2312" w:cs="仿宋_GB2312"/>
          <w:bCs/>
          <w:sz w:val="24"/>
          <w:u w:val="single"/>
        </w:rPr>
        <w:t xml:space="preserve">   （项目编号：       </w:t>
      </w:r>
      <w:r>
        <w:rPr>
          <w:rFonts w:hint="eastAsia" w:ascii="仿宋_GB2312" w:hAnsi="仿宋_GB2312" w:eastAsia="仿宋_GB2312" w:cs="仿宋_GB2312"/>
          <w:bCs/>
          <w:sz w:val="24"/>
        </w:rPr>
        <w:t>）的</w:t>
      </w:r>
      <w:r>
        <w:rPr>
          <w:rFonts w:hint="eastAsia" w:ascii="仿宋_GB2312" w:hAnsi="仿宋_GB2312" w:eastAsia="仿宋_GB2312" w:cs="仿宋_GB2312"/>
          <w:bCs/>
          <w:sz w:val="24"/>
          <w:lang w:eastAsia="zh-CN"/>
        </w:rPr>
        <w:t>磋商文件</w:t>
      </w:r>
      <w:r>
        <w:rPr>
          <w:rFonts w:hint="eastAsia" w:ascii="仿宋_GB2312" w:hAnsi="仿宋_GB2312" w:eastAsia="仿宋_GB2312" w:cs="仿宋_GB2312"/>
          <w:bCs/>
          <w:sz w:val="24"/>
        </w:rPr>
        <w:t>、投标文件等有关规定，为确保甲方采购项目的顺利实施，甲、乙双方在平等自愿原则下签订本合同，并共同遵守如下条款：</w:t>
      </w:r>
    </w:p>
    <w:p w14:paraId="6ACF4D48">
      <w:pPr>
        <w:widowControl/>
        <w:numPr>
          <w:ilvl w:val="0"/>
          <w:numId w:val="1"/>
        </w:numPr>
        <w:tabs>
          <w:tab w:val="left" w:pos="480"/>
        </w:tabs>
        <w:kinsoku w:val="0"/>
        <w:autoSpaceDE w:val="0"/>
        <w:autoSpaceDN w:val="0"/>
        <w:adjustRightInd w:val="0"/>
        <w:snapToGrid w:val="0"/>
        <w:spacing w:line="360" w:lineRule="auto"/>
        <w:jc w:val="left"/>
        <w:textAlignment w:val="baseline"/>
        <w:rPr>
          <w:rFonts w:ascii="仿宋_GB2312" w:hAnsi="仿宋_GB2312" w:eastAsia="仿宋_GB2312" w:cs="仿宋_GB2312"/>
          <w:b/>
          <w:sz w:val="24"/>
        </w:rPr>
      </w:pPr>
      <w:r>
        <w:rPr>
          <w:rFonts w:hint="eastAsia" w:ascii="仿宋_GB2312" w:hAnsi="仿宋_GB2312" w:eastAsia="仿宋_GB2312" w:cs="仿宋_GB2312"/>
          <w:b/>
          <w:sz w:val="24"/>
        </w:rPr>
        <w:t>合同标的物内容及数量</w:t>
      </w:r>
    </w:p>
    <w:tbl>
      <w:tblPr>
        <w:tblStyle w:val="5"/>
        <w:tblW w:w="503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196"/>
        <w:gridCol w:w="1337"/>
        <w:gridCol w:w="874"/>
        <w:gridCol w:w="1246"/>
        <w:gridCol w:w="869"/>
        <w:gridCol w:w="800"/>
        <w:gridCol w:w="1007"/>
        <w:gridCol w:w="1129"/>
        <w:gridCol w:w="796"/>
      </w:tblGrid>
      <w:tr w14:paraId="38D0F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46981CD7">
            <w:pPr>
              <w:tabs>
                <w:tab w:val="left" w:pos="480"/>
              </w:tabs>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597" w:type="pct"/>
            <w:tcBorders>
              <w:top w:val="single" w:color="auto" w:sz="4" w:space="0"/>
              <w:left w:val="single" w:color="auto" w:sz="4" w:space="0"/>
              <w:bottom w:val="single" w:color="auto" w:sz="4" w:space="0"/>
              <w:right w:val="single" w:color="auto" w:sz="4" w:space="0"/>
            </w:tcBorders>
            <w:vAlign w:val="center"/>
          </w:tcPr>
          <w:p w14:paraId="48400C28">
            <w:pPr>
              <w:tabs>
                <w:tab w:val="left" w:pos="480"/>
              </w:tabs>
              <w:jc w:val="center"/>
              <w:rPr>
                <w:rFonts w:ascii="仿宋_GB2312" w:hAnsi="仿宋_GB2312" w:eastAsia="仿宋_GB2312" w:cs="仿宋_GB2312"/>
                <w:sz w:val="24"/>
              </w:rPr>
            </w:pPr>
            <w:r>
              <w:rPr>
                <w:rFonts w:hint="eastAsia" w:ascii="仿宋_GB2312" w:hAnsi="仿宋_GB2312" w:eastAsia="仿宋_GB2312" w:cs="仿宋_GB2312"/>
                <w:sz w:val="24"/>
              </w:rPr>
              <w:t>名称</w:t>
            </w:r>
          </w:p>
        </w:tc>
        <w:tc>
          <w:tcPr>
            <w:tcW w:w="668" w:type="pct"/>
            <w:tcBorders>
              <w:top w:val="single" w:color="auto" w:sz="4" w:space="0"/>
              <w:left w:val="single" w:color="auto" w:sz="4" w:space="0"/>
              <w:bottom w:val="single" w:color="auto" w:sz="4" w:space="0"/>
              <w:right w:val="single" w:color="auto" w:sz="4" w:space="0"/>
            </w:tcBorders>
            <w:vAlign w:val="center"/>
          </w:tcPr>
          <w:p w14:paraId="3E41DEE8">
            <w:pPr>
              <w:tabs>
                <w:tab w:val="left" w:pos="480"/>
              </w:tabs>
              <w:jc w:val="center"/>
              <w:rPr>
                <w:rFonts w:ascii="仿宋_GB2312" w:hAnsi="仿宋_GB2312" w:eastAsia="仿宋_GB2312" w:cs="仿宋_GB2312"/>
                <w:sz w:val="24"/>
              </w:rPr>
            </w:pPr>
            <w:r>
              <w:rPr>
                <w:rFonts w:hint="eastAsia" w:ascii="仿宋_GB2312" w:hAnsi="仿宋_GB2312" w:eastAsia="仿宋_GB2312" w:cs="仿宋_GB2312"/>
                <w:sz w:val="24"/>
              </w:rPr>
              <w:t>规格型号</w:t>
            </w:r>
          </w:p>
        </w:tc>
        <w:tc>
          <w:tcPr>
            <w:tcW w:w="436" w:type="pct"/>
            <w:tcBorders>
              <w:top w:val="single" w:color="auto" w:sz="4" w:space="0"/>
              <w:left w:val="single" w:color="auto" w:sz="4" w:space="0"/>
              <w:bottom w:val="single" w:color="auto" w:sz="4" w:space="0"/>
              <w:right w:val="single" w:color="auto" w:sz="4" w:space="0"/>
            </w:tcBorders>
            <w:vAlign w:val="center"/>
          </w:tcPr>
          <w:p w14:paraId="3013506B">
            <w:pPr>
              <w:tabs>
                <w:tab w:val="left" w:pos="480"/>
              </w:tabs>
              <w:jc w:val="center"/>
              <w:rPr>
                <w:rFonts w:ascii="仿宋_GB2312" w:hAnsi="仿宋_GB2312" w:eastAsia="仿宋_GB2312" w:cs="仿宋_GB2312"/>
                <w:sz w:val="24"/>
              </w:rPr>
            </w:pPr>
            <w:r>
              <w:rPr>
                <w:rFonts w:hint="eastAsia" w:ascii="仿宋_GB2312" w:hAnsi="仿宋_GB2312" w:eastAsia="仿宋_GB2312" w:cs="仿宋_GB2312"/>
                <w:sz w:val="24"/>
              </w:rPr>
              <w:t>产地</w:t>
            </w:r>
          </w:p>
        </w:tc>
        <w:tc>
          <w:tcPr>
            <w:tcW w:w="622" w:type="pct"/>
            <w:tcBorders>
              <w:top w:val="single" w:color="auto" w:sz="4" w:space="0"/>
              <w:left w:val="single" w:color="auto" w:sz="4" w:space="0"/>
              <w:bottom w:val="single" w:color="auto" w:sz="4" w:space="0"/>
              <w:right w:val="single" w:color="auto" w:sz="4" w:space="0"/>
            </w:tcBorders>
            <w:vAlign w:val="center"/>
          </w:tcPr>
          <w:p w14:paraId="01103BF7">
            <w:pPr>
              <w:tabs>
                <w:tab w:val="left" w:pos="480"/>
              </w:tabs>
              <w:jc w:val="center"/>
              <w:rPr>
                <w:rFonts w:ascii="仿宋_GB2312" w:hAnsi="仿宋_GB2312" w:eastAsia="仿宋_GB2312" w:cs="仿宋_GB2312"/>
                <w:sz w:val="24"/>
              </w:rPr>
            </w:pPr>
            <w:r>
              <w:rPr>
                <w:rFonts w:hint="eastAsia" w:ascii="仿宋_GB2312" w:hAnsi="仿宋_GB2312" w:eastAsia="仿宋_GB2312" w:cs="仿宋_GB2312"/>
                <w:sz w:val="24"/>
              </w:rPr>
              <w:t>生产厂家</w:t>
            </w:r>
          </w:p>
        </w:tc>
        <w:tc>
          <w:tcPr>
            <w:tcW w:w="433" w:type="pct"/>
            <w:tcBorders>
              <w:top w:val="single" w:color="auto" w:sz="4" w:space="0"/>
              <w:left w:val="single" w:color="auto" w:sz="4" w:space="0"/>
              <w:bottom w:val="single" w:color="auto" w:sz="4" w:space="0"/>
              <w:right w:val="single" w:color="auto" w:sz="4" w:space="0"/>
            </w:tcBorders>
            <w:vAlign w:val="center"/>
          </w:tcPr>
          <w:p w14:paraId="10744551">
            <w:pPr>
              <w:tabs>
                <w:tab w:val="left" w:pos="480"/>
              </w:tabs>
              <w:jc w:val="center"/>
              <w:rPr>
                <w:rFonts w:ascii="仿宋_GB2312" w:hAnsi="仿宋_GB2312" w:eastAsia="仿宋_GB2312" w:cs="仿宋_GB2312"/>
                <w:sz w:val="24"/>
              </w:rPr>
            </w:pPr>
            <w:r>
              <w:rPr>
                <w:rFonts w:hint="eastAsia" w:ascii="仿宋_GB2312" w:hAnsi="仿宋_GB2312" w:eastAsia="仿宋_GB2312" w:cs="仿宋_GB2312"/>
                <w:sz w:val="24"/>
              </w:rPr>
              <w:t>单位</w:t>
            </w:r>
          </w:p>
        </w:tc>
        <w:tc>
          <w:tcPr>
            <w:tcW w:w="400" w:type="pct"/>
            <w:tcBorders>
              <w:top w:val="single" w:color="auto" w:sz="4" w:space="0"/>
              <w:left w:val="single" w:color="auto" w:sz="4" w:space="0"/>
              <w:bottom w:val="single" w:color="auto" w:sz="4" w:space="0"/>
              <w:right w:val="single" w:color="auto" w:sz="4" w:space="0"/>
            </w:tcBorders>
            <w:vAlign w:val="center"/>
          </w:tcPr>
          <w:p w14:paraId="5CFE03E2">
            <w:pPr>
              <w:tabs>
                <w:tab w:val="left" w:pos="480"/>
              </w:tabs>
              <w:jc w:val="center"/>
              <w:rPr>
                <w:rFonts w:ascii="仿宋_GB2312" w:hAnsi="仿宋_GB2312" w:eastAsia="仿宋_GB2312" w:cs="仿宋_GB2312"/>
                <w:sz w:val="24"/>
              </w:rPr>
            </w:pPr>
            <w:r>
              <w:rPr>
                <w:rFonts w:hint="eastAsia" w:ascii="仿宋_GB2312" w:hAnsi="仿宋_GB2312" w:eastAsia="仿宋_GB2312" w:cs="仿宋_GB2312"/>
                <w:sz w:val="24"/>
              </w:rPr>
              <w:t>数量</w:t>
            </w:r>
          </w:p>
        </w:tc>
        <w:tc>
          <w:tcPr>
            <w:tcW w:w="503" w:type="pct"/>
            <w:tcBorders>
              <w:top w:val="single" w:color="auto" w:sz="4" w:space="0"/>
              <w:left w:val="single" w:color="auto" w:sz="4" w:space="0"/>
              <w:bottom w:val="single" w:color="auto" w:sz="4" w:space="0"/>
              <w:right w:val="single" w:color="auto" w:sz="4" w:space="0"/>
            </w:tcBorders>
            <w:vAlign w:val="center"/>
          </w:tcPr>
          <w:p w14:paraId="288E0A22">
            <w:pPr>
              <w:tabs>
                <w:tab w:val="left" w:pos="480"/>
              </w:tabs>
              <w:jc w:val="center"/>
              <w:rPr>
                <w:rFonts w:ascii="仿宋_GB2312" w:hAnsi="仿宋_GB2312" w:eastAsia="仿宋_GB2312" w:cs="仿宋_GB2312"/>
                <w:sz w:val="24"/>
              </w:rPr>
            </w:pPr>
            <w:r>
              <w:rPr>
                <w:rFonts w:hint="eastAsia" w:ascii="仿宋_GB2312" w:hAnsi="仿宋_GB2312" w:eastAsia="仿宋_GB2312" w:cs="仿宋_GB2312"/>
                <w:sz w:val="24"/>
              </w:rPr>
              <w:t>单价（元）</w:t>
            </w:r>
          </w:p>
        </w:tc>
        <w:tc>
          <w:tcPr>
            <w:tcW w:w="563" w:type="pct"/>
            <w:tcBorders>
              <w:top w:val="single" w:color="auto" w:sz="4" w:space="0"/>
              <w:left w:val="single" w:color="auto" w:sz="4" w:space="0"/>
              <w:bottom w:val="single" w:color="auto" w:sz="4" w:space="0"/>
              <w:right w:val="single" w:color="auto" w:sz="4" w:space="0"/>
            </w:tcBorders>
            <w:vAlign w:val="center"/>
          </w:tcPr>
          <w:p w14:paraId="1C160877">
            <w:pPr>
              <w:tabs>
                <w:tab w:val="left" w:pos="480"/>
              </w:tabs>
              <w:jc w:val="center"/>
              <w:rPr>
                <w:rFonts w:ascii="仿宋_GB2312" w:hAnsi="仿宋_GB2312" w:eastAsia="仿宋_GB2312" w:cs="仿宋_GB2312"/>
                <w:sz w:val="24"/>
              </w:rPr>
            </w:pPr>
            <w:r>
              <w:rPr>
                <w:rFonts w:hint="eastAsia" w:ascii="仿宋_GB2312" w:hAnsi="仿宋_GB2312" w:eastAsia="仿宋_GB2312" w:cs="仿宋_GB2312"/>
                <w:sz w:val="24"/>
              </w:rPr>
              <w:t>总价（元）</w:t>
            </w:r>
          </w:p>
        </w:tc>
        <w:tc>
          <w:tcPr>
            <w:tcW w:w="394" w:type="pct"/>
            <w:tcBorders>
              <w:top w:val="single" w:color="auto" w:sz="4" w:space="0"/>
              <w:left w:val="single" w:color="auto" w:sz="4" w:space="0"/>
              <w:bottom w:val="single" w:color="auto" w:sz="4" w:space="0"/>
              <w:right w:val="single" w:color="auto" w:sz="4" w:space="0"/>
            </w:tcBorders>
            <w:vAlign w:val="center"/>
          </w:tcPr>
          <w:p w14:paraId="384E5A16">
            <w:pPr>
              <w:tabs>
                <w:tab w:val="left" w:pos="480"/>
              </w:tabs>
              <w:jc w:val="center"/>
              <w:rPr>
                <w:rFonts w:ascii="仿宋_GB2312" w:hAnsi="仿宋_GB2312" w:eastAsia="仿宋_GB2312" w:cs="仿宋_GB2312"/>
                <w:sz w:val="24"/>
              </w:rPr>
            </w:pPr>
            <w:r>
              <w:rPr>
                <w:rFonts w:hint="eastAsia" w:ascii="仿宋_GB2312" w:hAnsi="仿宋_GB2312" w:eastAsia="仿宋_GB2312" w:cs="仿宋_GB2312"/>
                <w:sz w:val="24"/>
              </w:rPr>
              <w:t>备注</w:t>
            </w:r>
          </w:p>
        </w:tc>
      </w:tr>
      <w:tr w14:paraId="6733B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79066591">
            <w:pPr>
              <w:tabs>
                <w:tab w:val="left" w:pos="480"/>
              </w:tabs>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597" w:type="pct"/>
            <w:tcBorders>
              <w:top w:val="single" w:color="auto" w:sz="4" w:space="0"/>
              <w:left w:val="single" w:color="auto" w:sz="4" w:space="0"/>
              <w:bottom w:val="single" w:color="auto" w:sz="4" w:space="0"/>
              <w:right w:val="single" w:color="auto" w:sz="4" w:space="0"/>
            </w:tcBorders>
            <w:vAlign w:val="center"/>
          </w:tcPr>
          <w:p w14:paraId="3DC8E14C">
            <w:pPr>
              <w:tabs>
                <w:tab w:val="left" w:pos="480"/>
              </w:tabs>
              <w:jc w:val="center"/>
              <w:rPr>
                <w:rFonts w:ascii="仿宋_GB2312" w:hAnsi="仿宋_GB2312" w:eastAsia="仿宋_GB2312" w:cs="仿宋_GB2312"/>
                <w:sz w:val="24"/>
              </w:rPr>
            </w:pPr>
          </w:p>
        </w:tc>
        <w:tc>
          <w:tcPr>
            <w:tcW w:w="668" w:type="pct"/>
            <w:tcBorders>
              <w:top w:val="single" w:color="auto" w:sz="4" w:space="0"/>
              <w:left w:val="single" w:color="auto" w:sz="4" w:space="0"/>
              <w:bottom w:val="single" w:color="auto" w:sz="4" w:space="0"/>
              <w:right w:val="single" w:color="auto" w:sz="4" w:space="0"/>
            </w:tcBorders>
            <w:vAlign w:val="center"/>
          </w:tcPr>
          <w:p w14:paraId="5141C9A7">
            <w:pPr>
              <w:tabs>
                <w:tab w:val="left" w:pos="480"/>
              </w:tabs>
              <w:jc w:val="center"/>
              <w:rPr>
                <w:rFonts w:ascii="仿宋_GB2312" w:hAnsi="仿宋_GB2312" w:eastAsia="仿宋_GB2312" w:cs="仿宋_GB2312"/>
                <w:sz w:val="24"/>
              </w:rPr>
            </w:pPr>
          </w:p>
        </w:tc>
        <w:tc>
          <w:tcPr>
            <w:tcW w:w="436" w:type="pct"/>
            <w:tcBorders>
              <w:top w:val="single" w:color="auto" w:sz="4" w:space="0"/>
              <w:left w:val="single" w:color="auto" w:sz="4" w:space="0"/>
              <w:bottom w:val="single" w:color="auto" w:sz="4" w:space="0"/>
              <w:right w:val="single" w:color="auto" w:sz="4" w:space="0"/>
            </w:tcBorders>
            <w:vAlign w:val="center"/>
          </w:tcPr>
          <w:p w14:paraId="7BB51A12">
            <w:pPr>
              <w:tabs>
                <w:tab w:val="left" w:pos="480"/>
              </w:tabs>
              <w:jc w:val="center"/>
              <w:rPr>
                <w:rFonts w:ascii="仿宋_GB2312" w:hAnsi="仿宋_GB2312" w:eastAsia="仿宋_GB2312" w:cs="仿宋_GB2312"/>
                <w:sz w:val="24"/>
              </w:rPr>
            </w:pPr>
          </w:p>
        </w:tc>
        <w:tc>
          <w:tcPr>
            <w:tcW w:w="622" w:type="pct"/>
            <w:tcBorders>
              <w:top w:val="single" w:color="auto" w:sz="4" w:space="0"/>
              <w:left w:val="single" w:color="auto" w:sz="4" w:space="0"/>
              <w:bottom w:val="single" w:color="auto" w:sz="4" w:space="0"/>
              <w:right w:val="single" w:color="auto" w:sz="4" w:space="0"/>
            </w:tcBorders>
            <w:vAlign w:val="center"/>
          </w:tcPr>
          <w:p w14:paraId="23613A4D">
            <w:pPr>
              <w:tabs>
                <w:tab w:val="left" w:pos="480"/>
              </w:tabs>
              <w:jc w:val="center"/>
              <w:rPr>
                <w:rFonts w:ascii="仿宋_GB2312" w:hAnsi="仿宋_GB2312" w:eastAsia="仿宋_GB2312" w:cs="仿宋_GB2312"/>
                <w:sz w:val="24"/>
              </w:rPr>
            </w:pPr>
          </w:p>
        </w:tc>
        <w:tc>
          <w:tcPr>
            <w:tcW w:w="433" w:type="pct"/>
            <w:tcBorders>
              <w:top w:val="single" w:color="auto" w:sz="4" w:space="0"/>
              <w:left w:val="single" w:color="auto" w:sz="4" w:space="0"/>
              <w:bottom w:val="single" w:color="auto" w:sz="4" w:space="0"/>
              <w:right w:val="single" w:color="auto" w:sz="4" w:space="0"/>
            </w:tcBorders>
            <w:vAlign w:val="center"/>
          </w:tcPr>
          <w:p w14:paraId="4D5015C6">
            <w:pPr>
              <w:tabs>
                <w:tab w:val="left" w:pos="480"/>
              </w:tabs>
              <w:jc w:val="center"/>
              <w:rPr>
                <w:rFonts w:ascii="仿宋_GB2312" w:hAnsi="仿宋_GB2312" w:eastAsia="仿宋_GB2312" w:cs="仿宋_GB2312"/>
                <w:sz w:val="24"/>
              </w:rPr>
            </w:pPr>
          </w:p>
        </w:tc>
        <w:tc>
          <w:tcPr>
            <w:tcW w:w="400" w:type="pct"/>
            <w:tcBorders>
              <w:top w:val="single" w:color="auto" w:sz="4" w:space="0"/>
              <w:left w:val="single" w:color="auto" w:sz="4" w:space="0"/>
              <w:bottom w:val="single" w:color="auto" w:sz="4" w:space="0"/>
              <w:right w:val="single" w:color="auto" w:sz="4" w:space="0"/>
            </w:tcBorders>
            <w:vAlign w:val="center"/>
          </w:tcPr>
          <w:p w14:paraId="58C5D512">
            <w:pPr>
              <w:tabs>
                <w:tab w:val="left" w:pos="480"/>
              </w:tabs>
              <w:jc w:val="center"/>
              <w:rPr>
                <w:rFonts w:ascii="仿宋_GB2312" w:hAnsi="仿宋_GB2312" w:eastAsia="仿宋_GB2312" w:cs="仿宋_GB2312"/>
                <w:sz w:val="24"/>
              </w:rPr>
            </w:pPr>
          </w:p>
        </w:tc>
        <w:tc>
          <w:tcPr>
            <w:tcW w:w="503" w:type="pct"/>
            <w:tcBorders>
              <w:top w:val="single" w:color="auto" w:sz="4" w:space="0"/>
              <w:left w:val="single" w:color="auto" w:sz="4" w:space="0"/>
              <w:bottom w:val="single" w:color="auto" w:sz="4" w:space="0"/>
              <w:right w:val="single" w:color="auto" w:sz="4" w:space="0"/>
            </w:tcBorders>
            <w:vAlign w:val="center"/>
          </w:tcPr>
          <w:p w14:paraId="32B2A84D">
            <w:pPr>
              <w:tabs>
                <w:tab w:val="left" w:pos="480"/>
              </w:tabs>
              <w:jc w:val="center"/>
              <w:rPr>
                <w:rFonts w:ascii="仿宋_GB2312" w:hAnsi="仿宋_GB2312" w:eastAsia="仿宋_GB2312" w:cs="仿宋_GB2312"/>
                <w:sz w:val="24"/>
              </w:rPr>
            </w:pPr>
          </w:p>
        </w:tc>
        <w:tc>
          <w:tcPr>
            <w:tcW w:w="563" w:type="pct"/>
            <w:tcBorders>
              <w:top w:val="single" w:color="auto" w:sz="4" w:space="0"/>
              <w:left w:val="single" w:color="auto" w:sz="4" w:space="0"/>
              <w:bottom w:val="single" w:color="auto" w:sz="4" w:space="0"/>
              <w:right w:val="single" w:color="auto" w:sz="4" w:space="0"/>
            </w:tcBorders>
            <w:vAlign w:val="center"/>
          </w:tcPr>
          <w:p w14:paraId="546229EB">
            <w:pPr>
              <w:tabs>
                <w:tab w:val="left" w:pos="480"/>
              </w:tabs>
              <w:jc w:val="center"/>
              <w:rPr>
                <w:rFonts w:ascii="仿宋_GB2312" w:hAnsi="仿宋_GB2312" w:eastAsia="仿宋_GB2312" w:cs="仿宋_GB2312"/>
                <w:sz w:val="24"/>
              </w:rPr>
            </w:pPr>
          </w:p>
        </w:tc>
        <w:tc>
          <w:tcPr>
            <w:tcW w:w="394" w:type="pct"/>
            <w:tcBorders>
              <w:top w:val="single" w:color="auto" w:sz="4" w:space="0"/>
              <w:left w:val="single" w:color="auto" w:sz="4" w:space="0"/>
              <w:bottom w:val="single" w:color="auto" w:sz="4" w:space="0"/>
              <w:right w:val="single" w:color="auto" w:sz="4" w:space="0"/>
            </w:tcBorders>
            <w:vAlign w:val="center"/>
          </w:tcPr>
          <w:p w14:paraId="09E68174">
            <w:pPr>
              <w:tabs>
                <w:tab w:val="left" w:pos="480"/>
              </w:tabs>
              <w:jc w:val="center"/>
              <w:rPr>
                <w:rFonts w:ascii="仿宋_GB2312" w:hAnsi="仿宋_GB2312" w:eastAsia="仿宋_GB2312" w:cs="仿宋_GB2312"/>
                <w:sz w:val="24"/>
              </w:rPr>
            </w:pPr>
          </w:p>
        </w:tc>
      </w:tr>
      <w:tr w14:paraId="095BB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16068258">
            <w:pPr>
              <w:tabs>
                <w:tab w:val="left" w:pos="480"/>
              </w:tabs>
              <w:jc w:val="center"/>
              <w:rPr>
                <w:rFonts w:ascii="仿宋_GB2312" w:hAnsi="仿宋_GB2312" w:eastAsia="仿宋_GB2312" w:cs="仿宋_GB2312"/>
                <w:sz w:val="24"/>
              </w:rPr>
            </w:pPr>
            <w:r>
              <w:rPr>
                <w:rFonts w:hint="eastAsia" w:ascii="仿宋_GB2312" w:hAnsi="仿宋_GB2312" w:eastAsia="仿宋_GB2312" w:cs="仿宋_GB2312"/>
                <w:sz w:val="24"/>
              </w:rPr>
              <w:t>2</w:t>
            </w:r>
          </w:p>
        </w:tc>
        <w:tc>
          <w:tcPr>
            <w:tcW w:w="597" w:type="pct"/>
            <w:tcBorders>
              <w:top w:val="single" w:color="auto" w:sz="4" w:space="0"/>
              <w:left w:val="single" w:color="auto" w:sz="4" w:space="0"/>
              <w:bottom w:val="single" w:color="auto" w:sz="4" w:space="0"/>
              <w:right w:val="single" w:color="auto" w:sz="4" w:space="0"/>
            </w:tcBorders>
            <w:vAlign w:val="center"/>
          </w:tcPr>
          <w:p w14:paraId="7A8ADFFF">
            <w:pPr>
              <w:tabs>
                <w:tab w:val="left" w:pos="480"/>
              </w:tabs>
              <w:jc w:val="center"/>
              <w:rPr>
                <w:rFonts w:ascii="仿宋_GB2312" w:hAnsi="仿宋_GB2312" w:eastAsia="仿宋_GB2312" w:cs="仿宋_GB2312"/>
                <w:sz w:val="24"/>
              </w:rPr>
            </w:pPr>
          </w:p>
        </w:tc>
        <w:tc>
          <w:tcPr>
            <w:tcW w:w="668" w:type="pct"/>
            <w:tcBorders>
              <w:top w:val="single" w:color="auto" w:sz="4" w:space="0"/>
              <w:left w:val="single" w:color="auto" w:sz="4" w:space="0"/>
              <w:bottom w:val="single" w:color="auto" w:sz="4" w:space="0"/>
              <w:right w:val="single" w:color="auto" w:sz="4" w:space="0"/>
            </w:tcBorders>
            <w:vAlign w:val="center"/>
          </w:tcPr>
          <w:p w14:paraId="6E67F918">
            <w:pPr>
              <w:tabs>
                <w:tab w:val="left" w:pos="480"/>
              </w:tabs>
              <w:jc w:val="center"/>
              <w:rPr>
                <w:rFonts w:ascii="仿宋_GB2312" w:hAnsi="仿宋_GB2312" w:eastAsia="仿宋_GB2312" w:cs="仿宋_GB2312"/>
                <w:sz w:val="24"/>
              </w:rPr>
            </w:pPr>
          </w:p>
        </w:tc>
        <w:tc>
          <w:tcPr>
            <w:tcW w:w="436" w:type="pct"/>
            <w:tcBorders>
              <w:top w:val="single" w:color="auto" w:sz="4" w:space="0"/>
              <w:left w:val="single" w:color="auto" w:sz="4" w:space="0"/>
              <w:bottom w:val="single" w:color="auto" w:sz="4" w:space="0"/>
              <w:right w:val="single" w:color="auto" w:sz="4" w:space="0"/>
            </w:tcBorders>
            <w:vAlign w:val="center"/>
          </w:tcPr>
          <w:p w14:paraId="2ACA7D33">
            <w:pPr>
              <w:tabs>
                <w:tab w:val="left" w:pos="480"/>
              </w:tabs>
              <w:jc w:val="center"/>
              <w:rPr>
                <w:rFonts w:ascii="仿宋_GB2312" w:hAnsi="仿宋_GB2312" w:eastAsia="仿宋_GB2312" w:cs="仿宋_GB2312"/>
                <w:sz w:val="24"/>
              </w:rPr>
            </w:pPr>
          </w:p>
        </w:tc>
        <w:tc>
          <w:tcPr>
            <w:tcW w:w="622" w:type="pct"/>
            <w:tcBorders>
              <w:top w:val="single" w:color="auto" w:sz="4" w:space="0"/>
              <w:left w:val="single" w:color="auto" w:sz="4" w:space="0"/>
              <w:bottom w:val="single" w:color="auto" w:sz="4" w:space="0"/>
              <w:right w:val="single" w:color="auto" w:sz="4" w:space="0"/>
            </w:tcBorders>
            <w:vAlign w:val="center"/>
          </w:tcPr>
          <w:p w14:paraId="5F0DC1DE">
            <w:pPr>
              <w:tabs>
                <w:tab w:val="left" w:pos="480"/>
              </w:tabs>
              <w:jc w:val="center"/>
              <w:rPr>
                <w:rFonts w:ascii="仿宋_GB2312" w:hAnsi="仿宋_GB2312" w:eastAsia="仿宋_GB2312" w:cs="仿宋_GB2312"/>
                <w:sz w:val="24"/>
              </w:rPr>
            </w:pPr>
          </w:p>
        </w:tc>
        <w:tc>
          <w:tcPr>
            <w:tcW w:w="433" w:type="pct"/>
            <w:tcBorders>
              <w:top w:val="single" w:color="auto" w:sz="4" w:space="0"/>
              <w:left w:val="single" w:color="auto" w:sz="4" w:space="0"/>
              <w:bottom w:val="single" w:color="auto" w:sz="4" w:space="0"/>
              <w:right w:val="single" w:color="auto" w:sz="4" w:space="0"/>
            </w:tcBorders>
            <w:vAlign w:val="center"/>
          </w:tcPr>
          <w:p w14:paraId="0CE19451">
            <w:pPr>
              <w:tabs>
                <w:tab w:val="left" w:pos="480"/>
              </w:tabs>
              <w:jc w:val="center"/>
              <w:rPr>
                <w:rFonts w:ascii="仿宋_GB2312" w:hAnsi="仿宋_GB2312" w:eastAsia="仿宋_GB2312" w:cs="仿宋_GB2312"/>
                <w:sz w:val="24"/>
              </w:rPr>
            </w:pPr>
          </w:p>
        </w:tc>
        <w:tc>
          <w:tcPr>
            <w:tcW w:w="400" w:type="pct"/>
            <w:tcBorders>
              <w:top w:val="single" w:color="auto" w:sz="4" w:space="0"/>
              <w:left w:val="single" w:color="auto" w:sz="4" w:space="0"/>
              <w:bottom w:val="single" w:color="auto" w:sz="4" w:space="0"/>
              <w:right w:val="single" w:color="auto" w:sz="4" w:space="0"/>
            </w:tcBorders>
            <w:vAlign w:val="center"/>
          </w:tcPr>
          <w:p w14:paraId="62CEF415">
            <w:pPr>
              <w:tabs>
                <w:tab w:val="left" w:pos="480"/>
              </w:tabs>
              <w:jc w:val="center"/>
              <w:rPr>
                <w:rFonts w:ascii="仿宋_GB2312" w:hAnsi="仿宋_GB2312" w:eastAsia="仿宋_GB2312" w:cs="仿宋_GB2312"/>
                <w:sz w:val="24"/>
              </w:rPr>
            </w:pPr>
          </w:p>
        </w:tc>
        <w:tc>
          <w:tcPr>
            <w:tcW w:w="503" w:type="pct"/>
            <w:tcBorders>
              <w:top w:val="single" w:color="auto" w:sz="4" w:space="0"/>
              <w:left w:val="single" w:color="auto" w:sz="4" w:space="0"/>
              <w:bottom w:val="single" w:color="auto" w:sz="4" w:space="0"/>
              <w:right w:val="single" w:color="auto" w:sz="4" w:space="0"/>
            </w:tcBorders>
            <w:vAlign w:val="center"/>
          </w:tcPr>
          <w:p w14:paraId="44FEE213">
            <w:pPr>
              <w:tabs>
                <w:tab w:val="left" w:pos="480"/>
              </w:tabs>
              <w:jc w:val="center"/>
              <w:rPr>
                <w:rFonts w:ascii="仿宋_GB2312" w:hAnsi="仿宋_GB2312" w:eastAsia="仿宋_GB2312" w:cs="仿宋_GB2312"/>
                <w:sz w:val="24"/>
              </w:rPr>
            </w:pPr>
          </w:p>
        </w:tc>
        <w:tc>
          <w:tcPr>
            <w:tcW w:w="563" w:type="pct"/>
            <w:tcBorders>
              <w:top w:val="single" w:color="auto" w:sz="4" w:space="0"/>
              <w:left w:val="single" w:color="auto" w:sz="4" w:space="0"/>
              <w:bottom w:val="single" w:color="auto" w:sz="4" w:space="0"/>
              <w:right w:val="single" w:color="auto" w:sz="4" w:space="0"/>
            </w:tcBorders>
            <w:vAlign w:val="center"/>
          </w:tcPr>
          <w:p w14:paraId="7602BDA2">
            <w:pPr>
              <w:tabs>
                <w:tab w:val="left" w:pos="480"/>
              </w:tabs>
              <w:jc w:val="center"/>
              <w:rPr>
                <w:rFonts w:ascii="仿宋_GB2312" w:hAnsi="仿宋_GB2312" w:eastAsia="仿宋_GB2312" w:cs="仿宋_GB2312"/>
                <w:sz w:val="24"/>
              </w:rPr>
            </w:pPr>
          </w:p>
        </w:tc>
        <w:tc>
          <w:tcPr>
            <w:tcW w:w="394" w:type="pct"/>
            <w:tcBorders>
              <w:top w:val="single" w:color="auto" w:sz="4" w:space="0"/>
              <w:left w:val="single" w:color="auto" w:sz="4" w:space="0"/>
              <w:bottom w:val="single" w:color="auto" w:sz="4" w:space="0"/>
              <w:right w:val="single" w:color="auto" w:sz="4" w:space="0"/>
            </w:tcBorders>
            <w:vAlign w:val="center"/>
          </w:tcPr>
          <w:p w14:paraId="2F141778">
            <w:pPr>
              <w:tabs>
                <w:tab w:val="left" w:pos="480"/>
              </w:tabs>
              <w:jc w:val="center"/>
              <w:rPr>
                <w:rFonts w:ascii="仿宋_GB2312" w:hAnsi="仿宋_GB2312" w:eastAsia="仿宋_GB2312" w:cs="仿宋_GB2312"/>
                <w:sz w:val="24"/>
              </w:rPr>
            </w:pPr>
          </w:p>
        </w:tc>
      </w:tr>
      <w:tr w14:paraId="0FB73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000" w:type="pct"/>
            <w:gridSpan w:val="10"/>
            <w:tcBorders>
              <w:top w:val="single" w:color="auto" w:sz="4" w:space="0"/>
              <w:left w:val="single" w:color="auto" w:sz="4" w:space="0"/>
              <w:bottom w:val="single" w:color="auto" w:sz="4" w:space="0"/>
              <w:right w:val="single" w:color="auto" w:sz="4" w:space="0"/>
            </w:tcBorders>
            <w:vAlign w:val="center"/>
          </w:tcPr>
          <w:p w14:paraId="4C9CF2DA">
            <w:pPr>
              <w:tabs>
                <w:tab w:val="left" w:pos="480"/>
              </w:tabs>
              <w:rPr>
                <w:rFonts w:ascii="仿宋_GB2312" w:hAnsi="仿宋_GB2312" w:eastAsia="仿宋_GB2312" w:cs="仿宋_GB2312"/>
                <w:sz w:val="24"/>
              </w:rPr>
            </w:pPr>
            <w:r>
              <w:rPr>
                <w:rFonts w:hint="eastAsia" w:ascii="仿宋_GB2312" w:hAnsi="仿宋_GB2312" w:eastAsia="仿宋_GB2312" w:cs="仿宋_GB2312"/>
                <w:sz w:val="24"/>
              </w:rPr>
              <w:t>合计：</w:t>
            </w:r>
            <w:r>
              <w:rPr>
                <w:rFonts w:hint="eastAsia" w:ascii="仿宋_GB2312" w:hAnsi="仿宋_GB2312" w:eastAsia="仿宋_GB2312" w:cs="仿宋_GB2312"/>
                <w:b/>
                <w:bCs/>
                <w:sz w:val="24"/>
              </w:rPr>
              <w:t>人民币（大写）：         元整  （¥:      元）</w:t>
            </w:r>
          </w:p>
        </w:tc>
      </w:tr>
    </w:tbl>
    <w:p w14:paraId="23A2B229">
      <w:pPr>
        <w:tabs>
          <w:tab w:val="left" w:pos="480"/>
        </w:tabs>
        <w:spacing w:line="300" w:lineRule="auto"/>
        <w:ind w:firstLine="482" w:firstLineChars="200"/>
        <w:rPr>
          <w:rFonts w:ascii="仿宋_GB2312" w:hAnsi="仿宋_GB2312" w:eastAsia="仿宋_GB2312" w:cs="仿宋_GB2312"/>
          <w:b/>
          <w:sz w:val="24"/>
        </w:rPr>
      </w:pPr>
      <w:r>
        <w:rPr>
          <w:rFonts w:hint="eastAsia" w:ascii="仿宋_GB2312" w:hAnsi="仿宋_GB2312" w:eastAsia="仿宋_GB2312" w:cs="仿宋_GB2312"/>
          <w:b/>
          <w:sz w:val="24"/>
        </w:rPr>
        <w:t>二、合同价款</w:t>
      </w:r>
    </w:p>
    <w:p w14:paraId="7768FEE4">
      <w:pPr>
        <w:tabs>
          <w:tab w:val="left" w:pos="480"/>
        </w:tabs>
        <w:spacing w:line="300" w:lineRule="auto"/>
        <w:ind w:firstLine="200"/>
        <w:rPr>
          <w:rFonts w:ascii="仿宋_GB2312" w:hAnsi="仿宋_GB2312" w:eastAsia="仿宋_GB2312" w:cs="仿宋_GB2312"/>
          <w:sz w:val="24"/>
        </w:rPr>
      </w:pPr>
      <w:r>
        <w:rPr>
          <w:rFonts w:hint="eastAsia" w:ascii="仿宋_GB2312" w:hAnsi="仿宋_GB2312" w:eastAsia="仿宋_GB2312" w:cs="仿宋_GB2312"/>
          <w:sz w:val="24"/>
        </w:rPr>
        <w:t>（一）合同总价款为人民币（大写）</w:t>
      </w:r>
      <w:r>
        <w:rPr>
          <w:rFonts w:hint="eastAsia" w:ascii="仿宋_GB2312" w:hAnsi="仿宋_GB2312" w:eastAsia="仿宋_GB2312" w:cs="仿宋_GB2312"/>
          <w:sz w:val="24"/>
          <w:u w:val="single"/>
        </w:rPr>
        <w:t>：        元整（¥          元）</w:t>
      </w:r>
      <w:r>
        <w:rPr>
          <w:rFonts w:hint="eastAsia" w:ascii="仿宋_GB2312" w:hAnsi="仿宋_GB2312" w:eastAsia="仿宋_GB2312" w:cs="仿宋_GB2312"/>
          <w:sz w:val="24"/>
        </w:rPr>
        <w:t>。</w:t>
      </w:r>
    </w:p>
    <w:p w14:paraId="3EFBBBAC">
      <w:pPr>
        <w:tabs>
          <w:tab w:val="left" w:pos="480"/>
        </w:tabs>
        <w:spacing w:line="300" w:lineRule="auto"/>
        <w:ind w:firstLine="200"/>
        <w:rPr>
          <w:rFonts w:ascii="仿宋_GB2312" w:hAnsi="仿宋_GB2312" w:eastAsia="仿宋_GB2312" w:cs="仿宋_GB2312"/>
          <w:sz w:val="24"/>
        </w:rPr>
      </w:pPr>
      <w:r>
        <w:rPr>
          <w:rFonts w:hint="eastAsia" w:ascii="仿宋_GB2312" w:hAnsi="仿宋_GB2312" w:eastAsia="仿宋_GB2312" w:cs="仿宋_GB2312"/>
          <w:sz w:val="24"/>
        </w:rPr>
        <w:t>（二）合同总价包括：货物费、运输费（含保险费）、装卸费、检测验收、税金（含关税）培训费、技术服务及其它费用。</w:t>
      </w:r>
    </w:p>
    <w:p w14:paraId="1D8DD65F">
      <w:pPr>
        <w:tabs>
          <w:tab w:val="left" w:pos="480"/>
        </w:tabs>
        <w:spacing w:line="300" w:lineRule="auto"/>
        <w:ind w:firstLine="200"/>
        <w:rPr>
          <w:rFonts w:ascii="仿宋_GB2312" w:hAnsi="仿宋_GB2312" w:eastAsia="仿宋_GB2312" w:cs="仿宋_GB2312"/>
          <w:sz w:val="24"/>
          <w:highlight w:val="none"/>
        </w:rPr>
      </w:pPr>
      <w:r>
        <w:rPr>
          <w:rFonts w:hint="eastAsia" w:ascii="仿宋_GB2312" w:hAnsi="仿宋_GB2312" w:eastAsia="仿宋_GB2312" w:cs="仿宋_GB2312"/>
          <w:sz w:val="24"/>
        </w:rPr>
        <w:t>（</w:t>
      </w:r>
      <w:r>
        <w:rPr>
          <w:rFonts w:hint="eastAsia" w:ascii="仿宋_GB2312" w:hAnsi="仿宋_GB2312" w:eastAsia="仿宋_GB2312" w:cs="仿宋_GB2312"/>
          <w:sz w:val="24"/>
          <w:highlight w:val="none"/>
        </w:rPr>
        <w:t>三）合同总价一次性包死，不受市场价格变化因素的影响。</w:t>
      </w:r>
    </w:p>
    <w:p w14:paraId="7EC93CAA">
      <w:pPr>
        <w:tabs>
          <w:tab w:val="left" w:pos="480"/>
        </w:tabs>
        <w:spacing w:line="300" w:lineRule="auto"/>
        <w:ind w:firstLine="482" w:firstLineChars="200"/>
        <w:rPr>
          <w:rFonts w:ascii="仿宋_GB2312" w:hAnsi="仿宋_GB2312" w:eastAsia="仿宋_GB2312" w:cs="仿宋_GB2312"/>
          <w:sz w:val="24"/>
          <w:highlight w:val="none"/>
        </w:rPr>
      </w:pPr>
      <w:r>
        <w:rPr>
          <w:rFonts w:hint="eastAsia" w:ascii="仿宋_GB2312" w:hAnsi="仿宋_GB2312" w:eastAsia="仿宋_GB2312" w:cs="仿宋_GB2312"/>
          <w:b/>
          <w:sz w:val="24"/>
          <w:highlight w:val="none"/>
        </w:rPr>
        <w:t>三、款项结算</w:t>
      </w:r>
    </w:p>
    <w:p w14:paraId="5B4E62FB">
      <w:pPr>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合同签订后，乙方须按其投标文件中响应的供货期按时交货并提供全额合规发票，保证“货票同行”。货物到达甲方指定地点，验收合格后，达到付款条件起30日内，支付合同金额的100%，即人民币（大写）：</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元整（¥</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元）。</w:t>
      </w:r>
    </w:p>
    <w:p w14:paraId="07430470">
      <w:pPr>
        <w:spacing w:line="300" w:lineRule="auto"/>
        <w:ind w:firstLine="482" w:firstLineChars="200"/>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四、交货条件：</w:t>
      </w:r>
    </w:p>
    <w:p w14:paraId="169AA093">
      <w:pPr>
        <w:tabs>
          <w:tab w:val="left" w:pos="480"/>
        </w:tabs>
        <w:spacing w:line="300" w:lineRule="auto"/>
        <w:ind w:firstLine="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（一）交货地点：西安市疾病预防控制中心指定地点。</w:t>
      </w:r>
    </w:p>
    <w:p w14:paraId="649995A2">
      <w:pPr>
        <w:tabs>
          <w:tab w:val="left" w:pos="480"/>
        </w:tabs>
        <w:spacing w:line="300" w:lineRule="auto"/>
        <w:ind w:firstLine="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（二）交货期：合同签订完毕，甲方下达供货通知后30天内完成供货及验收。</w:t>
      </w:r>
    </w:p>
    <w:p w14:paraId="263D284B">
      <w:pPr>
        <w:tabs>
          <w:tab w:val="left" w:pos="480"/>
        </w:tabs>
        <w:spacing w:line="300" w:lineRule="auto"/>
        <w:ind w:firstLine="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（三）有效期：自货物验收合格之日起计算,质保不少于12个月。</w:t>
      </w:r>
    </w:p>
    <w:p w14:paraId="79F4B156">
      <w:pPr>
        <w:tabs>
          <w:tab w:val="left" w:pos="480"/>
        </w:tabs>
        <w:spacing w:line="300" w:lineRule="auto"/>
        <w:ind w:firstLine="482" w:firstLineChars="200"/>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五、运输</w:t>
      </w:r>
    </w:p>
    <w:p w14:paraId="2BB921F5">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（一）运输由乙方负责，运杂费已包含在合同总价内，包括从货物供应地点至交货地点所含的运输费、装卸费、仓储费、保险费等。</w:t>
      </w:r>
    </w:p>
    <w:p w14:paraId="2CD0A760">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（二）运输方式由乙方自行选择，但必须保证按期交货。</w:t>
      </w:r>
    </w:p>
    <w:p w14:paraId="2EA6B95F">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（三）因运输产生的一切风险及质量问题均由乙方承担。</w:t>
      </w:r>
    </w:p>
    <w:p w14:paraId="060E0F98">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四）涉及的商品包装和快递包装，均应符合《商品包装政府采购需求标准（试行）》《快递包装政府采购需求标准（试行）》的要求，包装应适应于远距离运输、防潮、防震、防锈和防野蛮装卸，以确保货物安全无损运抵指定地点。</w:t>
      </w:r>
    </w:p>
    <w:p w14:paraId="41FBC1A4">
      <w:pPr>
        <w:tabs>
          <w:tab w:val="left" w:pos="480"/>
        </w:tabs>
        <w:spacing w:line="300" w:lineRule="auto"/>
        <w:ind w:firstLine="482" w:firstLineChars="200"/>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六、质量保证</w:t>
      </w:r>
    </w:p>
    <w:p w14:paraId="7046E85A">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乙方保证合同项下所供货物是合同规定厂家供货生产的，全新未使用过的，并完全符合合同规定的质量、规格等要求。提供的货物必须保证质量可靠，进货渠道正常，全面满足招标内容的要求，</w:t>
      </w:r>
      <w:r>
        <w:rPr>
          <w:rFonts w:hint="eastAsia" w:ascii="仿宋_GB2312" w:hAnsi="仿宋_GB2312" w:eastAsia="仿宋_GB2312" w:cs="仿宋_GB2312"/>
          <w:sz w:val="24"/>
          <w:highlight w:val="none"/>
          <w:lang w:eastAsia="zh-CN"/>
        </w:rPr>
        <w:t>磋商文件</w:t>
      </w:r>
      <w:r>
        <w:rPr>
          <w:rFonts w:hint="eastAsia" w:ascii="仿宋_GB2312" w:hAnsi="仿宋_GB2312" w:eastAsia="仿宋_GB2312" w:cs="仿宋_GB2312"/>
          <w:sz w:val="24"/>
          <w:highlight w:val="none"/>
        </w:rPr>
        <w:t>未明确要求的内容，乙方均按甲方的补充要求为准。所供货物工艺质量应严格按国家最新发布的规范标准执行，如发生质量问题由乙方承担全部责任。</w:t>
      </w:r>
    </w:p>
    <w:p w14:paraId="666C1A35">
      <w:pPr>
        <w:tabs>
          <w:tab w:val="left" w:pos="480"/>
        </w:tabs>
        <w:spacing w:line="300" w:lineRule="auto"/>
        <w:ind w:firstLine="482" w:firstLineChars="200"/>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七、售后服务</w:t>
      </w:r>
    </w:p>
    <w:p w14:paraId="00F33607">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乙方为甲方所供货物须提供以下售后服务：</w:t>
      </w:r>
    </w:p>
    <w:p w14:paraId="2C186DA7">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（一）自货物验收合格之日起计算,质保不少于12个月。</w:t>
      </w:r>
      <w:bookmarkStart w:id="0" w:name="_GoBack"/>
      <w:bookmarkEnd w:id="0"/>
      <w:r>
        <w:rPr>
          <w:rFonts w:hint="eastAsia" w:ascii="仿宋_GB2312" w:hAnsi="仿宋_GB2312" w:eastAsia="仿宋_GB2312" w:cs="仿宋_GB2312"/>
          <w:sz w:val="24"/>
          <w:highlight w:val="none"/>
        </w:rPr>
        <w:t>试剂在使用过程中，如有任何问题，保证2小时内答复，4小时内到达用户现场解决问题，如无法解决保证予以更换。在应急突发、节假日期间如遇急需试剂可24小时随时响应，2小时内将试剂送达用户现场，如遇夜间4小时内送达用户现场。</w:t>
      </w:r>
    </w:p>
    <w:p w14:paraId="4BB0317B">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（二）在质量保证期内，乙方对由于设计、工艺或材料的缺陷或运输、保存而产生的事故负责（负责解决并承担全部费用）。</w:t>
      </w:r>
    </w:p>
    <w:p w14:paraId="19715453">
      <w:pPr>
        <w:tabs>
          <w:tab w:val="left" w:pos="480"/>
        </w:tabs>
        <w:spacing w:line="300" w:lineRule="auto"/>
        <w:ind w:firstLine="482" w:firstLineChars="200"/>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八、技术与服务</w:t>
      </w:r>
    </w:p>
    <w:p w14:paraId="1818314C">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（一）技术资料：</w:t>
      </w:r>
    </w:p>
    <w:p w14:paraId="1B594962">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1.操作使用说明和保存条件。</w:t>
      </w:r>
    </w:p>
    <w:p w14:paraId="1761FBC3">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2.制造厂商的检验、测试报告、检验合格证书，质量保证书等文件须验收时一并提供。</w:t>
      </w:r>
    </w:p>
    <w:p w14:paraId="44D2E078">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3.货物验收标准      </w:t>
      </w:r>
    </w:p>
    <w:p w14:paraId="252A48D0">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4.使用说明书                </w:t>
      </w:r>
    </w:p>
    <w:p w14:paraId="5621C67D">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5.必须的其它技术资料。      </w:t>
      </w:r>
    </w:p>
    <w:p w14:paraId="5986D1DB">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6.合同中要求的其他文件资料</w:t>
      </w:r>
    </w:p>
    <w:p w14:paraId="63F02EE3">
      <w:pPr>
        <w:tabs>
          <w:tab w:val="left" w:pos="480"/>
        </w:tabs>
        <w:spacing w:line="300"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（二）服务承诺：以投标文件、澄清表（函）、合同和随货物的相关文件为准。</w:t>
      </w:r>
    </w:p>
    <w:p w14:paraId="6B7A7169">
      <w:pPr>
        <w:tabs>
          <w:tab w:val="left" w:pos="480"/>
        </w:tabs>
        <w:spacing w:line="300" w:lineRule="auto"/>
        <w:ind w:firstLine="482" w:firstLineChars="200"/>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九、验收</w:t>
      </w:r>
    </w:p>
    <w:p w14:paraId="203F4981">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highlight w:val="none"/>
        </w:rPr>
        <w:t>由甲方和乙方共同对货物进行验收。其内容包括确认货物的包装、产地、规格、型号和数量，对其货物技术指标、性能</w:t>
      </w:r>
      <w:r>
        <w:rPr>
          <w:rFonts w:hint="eastAsia" w:ascii="仿宋_GB2312" w:hAnsi="仿宋_GB2312" w:eastAsia="仿宋_GB2312" w:cs="仿宋_GB2312"/>
          <w:sz w:val="24"/>
        </w:rPr>
        <w:t>参数进行逐项核验。</w:t>
      </w:r>
    </w:p>
    <w:p w14:paraId="47AE7E0B">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1.验收货物的指标、性能参数通过验收达到合同要求，或出现甲方不能正常使用的情况，将视为验收不合格，乙方应及时更换或退货。</w:t>
      </w:r>
    </w:p>
    <w:p w14:paraId="7ACC91AA">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2.若发现乙方有弄虚作假的，故意或随意夸大货物技术性能，甲方除要求退货外，有权要求乙方赔偿甲方相应的损失。</w:t>
      </w:r>
    </w:p>
    <w:p w14:paraId="3FC8106A">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3.验收标准：按合同文件及澄清等技术指标进行验收。货物的各项指标均应符合验收标准及要求。</w:t>
      </w:r>
    </w:p>
    <w:p w14:paraId="38F0252F">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 xml:space="preserve">4.验收合格后，填写验收单，甲方签字后生效。                </w:t>
      </w:r>
    </w:p>
    <w:p w14:paraId="1D89F6DC">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 xml:space="preserve">5.验收依据：                                                    </w:t>
      </w:r>
    </w:p>
    <w:p w14:paraId="66512E2E">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 xml:space="preserve">5.1本合同文本：                                                                         </w:t>
      </w:r>
    </w:p>
    <w:p w14:paraId="6B96C1E8">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 xml:space="preserve">5.2国家和行业制定的相应的标准和规范。                          </w:t>
      </w:r>
    </w:p>
    <w:p w14:paraId="55215D56">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5.3验收清单（注明品名、数量、价格、规格型号、产地和生产厂家）。</w:t>
      </w:r>
    </w:p>
    <w:p w14:paraId="142F6D3A">
      <w:pPr>
        <w:tabs>
          <w:tab w:val="left" w:pos="480"/>
        </w:tabs>
        <w:spacing w:line="300" w:lineRule="auto"/>
        <w:ind w:firstLine="482" w:firstLineChars="200"/>
        <w:rPr>
          <w:rFonts w:ascii="仿宋_GB2312" w:hAnsi="仿宋_GB2312" w:eastAsia="仿宋_GB2312" w:cs="仿宋_GB2312"/>
          <w:b/>
          <w:bCs/>
          <w:sz w:val="24"/>
        </w:rPr>
      </w:pPr>
      <w:r>
        <w:rPr>
          <w:rFonts w:hint="eastAsia" w:ascii="仿宋_GB2312" w:hAnsi="仿宋_GB2312" w:eastAsia="仿宋_GB2312" w:cs="仿宋_GB2312"/>
          <w:b/>
          <w:bCs/>
          <w:sz w:val="24"/>
        </w:rPr>
        <w:t>十、违约责任</w:t>
      </w:r>
    </w:p>
    <w:p w14:paraId="2A860708">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（一）按《民法典》中的相关条款执行。</w:t>
      </w:r>
    </w:p>
    <w:p w14:paraId="5ECF59B4">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（二）未按合同要求提供货物或质量不能满足</w:t>
      </w:r>
      <w:r>
        <w:rPr>
          <w:rFonts w:hint="eastAsia" w:ascii="仿宋_GB2312" w:hAnsi="仿宋_GB2312" w:eastAsia="仿宋_GB2312" w:cs="仿宋_GB2312"/>
          <w:sz w:val="24"/>
          <w:lang w:eastAsia="zh-CN"/>
        </w:rPr>
        <w:t>磋商文件</w:t>
      </w:r>
      <w:r>
        <w:rPr>
          <w:rFonts w:hint="eastAsia" w:ascii="仿宋_GB2312" w:hAnsi="仿宋_GB2312" w:eastAsia="仿宋_GB2312" w:cs="仿宋_GB2312"/>
          <w:sz w:val="24"/>
        </w:rPr>
        <w:t>技术要求，在约定的条件下，乙方必须无条件更换，提高技术，完善质量，否则，甲方有权解除合同，解除合同书面通知书到达乙方之日视为合同已解除，并按以下两种方式追究乙方的违约责任：</w:t>
      </w:r>
    </w:p>
    <w:p w14:paraId="0DF43A87">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1.乙方赔偿甲方解除合同的全部损失（包括但不限于重新采购产生的费用、合同未履行导致货物不能按规划交付使用可能产生的由此造成的甲方对第三方的违约损失）；</w:t>
      </w:r>
    </w:p>
    <w:p w14:paraId="5FF6037E">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2.乙方支付甲方违约金，违约金计算方法：以合同总价为基数，支付甲方合同总价的30%为违约金。同时对乙方的违约行为报监管机构进行相应的处罚。</w:t>
      </w:r>
    </w:p>
    <w:p w14:paraId="65468392">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三）乙方不能按期交货，每延迟一天，应向甲方支付不能交货部分货款1‰的违约金。甲方有权从应付货款中扣除违约金。逾期交货超过20天，甲方有权单方解除合同，自甲方合同解除通知送达之日，合同解除生效，乙方应按合同价的30%向甲方支付违约金。</w:t>
      </w:r>
    </w:p>
    <w:p w14:paraId="6DA324DB">
      <w:pPr>
        <w:tabs>
          <w:tab w:val="left" w:pos="480"/>
        </w:tabs>
        <w:spacing w:line="300" w:lineRule="auto"/>
        <w:ind w:firstLine="482" w:firstLineChars="200"/>
        <w:rPr>
          <w:rFonts w:ascii="仿宋_GB2312" w:hAnsi="仿宋_GB2312" w:eastAsia="仿宋_GB2312" w:cs="仿宋_GB2312"/>
          <w:b/>
          <w:bCs/>
          <w:sz w:val="24"/>
        </w:rPr>
      </w:pPr>
      <w:r>
        <w:rPr>
          <w:rFonts w:hint="eastAsia" w:ascii="仿宋_GB2312" w:hAnsi="仿宋_GB2312" w:eastAsia="仿宋_GB2312" w:cs="仿宋_GB2312"/>
          <w:b/>
          <w:bCs/>
          <w:sz w:val="24"/>
        </w:rPr>
        <w:t>十一、合同争议解决的方式</w:t>
      </w:r>
    </w:p>
    <w:p w14:paraId="396C1C02">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本合同在履行过程中发生的争议，由甲、乙双方当事人协商解决，协商不成的依法向甲方所在地人民法院起诉。</w:t>
      </w:r>
    </w:p>
    <w:p w14:paraId="6BDCE681">
      <w:pPr>
        <w:tabs>
          <w:tab w:val="left" w:pos="480"/>
        </w:tabs>
        <w:spacing w:line="300" w:lineRule="auto"/>
        <w:ind w:firstLine="482" w:firstLineChars="200"/>
        <w:rPr>
          <w:rFonts w:ascii="仿宋_GB2312" w:hAnsi="仿宋_GB2312" w:eastAsia="仿宋_GB2312" w:cs="仿宋_GB2312"/>
          <w:b/>
          <w:bCs/>
          <w:sz w:val="24"/>
        </w:rPr>
      </w:pPr>
      <w:r>
        <w:rPr>
          <w:rFonts w:hint="eastAsia" w:ascii="仿宋_GB2312" w:hAnsi="仿宋_GB2312" w:eastAsia="仿宋_GB2312" w:cs="仿宋_GB2312"/>
          <w:b/>
          <w:bCs/>
          <w:sz w:val="24"/>
        </w:rPr>
        <w:t>十二、合同生效</w:t>
      </w:r>
    </w:p>
    <w:p w14:paraId="5713C693">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本合同一式柒份，甲方伍份，乙方壹份，鉴证方壹份，本合同经甲方、乙方和鉴证方签字盖章后生效，质保期结束后，自动终止（但合同的服务承诺除外）。</w:t>
      </w:r>
    </w:p>
    <w:p w14:paraId="0CAA40E4">
      <w:pPr>
        <w:tabs>
          <w:tab w:val="left" w:pos="480"/>
        </w:tabs>
        <w:spacing w:line="300" w:lineRule="auto"/>
        <w:ind w:firstLine="482" w:firstLineChars="200"/>
        <w:rPr>
          <w:rFonts w:ascii="仿宋_GB2312" w:hAnsi="仿宋_GB2312" w:eastAsia="仿宋_GB2312" w:cs="仿宋_GB2312"/>
          <w:b/>
          <w:bCs/>
          <w:sz w:val="24"/>
        </w:rPr>
      </w:pPr>
      <w:r>
        <w:rPr>
          <w:rFonts w:hint="eastAsia" w:ascii="仿宋_GB2312" w:hAnsi="仿宋_GB2312" w:eastAsia="仿宋_GB2312" w:cs="仿宋_GB2312"/>
          <w:b/>
          <w:bCs/>
          <w:sz w:val="24"/>
        </w:rPr>
        <w:t>十三、其他事项</w:t>
      </w:r>
    </w:p>
    <w:p w14:paraId="27B4C0F4">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（一）西安市财政局政府采购管理处在合同的履行期间以及履行期后，可以随时检查项目的执行情况，对采购内容、标准进行调查核实，并对发现的问题进行处理。</w:t>
      </w:r>
    </w:p>
    <w:p w14:paraId="09F2351C">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（二）</w:t>
      </w:r>
      <w:r>
        <w:rPr>
          <w:rFonts w:hint="eastAsia" w:ascii="仿宋_GB2312" w:hAnsi="仿宋_GB2312" w:eastAsia="仿宋_GB2312" w:cs="仿宋_GB2312"/>
          <w:sz w:val="24"/>
          <w:lang w:eastAsia="zh-CN"/>
        </w:rPr>
        <w:t>磋商文件</w:t>
      </w:r>
      <w:r>
        <w:rPr>
          <w:rFonts w:hint="eastAsia" w:ascii="仿宋_GB2312" w:hAnsi="仿宋_GB2312" w:eastAsia="仿宋_GB2312" w:cs="仿宋_GB2312"/>
          <w:sz w:val="24"/>
        </w:rPr>
        <w:t>、投标文件、澄清表（函）、中标通知书、合同附件均成为合同不可分割的部分。</w:t>
      </w:r>
    </w:p>
    <w:p w14:paraId="043DC41E">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（三）合同未尽事宜，由甲、乙双方协商，经见证方确认后，签订补充协议，与原合同具有同等法律效力。</w:t>
      </w:r>
    </w:p>
    <w:p w14:paraId="3113A973">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（四）合同一经签订，不得擅自变更、中止或终止合同。对确需变更、调整或中止、终止合同的，有法律规定的按照法律规定，除合同约定外，由甲乙双方再行协商，协商一致前，原合同或条款继续履行。</w:t>
      </w:r>
    </w:p>
    <w:p w14:paraId="700ECDFD">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（五）本合同按照中华人民共和国的现行法律进行解释。</w:t>
      </w:r>
    </w:p>
    <w:p w14:paraId="5A6C9C21">
      <w:pPr>
        <w:tabs>
          <w:tab w:val="left" w:pos="480"/>
        </w:tabs>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（六）本合同附件作为本合同的组成部分，与本合同具有同等法律效力。</w:t>
      </w:r>
    </w:p>
    <w:p w14:paraId="39087F82">
      <w:pPr>
        <w:tabs>
          <w:tab w:val="left" w:pos="480"/>
        </w:tabs>
        <w:spacing w:line="300" w:lineRule="auto"/>
        <w:ind w:firstLine="200"/>
        <w:rPr>
          <w:rFonts w:hint="eastAsia" w:ascii="仿宋_GB2312" w:hAnsi="仿宋_GB2312" w:eastAsia="仿宋_GB2312" w:cs="仿宋_GB2312"/>
          <w:sz w:val="24"/>
        </w:rPr>
      </w:pPr>
      <w:r>
        <w:rPr>
          <w:rFonts w:hint="eastAsia" w:ascii="仿宋_GB2312" w:hAnsi="仿宋_GB2312" w:eastAsia="仿宋_GB2312" w:cs="仿宋_GB2312"/>
          <w:sz w:val="24"/>
        </w:rPr>
        <w:t>（以下无正文）</w:t>
      </w:r>
    </w:p>
    <w:p w14:paraId="68A8426C">
      <w:pPr>
        <w:rPr>
          <w:rFonts w:hint="eastAsia" w:ascii="仿宋_GB2312" w:hAnsi="仿宋_GB2312" w:eastAsia="仿宋_GB2312" w:cs="仿宋_GB2312"/>
          <w:sz w:val="24"/>
        </w:rPr>
      </w:pPr>
    </w:p>
    <w:p w14:paraId="6739D786">
      <w:pPr>
        <w:rPr>
          <w:rFonts w:hint="eastAsia" w:ascii="仿宋_GB2312" w:hAnsi="仿宋_GB2312" w:eastAsia="仿宋_GB2312" w:cs="仿宋_GB2312"/>
          <w:sz w:val="24"/>
        </w:rPr>
      </w:pPr>
    </w:p>
    <w:p w14:paraId="74290DD0">
      <w:pPr>
        <w:rPr>
          <w:rFonts w:hint="eastAsia" w:ascii="仿宋_GB2312" w:hAnsi="仿宋_GB2312" w:eastAsia="仿宋_GB2312" w:cs="仿宋_GB2312"/>
          <w:sz w:val="24"/>
        </w:rPr>
      </w:pPr>
    </w:p>
    <w:p w14:paraId="08CE23A2">
      <w:pPr>
        <w:rPr>
          <w:rFonts w:hint="eastAsia" w:ascii="仿宋_GB2312" w:hAnsi="仿宋_GB2312" w:eastAsia="仿宋_GB2312" w:cs="仿宋_GB2312"/>
          <w:sz w:val="24"/>
        </w:rPr>
      </w:pPr>
    </w:p>
    <w:p w14:paraId="33E7277C">
      <w:pPr>
        <w:rPr>
          <w:rFonts w:hint="eastAsia" w:ascii="仿宋_GB2312" w:hAnsi="仿宋_GB2312" w:eastAsia="仿宋_GB2312" w:cs="仿宋_GB2312"/>
          <w:sz w:val="24"/>
        </w:rPr>
      </w:pPr>
    </w:p>
    <w:p w14:paraId="2CD10FC8">
      <w:pPr>
        <w:tabs>
          <w:tab w:val="left" w:pos="480"/>
        </w:tabs>
        <w:spacing w:line="300" w:lineRule="auto"/>
        <w:ind w:firstLine="200"/>
        <w:rPr>
          <w:rFonts w:hint="eastAsia" w:ascii="仿宋_GB2312" w:hAnsi="仿宋_GB2312" w:eastAsia="仿宋_GB2312" w:cs="仿宋_GB2312"/>
          <w:sz w:val="24"/>
        </w:rPr>
      </w:pPr>
    </w:p>
    <w:tbl>
      <w:tblPr>
        <w:tblStyle w:val="5"/>
        <w:tblW w:w="0" w:type="auto"/>
        <w:tblInd w:w="108" w:type="dxa"/>
        <w:tblLayout w:type="autofit"/>
        <w:tblCellMar>
          <w:top w:w="0" w:type="dxa"/>
          <w:left w:w="108" w:type="dxa"/>
          <w:bottom w:w="0" w:type="dxa"/>
          <w:right w:w="108" w:type="dxa"/>
        </w:tblCellMar>
      </w:tblPr>
      <w:tblGrid>
        <w:gridCol w:w="4657"/>
        <w:gridCol w:w="4655"/>
      </w:tblGrid>
      <w:tr w14:paraId="52915E46">
        <w:tblPrEx>
          <w:tblCellMar>
            <w:top w:w="0" w:type="dxa"/>
            <w:left w:w="108" w:type="dxa"/>
            <w:bottom w:w="0" w:type="dxa"/>
            <w:right w:w="108" w:type="dxa"/>
          </w:tblCellMar>
        </w:tblPrEx>
        <w:tc>
          <w:tcPr>
            <w:tcW w:w="4657" w:type="dxa"/>
            <w:vAlign w:val="center"/>
          </w:tcPr>
          <w:p w14:paraId="3158573B">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甲  方（法人公章）</w:t>
            </w:r>
          </w:p>
        </w:tc>
        <w:tc>
          <w:tcPr>
            <w:tcW w:w="4655" w:type="dxa"/>
            <w:vAlign w:val="center"/>
          </w:tcPr>
          <w:p w14:paraId="0877919B">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乙  方（法人公章）</w:t>
            </w:r>
          </w:p>
        </w:tc>
      </w:tr>
      <w:tr w14:paraId="6FE8E2C4">
        <w:tblPrEx>
          <w:tblCellMar>
            <w:top w:w="0" w:type="dxa"/>
            <w:left w:w="108" w:type="dxa"/>
            <w:bottom w:w="0" w:type="dxa"/>
            <w:right w:w="108" w:type="dxa"/>
          </w:tblCellMar>
        </w:tblPrEx>
        <w:tc>
          <w:tcPr>
            <w:tcW w:w="4657" w:type="dxa"/>
            <w:vAlign w:val="center"/>
          </w:tcPr>
          <w:p w14:paraId="703547BA">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单位名称：西安市疾病预防控制中心</w:t>
            </w:r>
          </w:p>
        </w:tc>
        <w:tc>
          <w:tcPr>
            <w:tcW w:w="4655" w:type="dxa"/>
            <w:vAlign w:val="center"/>
          </w:tcPr>
          <w:p w14:paraId="20170C2D">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单位名称: </w:t>
            </w:r>
          </w:p>
        </w:tc>
      </w:tr>
      <w:tr w14:paraId="457D2014">
        <w:tblPrEx>
          <w:tblCellMar>
            <w:top w:w="0" w:type="dxa"/>
            <w:left w:w="108" w:type="dxa"/>
            <w:bottom w:w="0" w:type="dxa"/>
            <w:right w:w="108" w:type="dxa"/>
          </w:tblCellMar>
        </w:tblPrEx>
        <w:tc>
          <w:tcPr>
            <w:tcW w:w="4657" w:type="dxa"/>
            <w:vAlign w:val="center"/>
          </w:tcPr>
          <w:p w14:paraId="5DE7F350">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地  址：西安市雁塔区西影路599号</w:t>
            </w:r>
          </w:p>
        </w:tc>
        <w:tc>
          <w:tcPr>
            <w:tcW w:w="4655" w:type="dxa"/>
            <w:vAlign w:val="center"/>
          </w:tcPr>
          <w:p w14:paraId="22E83FCA">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地址： </w:t>
            </w:r>
          </w:p>
        </w:tc>
      </w:tr>
      <w:tr w14:paraId="05A878FB">
        <w:tblPrEx>
          <w:tblCellMar>
            <w:top w:w="0" w:type="dxa"/>
            <w:left w:w="108" w:type="dxa"/>
            <w:bottom w:w="0" w:type="dxa"/>
            <w:right w:w="108" w:type="dxa"/>
          </w:tblCellMar>
        </w:tblPrEx>
        <w:trPr>
          <w:trHeight w:val="579" w:hRule="atLeast"/>
        </w:trPr>
        <w:tc>
          <w:tcPr>
            <w:tcW w:w="4657" w:type="dxa"/>
            <w:vAlign w:val="center"/>
          </w:tcPr>
          <w:p w14:paraId="01929444">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法定代表人：（签字）</w:t>
            </w:r>
          </w:p>
        </w:tc>
        <w:tc>
          <w:tcPr>
            <w:tcW w:w="4655" w:type="dxa"/>
            <w:vAlign w:val="center"/>
          </w:tcPr>
          <w:p w14:paraId="5FB225A4">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法定代表人或代理人：（签字）</w:t>
            </w:r>
          </w:p>
        </w:tc>
      </w:tr>
      <w:tr w14:paraId="5C116CB1">
        <w:tblPrEx>
          <w:tblCellMar>
            <w:top w:w="0" w:type="dxa"/>
            <w:left w:w="108" w:type="dxa"/>
            <w:bottom w:w="0" w:type="dxa"/>
            <w:right w:w="108" w:type="dxa"/>
          </w:tblCellMar>
        </w:tblPrEx>
        <w:tc>
          <w:tcPr>
            <w:tcW w:w="4657" w:type="dxa"/>
            <w:vAlign w:val="center"/>
          </w:tcPr>
          <w:p w14:paraId="2CDE7D1D">
            <w:pPr>
              <w:tabs>
                <w:tab w:val="left" w:pos="480"/>
              </w:tabs>
              <w:spacing w:line="360" w:lineRule="auto"/>
              <w:rPr>
                <w:rFonts w:ascii="仿宋_GB2312" w:hAnsi="仿宋_GB2312" w:eastAsia="仿宋_GB2312" w:cs="仿宋_GB2312"/>
                <w:sz w:val="24"/>
              </w:rPr>
            </w:pPr>
          </w:p>
        </w:tc>
        <w:tc>
          <w:tcPr>
            <w:tcW w:w="4655" w:type="dxa"/>
            <w:vAlign w:val="center"/>
          </w:tcPr>
          <w:p w14:paraId="72CD671C">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开户银行: </w:t>
            </w:r>
          </w:p>
        </w:tc>
      </w:tr>
      <w:tr w14:paraId="58AB1099">
        <w:tblPrEx>
          <w:tblCellMar>
            <w:top w:w="0" w:type="dxa"/>
            <w:left w:w="108" w:type="dxa"/>
            <w:bottom w:w="0" w:type="dxa"/>
            <w:right w:w="108" w:type="dxa"/>
          </w:tblCellMar>
        </w:tblPrEx>
        <w:trPr>
          <w:trHeight w:val="507" w:hRule="atLeast"/>
        </w:trPr>
        <w:tc>
          <w:tcPr>
            <w:tcW w:w="4657" w:type="dxa"/>
            <w:vAlign w:val="center"/>
          </w:tcPr>
          <w:p w14:paraId="21CF9597">
            <w:pPr>
              <w:tabs>
                <w:tab w:val="left" w:pos="480"/>
              </w:tabs>
              <w:spacing w:line="360" w:lineRule="auto"/>
              <w:rPr>
                <w:rFonts w:ascii="仿宋_GB2312" w:hAnsi="仿宋_GB2312" w:eastAsia="仿宋_GB2312" w:cs="仿宋_GB2312"/>
                <w:sz w:val="24"/>
              </w:rPr>
            </w:pPr>
          </w:p>
        </w:tc>
        <w:tc>
          <w:tcPr>
            <w:tcW w:w="4655" w:type="dxa"/>
            <w:vAlign w:val="center"/>
          </w:tcPr>
          <w:p w14:paraId="4300F53E">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帐    号： </w:t>
            </w:r>
          </w:p>
        </w:tc>
      </w:tr>
      <w:tr w14:paraId="15D5293F">
        <w:tblPrEx>
          <w:tblCellMar>
            <w:top w:w="0" w:type="dxa"/>
            <w:left w:w="108" w:type="dxa"/>
            <w:bottom w:w="0" w:type="dxa"/>
            <w:right w:w="108" w:type="dxa"/>
          </w:tblCellMar>
        </w:tblPrEx>
        <w:trPr>
          <w:trHeight w:val="663" w:hRule="atLeast"/>
        </w:trPr>
        <w:tc>
          <w:tcPr>
            <w:tcW w:w="4657" w:type="dxa"/>
            <w:vAlign w:val="center"/>
          </w:tcPr>
          <w:p w14:paraId="7263A8C5">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签订日期：     年   月    日</w:t>
            </w:r>
          </w:p>
        </w:tc>
        <w:tc>
          <w:tcPr>
            <w:tcW w:w="4655" w:type="dxa"/>
            <w:vAlign w:val="center"/>
          </w:tcPr>
          <w:p w14:paraId="6F6F9853">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签订日期：   年   月   日</w:t>
            </w:r>
          </w:p>
        </w:tc>
      </w:tr>
    </w:tbl>
    <w:p w14:paraId="0CDA5788">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鉴 证 方：</w:t>
      </w:r>
    </w:p>
    <w:p w14:paraId="43B23A08">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单位名称： </w:t>
      </w:r>
    </w:p>
    <w:p w14:paraId="6960C579">
      <w:pPr>
        <w:tabs>
          <w:tab w:val="left" w:pos="480"/>
        </w:tabs>
        <w:spacing w:line="360" w:lineRule="auto"/>
        <w:rPr>
          <w:rFonts w:ascii="仿宋_GB2312" w:hAnsi="仿宋_GB2312" w:eastAsia="仿宋_GB2312" w:cs="仿宋_GB2312"/>
          <w:sz w:val="24"/>
        </w:rPr>
      </w:pPr>
      <w:r>
        <w:rPr>
          <w:rFonts w:hint="eastAsia" w:ascii="仿宋_GB2312" w:hAnsi="仿宋_GB2312" w:eastAsia="仿宋_GB2312" w:cs="仿宋_GB2312"/>
          <w:sz w:val="24"/>
        </w:rPr>
        <w:t>代 理 人：             （签字）</w:t>
      </w:r>
    </w:p>
    <w:p w14:paraId="63B17446">
      <w:pPr>
        <w:pStyle w:val="3"/>
        <w:spacing w:line="560" w:lineRule="exact"/>
        <w:rPr>
          <w:rFonts w:ascii="仿宋_GB2312" w:hAnsi="仿宋_GB2312" w:eastAsia="仿宋_GB2312" w:cs="仿宋_GB2312"/>
        </w:rPr>
      </w:pPr>
      <w:r>
        <w:rPr>
          <w:rFonts w:hint="eastAsia" w:ascii="仿宋_GB2312" w:hAnsi="仿宋_GB2312" w:eastAsia="仿宋_GB2312" w:cs="仿宋_GB2312"/>
        </w:rPr>
        <w:t>签订日期：     年   月   日</w:t>
      </w:r>
    </w:p>
    <w:p w14:paraId="3F17C3A1">
      <w:pPr>
        <w:pStyle w:val="7"/>
        <w:rPr>
          <w:rFonts w:hint="default" w:ascii="仿宋_GB2312" w:hAnsi="仿宋_GB2312" w:eastAsia="仿宋_GB2312" w:cs="仿宋_GB2312"/>
          <w:sz w:val="24"/>
          <w:szCs w:val="24"/>
        </w:rPr>
      </w:pPr>
    </w:p>
    <w:p w14:paraId="0D4FA492">
      <w:pPr>
        <w:pStyle w:val="7"/>
        <w:rPr>
          <w:rFonts w:hint="default" w:ascii="仿宋_GB2312" w:hAnsi="仿宋_GB2312" w:eastAsia="仿宋_GB2312" w:cs="仿宋_GB2312"/>
        </w:rPr>
      </w:pPr>
    </w:p>
    <w:p w14:paraId="7B53A65F">
      <w:pPr>
        <w:tabs>
          <w:tab w:val="left" w:pos="480"/>
        </w:tabs>
        <w:spacing w:line="300" w:lineRule="auto"/>
        <w:rPr>
          <w:rFonts w:ascii="仿宋_GB2312" w:hAnsi="仿宋_GB2312" w:eastAsia="仿宋_GB2312" w:cs="仿宋_GB2312"/>
          <w:sz w:val="20"/>
          <w:szCs w:val="20"/>
        </w:rPr>
      </w:pPr>
    </w:p>
    <w:p w14:paraId="362B2A25">
      <w:pPr>
        <w:spacing w:before="92" w:line="230" w:lineRule="exact"/>
        <w:ind w:left="3695"/>
        <w:rPr>
          <w:rFonts w:hint="eastAsia" w:ascii="仿宋_GB2312" w:hAnsi="仿宋_GB2312" w:eastAsia="仿宋_GB2312" w:cs="仿宋_GB2312"/>
          <w:sz w:val="24"/>
          <w:szCs w:val="24"/>
        </w:rPr>
      </w:pPr>
    </w:p>
    <w:p w14:paraId="1893EFDD"/>
    <w:sectPr>
      <w:footerReference r:id="rId5" w:type="default"/>
      <w:pgSz w:w="11900" w:h="16840"/>
      <w:pgMar w:top="1440" w:right="1080" w:bottom="1440" w:left="1080"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61DA3">
    <w:pPr>
      <w:pStyle w:val="2"/>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A85B50">
                          <w:pPr>
                            <w:pStyle w:val="4"/>
                          </w:pPr>
                          <w:r>
                            <w:t xml:space="preserve">第 </w:t>
                          </w:r>
                          <w:r>
                            <w:fldChar w:fldCharType="begin"/>
                          </w:r>
                          <w:r>
                            <w:instrText xml:space="preserve"> PAGE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47A85B50">
                    <w:pPr>
                      <w:pStyle w:val="4"/>
                    </w:pPr>
                    <w:r>
                      <w:t xml:space="preserve">第 </w:t>
                    </w:r>
                    <w:r>
                      <w:fldChar w:fldCharType="begin"/>
                    </w:r>
                    <w:r>
                      <w:instrText xml:space="preserve"> PAGE  \* MERGEFORMAT </w:instrText>
                    </w:r>
                    <w:r>
                      <w:fldChar w:fldCharType="separate"/>
                    </w:r>
                    <w:r>
                      <w:t>60</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71321C"/>
    <w:multiLevelType w:val="multilevel"/>
    <w:tmpl w:val="2871321C"/>
    <w:lvl w:ilvl="0" w:tentative="0">
      <w:start w:val="1"/>
      <w:numFmt w:val="japaneseCounting"/>
      <w:lvlText w:val="%1、"/>
      <w:lvlJc w:val="left"/>
      <w:pPr>
        <w:ind w:left="1142" w:hanging="72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862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99"/>
    <w:rPr>
      <w:rFonts w:ascii="宋体" w:hAnsi="Courier New"/>
      <w:sz w:val="24"/>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2025-10-13T07:28:09Z</dcterms:created>
  <dc:creator>Administrator</dc:creator>
  <cp:lastModifiedBy>夏日微凉</cp:lastModifiedBy>
  <dcterms:modified xsi:type="dcterms:W3CDTF">2025-10-13T07:28:52Z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C7A24D10C2CF4F2CA764E3BE0854A9B2_12</vt:lpwstr>
  </property>
</Properties>
</file>