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版本号：SZT2025-SN-XC-ZC-FW-033520251011001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市级机关凤城九路办公区办公(业务)用房三年租赁项目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SZT2025-SN-XC-ZC-FW-0335</w:t>
      </w:r>
      <w:r>
        <w:br/>
      </w:r>
      <w:r>
        <w:br/>
      </w:r>
      <w:r>
        <w:br/>
      </w:r>
    </w:p>
    <w:p>
      <w:pPr>
        <w:pStyle w:val="null3"/>
        <w:jc w:val="center"/>
        <w:outlineLvl w:val="5"/>
      </w:pPr>
      <w:r>
        <w:rPr>
          <w:rFonts w:ascii="仿宋_GB2312" w:hAnsi="仿宋_GB2312" w:cs="仿宋_GB2312" w:eastAsia="仿宋_GB2312"/>
          <w:sz w:val="15"/>
          <w:b/>
        </w:rPr>
        <w:t>西安市集中办公区综合管理中心</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西安市集中办公区综合管理中心</w:t>
      </w:r>
      <w:r>
        <w:rPr>
          <w:rFonts w:ascii="仿宋_GB2312" w:hAnsi="仿宋_GB2312" w:cs="仿宋_GB2312" w:eastAsia="仿宋_GB2312"/>
        </w:rPr>
        <w:t>委托，拟对</w:t>
      </w:r>
      <w:r>
        <w:rPr>
          <w:rFonts w:ascii="仿宋_GB2312" w:hAnsi="仿宋_GB2312" w:cs="仿宋_GB2312" w:eastAsia="仿宋_GB2312"/>
        </w:rPr>
        <w:t>市级机关凤城九路办公区办公(业务)用房三年租赁项目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SZT2025-SN-XC-ZC-FW-0335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市级机关凤城九路办公区办公(业务)用房三年租赁项目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市级机关凤城九路办公区办公(业务)用房三年租赁项目。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采购包1（市级机关凤城九路办公区办公(业务)用房三年租赁项目）：属于专门面向中小企业采购。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p>
    <w:p>
      <w:pPr>
        <w:pStyle w:val="null3"/>
      </w:pPr>
      <w:r>
        <w:rPr>
          <w:rFonts w:ascii="仿宋_GB2312" w:hAnsi="仿宋_GB2312" w:cs="仿宋_GB2312" w:eastAsia="仿宋_GB2312"/>
        </w:rPr>
        <w:t>2、单位负责人为同一人或者存在直接控股、管理关系的不同投标人不得参加同一合同项下的政府采购活动； 为本项目提供整体设计、规范编制或者项目管理、监理、检测等服务的投标人，不得再参加该采购项目的其他采购活动。：供应商需在项目电子化交易系统中按要求填写《投标函》完成承诺并进行电子签章、提供直接控股和直接管理关系清单。若与其他投标人存在单位负责人为同一人或者存在直接控股、管理关系的，则投标无效。</w:t>
      </w:r>
    </w:p>
    <w:p>
      <w:pPr>
        <w:pStyle w:val="null3"/>
      </w:pPr>
      <w:r>
        <w:rPr>
          <w:rFonts w:ascii="仿宋_GB2312" w:hAnsi="仿宋_GB2312" w:cs="仿宋_GB2312" w:eastAsia="仿宋_GB2312"/>
        </w:rPr>
        <w:t>3、本项目不接受联合体投标。：本项目不接受联合体投标。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西安市集中办公区综合管理中心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029-86785653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采购包1：110,172,943.80元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采购包1：110,172,943.80元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代理服务费收费标准：招标代理服务费按照定额￥14 5,981.21(人民币壹拾肆万伍仟玖佰捌拾壹元贰角壹分)收取。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西安市集中办公区综合管理中心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西安市集中办公区综合管理中心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市级机关凤城九路办公区办公(业务)用房三年租赁项目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110,172,943.80</w:t>
      </w:r>
    </w:p>
    <w:p>
      <w:pPr>
        <w:pStyle w:val="null3"/>
      </w:pPr>
      <w:r>
        <w:rPr>
          <w:rFonts w:ascii="仿宋_GB2312" w:hAnsi="仿宋_GB2312" w:cs="仿宋_GB2312" w:eastAsia="仿宋_GB2312"/>
        </w:rPr>
        <w:t>采购包最高限价（元）: 110,172,943.80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市级机关凤城九路办公区办公（业务）用房三年租赁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110,172,943.80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标的名称：市级机关凤城九路办公区办公（业务）用房三年租赁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根据全市办公用房调整统一安排，经市领导批准，为实现办公用房集中集约使用，计划租赁西安市凤城九路与朱宏路交会处东北角长安国金中心1号楼供市资源规划局、市住建局、市城改事务中心等16家单位（部门）办公使用，区域面积36004.23平方米，租期3年。</w:t>
            </w:r>
          </w:p>
          <w:p>
            <w:pPr>
              <w:pStyle w:val="null3"/>
              <w:jc w:val="both"/>
            </w:pPr>
            <w:r>
              <w:rPr>
                <w:rFonts w:ascii="仿宋_GB2312" w:hAnsi="仿宋_GB2312" w:cs="仿宋_GB2312" w:eastAsia="仿宋_GB2312"/>
                <w:sz w:val="24"/>
              </w:rPr>
              <w:t>二、租赁标的</w:t>
            </w:r>
          </w:p>
          <w:p>
            <w:pPr>
              <w:pStyle w:val="null3"/>
              <w:jc w:val="both"/>
            </w:pPr>
            <w:r>
              <w:rPr>
                <w:rFonts w:ascii="仿宋_GB2312" w:hAnsi="仿宋_GB2312" w:cs="仿宋_GB2312" w:eastAsia="仿宋_GB2312"/>
                <w:sz w:val="24"/>
              </w:rPr>
              <w:t>租赁房屋位于西安市凤城九路与朱宏路交会处东北角，共21层，建筑面积合计36004.23平方米。</w:t>
            </w:r>
          </w:p>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1.成交单位须根据采购单位使用需求提供装修方案，装修方案应当完全符合国家相关装修规范和《党政机关办公用房建设标准》《党政机关办公用房管理办法》《西安市市级党政机关办公（业务）用房租用管理暂行规定》中相关规定。</w:t>
            </w:r>
          </w:p>
          <w:p>
            <w:pPr>
              <w:pStyle w:val="null3"/>
              <w:jc w:val="both"/>
            </w:pPr>
            <w:r>
              <w:rPr>
                <w:rFonts w:ascii="仿宋_GB2312" w:hAnsi="仿宋_GB2312" w:cs="仿宋_GB2312" w:eastAsia="仿宋_GB2312"/>
                <w:sz w:val="24"/>
              </w:rPr>
              <w:t>2.成交单位须根据采购单位确定的装饰、装修方案组织实施租赁房屋内部装饰装修的设计、施工，因此而产生的设计费、物料费、施工费等所有费用由成交单位承担。</w:t>
            </w:r>
          </w:p>
          <w:p>
            <w:pPr>
              <w:pStyle w:val="null3"/>
              <w:jc w:val="both"/>
            </w:pPr>
            <w:r>
              <w:rPr>
                <w:rFonts w:ascii="仿宋_GB2312" w:hAnsi="仿宋_GB2312" w:cs="仿宋_GB2312" w:eastAsia="仿宋_GB2312"/>
                <w:sz w:val="24"/>
              </w:rPr>
              <w:t>3.成交单位须根据采购单位的实际使用需求，依据《西安市市级行政事业单位通用办公设备及家具配置标准（2022年版）》为所出租房屋内配备办公家具，由此所产生的相关费用由成交单位承担。</w:t>
            </w:r>
          </w:p>
          <w:p>
            <w:pPr>
              <w:pStyle w:val="null3"/>
              <w:jc w:val="both"/>
            </w:pPr>
            <w:r>
              <w:rPr>
                <w:rFonts w:ascii="仿宋_GB2312" w:hAnsi="仿宋_GB2312" w:cs="仿宋_GB2312" w:eastAsia="仿宋_GB2312"/>
                <w:sz w:val="24"/>
              </w:rPr>
              <w:t>4.在租赁期限内成交单位应保证所出租房屋的正常使用。成交单位须承担房屋主体结构、给排水管道、取暖设施设备、电力设施设备等相关配套设施设备的维修和保养。对租赁物因质量问题或装修问题影响采购单位正常使用或造成的安全隐患(包括但不限于房屋及附属设施和设备的不能正常使用、损坏、漏水、线路出现问题等)负责。发生问题时，须及时安排人员维修，保证在当天内恢复正常使用状态。</w:t>
            </w:r>
          </w:p>
          <w:p>
            <w:pPr>
              <w:pStyle w:val="null3"/>
              <w:jc w:val="both"/>
            </w:pPr>
            <w:r>
              <w:rPr>
                <w:rFonts w:ascii="仿宋_GB2312" w:hAnsi="仿宋_GB2312" w:cs="仿宋_GB2312" w:eastAsia="仿宋_GB2312"/>
                <w:sz w:val="24"/>
              </w:rPr>
              <w:t>5.在租赁期限内成交单位须按要求配齐消防设施设备，并负责所有消防设施设备的维修，确保采购单位的正常使用。</w:t>
            </w:r>
          </w:p>
          <w:p>
            <w:pPr>
              <w:pStyle w:val="null3"/>
              <w:jc w:val="both"/>
            </w:pPr>
            <w:r>
              <w:rPr>
                <w:rFonts w:ascii="仿宋_GB2312" w:hAnsi="仿宋_GB2312" w:cs="仿宋_GB2312" w:eastAsia="仿宋_GB2312"/>
                <w:sz w:val="24"/>
              </w:rPr>
              <w:t>6.成交单位须按照采购单位要求做好智慧照明系统建设，完善灯光、空调等耗能终端智能化控制系统，建设灯光、空调智能化信息平台用于能耗数据统计、分析及管理，满足节约型机关建设要求，由此而产生的相关费用由成交单位承担。</w:t>
            </w:r>
          </w:p>
          <w:p>
            <w:pPr>
              <w:pStyle w:val="null3"/>
              <w:jc w:val="both"/>
            </w:pPr>
            <w:r>
              <w:rPr>
                <w:rFonts w:ascii="仿宋_GB2312" w:hAnsi="仿宋_GB2312" w:cs="仿宋_GB2312" w:eastAsia="仿宋_GB2312"/>
                <w:sz w:val="24"/>
              </w:rPr>
              <w:t>7.成交单位须按照采购单位要求做好智联机关配套设施建设，由此而产生的相关费用由成交单位承担。</w:t>
            </w:r>
          </w:p>
          <w:p>
            <w:pPr>
              <w:pStyle w:val="null3"/>
              <w:jc w:val="both"/>
            </w:pPr>
            <w:r>
              <w:rPr>
                <w:rFonts w:ascii="仿宋_GB2312" w:hAnsi="仿宋_GB2312" w:cs="仿宋_GB2312" w:eastAsia="仿宋_GB2312"/>
                <w:sz w:val="24"/>
              </w:rPr>
              <w:t>8.成交单位须按照采购单位要求做好会议及系统配套设施建设，由此而产生的相关费用由成交单位承担。</w:t>
            </w:r>
          </w:p>
          <w:p>
            <w:pPr>
              <w:pStyle w:val="null3"/>
              <w:jc w:val="both"/>
            </w:pPr>
            <w:r>
              <w:rPr>
                <w:rFonts w:ascii="仿宋_GB2312" w:hAnsi="仿宋_GB2312" w:cs="仿宋_GB2312" w:eastAsia="仿宋_GB2312"/>
                <w:sz w:val="24"/>
              </w:rPr>
              <w:t>9.成交单位须按照采购单位要求做好规范化、信息化智能停车场建设，由此而产生的相关费用由成交单位承担。</w:t>
            </w:r>
          </w:p>
          <w:p>
            <w:pPr>
              <w:pStyle w:val="null3"/>
              <w:jc w:val="both"/>
            </w:pPr>
            <w:r>
              <w:rPr>
                <w:rFonts w:ascii="仿宋_GB2312" w:hAnsi="仿宋_GB2312" w:cs="仿宋_GB2312" w:eastAsia="仿宋_GB2312"/>
                <w:sz w:val="24"/>
              </w:rPr>
              <w:t>10.成交单位须按照采购单位要求做好高压增容双回路电路改造，由此而产生的相关费用由成交单位承担。</w:t>
            </w:r>
          </w:p>
          <w:p>
            <w:pPr>
              <w:pStyle w:val="null3"/>
              <w:jc w:val="both"/>
            </w:pPr>
            <w:r>
              <w:rPr>
                <w:rFonts w:ascii="仿宋_GB2312" w:hAnsi="仿宋_GB2312" w:cs="仿宋_GB2312" w:eastAsia="仿宋_GB2312"/>
                <w:sz w:val="24"/>
              </w:rPr>
              <w:t>11.成交单位每年须对所出租房屋进行一次甲醛检测，并出具检测报告；甲醛检测不合格时，成交单位须对所出租房屋进行甲醛治理，治理完成后进行甲醛检测，并出具检测报告。</w:t>
            </w:r>
          </w:p>
          <w:p>
            <w:pPr>
              <w:pStyle w:val="null3"/>
              <w:jc w:val="both"/>
            </w:pPr>
            <w:r>
              <w:rPr>
                <w:rFonts w:ascii="仿宋_GB2312" w:hAnsi="仿宋_GB2312" w:cs="仿宋_GB2312" w:eastAsia="仿宋_GB2312"/>
                <w:sz w:val="24"/>
              </w:rPr>
              <w:t>12.入住后采购单位为完善使用功能而提出的房屋、环境、设施设备提升改造等费用均由成交单位承担（包括但不限于房屋格局改造、办公区环境提升改造、设施设备装配提升、办公家具配备添配维修等）。</w:t>
            </w:r>
          </w:p>
          <w:p>
            <w:pPr>
              <w:pStyle w:val="null3"/>
              <w:jc w:val="both"/>
            </w:pPr>
            <w:r>
              <w:rPr>
                <w:rFonts w:ascii="仿宋_GB2312" w:hAnsi="仿宋_GB2312" w:cs="仿宋_GB2312" w:eastAsia="仿宋_GB2312"/>
                <w:sz w:val="24"/>
              </w:rPr>
              <w:t>13.成交单位须按照采购单位确定的时间节点保质保量完成该办公楼的室内外装修、办公家具配置和设施设备安装；采购单位可按照《长安国金中心1号楼装修改造项目考核办法》和《长安国金中心1号楼装修改造项目考核细则》对成交单位对办公楼的室内外装修、办公家具配置和设施设备安装的完成进度、完成质量、施工现场管理、安全管理等内容进行考评打分。</w:t>
            </w:r>
          </w:p>
          <w:p>
            <w:pPr>
              <w:pStyle w:val="null3"/>
              <w:jc w:val="both"/>
            </w:pPr>
            <w:r>
              <w:rPr>
                <w:rFonts w:ascii="仿宋_GB2312" w:hAnsi="仿宋_GB2312" w:cs="仿宋_GB2312" w:eastAsia="仿宋_GB2312"/>
                <w:sz w:val="24"/>
              </w:rPr>
              <w:t>14.如因房屋有严重的质量问题或法律权属上的瑕疵，影响正常使用，采购单位有权直接解除合同。</w:t>
            </w:r>
          </w:p>
          <w:p>
            <w:pPr>
              <w:pStyle w:val="null3"/>
              <w:jc w:val="both"/>
            </w:pPr>
            <w:r>
              <w:rPr>
                <w:rFonts w:ascii="仿宋_GB2312" w:hAnsi="仿宋_GB2312" w:cs="仿宋_GB2312" w:eastAsia="仿宋_GB2312"/>
                <w:sz w:val="24"/>
              </w:rPr>
              <w:t>15.成交单位须在合同签订前获得该办公楼地下车库的管理权。</w:t>
            </w:r>
          </w:p>
          <w:p>
            <w:pPr>
              <w:pStyle w:val="null3"/>
              <w:jc w:val="both"/>
            </w:pPr>
            <w:r>
              <w:rPr>
                <w:rFonts w:ascii="仿宋_GB2312" w:hAnsi="仿宋_GB2312" w:cs="仿宋_GB2312" w:eastAsia="仿宋_GB2312"/>
                <w:sz w:val="24"/>
              </w:rPr>
              <w:t>16.成交单位须对租赁期内所出租房屋主体、设施设备、消防安全等负安全管理责任；租赁期内所出租房屋主体、设施设备和消防的（包括但不限于设施设备添配、消防系统检测、消防改造、消防备案等）维修、改造、更换、添配等相关事宜均由成交单位负责。</w:t>
            </w:r>
          </w:p>
          <w:p>
            <w:pPr>
              <w:pStyle w:val="null3"/>
              <w:jc w:val="both"/>
            </w:pPr>
            <w:r>
              <w:rPr>
                <w:rFonts w:ascii="仿宋_GB2312" w:hAnsi="仿宋_GB2312" w:cs="仿宋_GB2312" w:eastAsia="仿宋_GB2312"/>
                <w:sz w:val="24"/>
              </w:rPr>
              <w:t>17.该办公楼主体结构维修、楼体附属设施设备维修更换添配等费用由成交单位承担，以上维修作业由成交单位委托物业服务企业组织实施。办公区公共区域及户内维修，维修费用＜3000元的由物业服务企业负责，维修费用≥3000元的由成交单位负责，维修作业由物业服务企业组织实施。</w:t>
            </w:r>
          </w:p>
          <w:p>
            <w:pPr>
              <w:pStyle w:val="null3"/>
              <w:jc w:val="both"/>
            </w:pPr>
            <w:r>
              <w:rPr>
                <w:rFonts w:ascii="仿宋_GB2312" w:hAnsi="仿宋_GB2312" w:cs="仿宋_GB2312" w:eastAsia="仿宋_GB2312"/>
                <w:sz w:val="24"/>
              </w:rPr>
              <w:t>四、商务要求</w:t>
            </w:r>
          </w:p>
          <w:p>
            <w:pPr>
              <w:pStyle w:val="null3"/>
              <w:jc w:val="both"/>
            </w:pPr>
            <w:r>
              <w:rPr>
                <w:rFonts w:ascii="仿宋_GB2312" w:hAnsi="仿宋_GB2312" w:cs="仿宋_GB2312" w:eastAsia="仿宋_GB2312"/>
                <w:sz w:val="24"/>
              </w:rPr>
              <w:t>1.租赁期限：本次采购服务期为三年，合同一年一签，续签条件为年度考核平均分达到95分以上，未达到续签条件，采购单位有权终止租赁。</w:t>
            </w:r>
          </w:p>
          <w:p>
            <w:pPr>
              <w:pStyle w:val="null3"/>
              <w:jc w:val="both"/>
            </w:pPr>
            <w:r>
              <w:rPr>
                <w:rFonts w:ascii="仿宋_GB2312" w:hAnsi="仿宋_GB2312" w:cs="仿宋_GB2312" w:eastAsia="仿宋_GB2312"/>
                <w:sz w:val="24"/>
              </w:rPr>
              <w:t>2.租金结算</w:t>
            </w:r>
          </w:p>
          <w:p>
            <w:pPr>
              <w:pStyle w:val="null3"/>
              <w:jc w:val="both"/>
            </w:pPr>
            <w:r>
              <w:rPr>
                <w:rFonts w:ascii="仿宋_GB2312" w:hAnsi="仿宋_GB2312" w:cs="仿宋_GB2312" w:eastAsia="仿宋_GB2312"/>
                <w:sz w:val="24"/>
              </w:rPr>
              <w:t>（1）由采购单位负责结算，在付款前，出租方必须向甲方提供租赁费的增值税普通发票（具体税率以国家税务局颁发的当前税率准）。</w:t>
            </w:r>
          </w:p>
          <w:p>
            <w:pPr>
              <w:pStyle w:val="null3"/>
              <w:jc w:val="both"/>
            </w:pPr>
            <w:r>
              <w:rPr>
                <w:rFonts w:ascii="仿宋_GB2312" w:hAnsi="仿宋_GB2312" w:cs="仿宋_GB2312" w:eastAsia="仿宋_GB2312"/>
                <w:sz w:val="24"/>
              </w:rPr>
              <w:t>（2）自合同签订后，采购单位应组织人员对出租方所提供的办公（业务）用房及其配套附属设施设备使用运行状况进行考核评分，考核评分成绩将作为年度合同续签重要依据。</w:t>
            </w:r>
          </w:p>
          <w:p>
            <w:pPr>
              <w:pStyle w:val="null3"/>
              <w:jc w:val="both"/>
            </w:pPr>
            <w:r>
              <w:rPr>
                <w:rFonts w:ascii="仿宋_GB2312" w:hAnsi="仿宋_GB2312" w:cs="仿宋_GB2312" w:eastAsia="仿宋_GB2312"/>
                <w:sz w:val="24"/>
              </w:rPr>
              <w:t>（3）租金每半年支付一次，采购单位应在考核完成后7个工作日内，依据评分结果扣除相应处罚金后据实支付租金（因交易系统原因，最终签订合同时付款方式以此为准）。</w:t>
            </w:r>
          </w:p>
          <w:p>
            <w:pPr>
              <w:pStyle w:val="null3"/>
              <w:jc w:val="both"/>
            </w:pPr>
            <w:r>
              <w:rPr>
                <w:rFonts w:ascii="仿宋_GB2312" w:hAnsi="仿宋_GB2312" w:cs="仿宋_GB2312" w:eastAsia="仿宋_GB2312"/>
                <w:sz w:val="24"/>
              </w:rPr>
              <w:t>3.机动车辆停放</w:t>
            </w:r>
          </w:p>
          <w:p>
            <w:pPr>
              <w:pStyle w:val="null3"/>
              <w:jc w:val="both"/>
            </w:pPr>
            <w:r>
              <w:rPr>
                <w:rFonts w:ascii="仿宋_GB2312" w:hAnsi="仿宋_GB2312" w:cs="仿宋_GB2312" w:eastAsia="仿宋_GB2312"/>
                <w:sz w:val="24"/>
              </w:rPr>
              <w:t>（1）成交单位须在长安国金中心1号楼地面及地下车库向采购单位提供不少400个车辆免费停放服务；</w:t>
            </w:r>
          </w:p>
          <w:p>
            <w:pPr>
              <w:pStyle w:val="null3"/>
              <w:jc w:val="both"/>
            </w:pPr>
            <w:r>
              <w:rPr>
                <w:rFonts w:ascii="仿宋_GB2312" w:hAnsi="仿宋_GB2312" w:cs="仿宋_GB2312" w:eastAsia="仿宋_GB2312"/>
                <w:sz w:val="24"/>
              </w:rPr>
              <w:t>（2）成交单位须提供充足车位供办事群众车辆和办公区入住单位工作人员私家车辆停放，并为办公区入住单位工作人员私家车辆停放提供相应的优惠有偿停放方案；</w:t>
            </w:r>
          </w:p>
          <w:p>
            <w:pPr>
              <w:pStyle w:val="null3"/>
              <w:jc w:val="both"/>
            </w:pPr>
            <w:r>
              <w:rPr>
                <w:rFonts w:ascii="仿宋_GB2312" w:hAnsi="仿宋_GB2312" w:cs="仿宋_GB2312" w:eastAsia="仿宋_GB2312"/>
                <w:sz w:val="24"/>
              </w:rPr>
              <w:t>（3）公务用车及私家车辆停放具体数量以采购单位统计审核数量为准。</w:t>
            </w:r>
          </w:p>
          <w:p>
            <w:pPr>
              <w:pStyle w:val="null3"/>
              <w:jc w:val="both"/>
            </w:pPr>
            <w:r>
              <w:rPr>
                <w:rFonts w:ascii="仿宋_GB2312" w:hAnsi="仿宋_GB2312" w:cs="仿宋_GB2312" w:eastAsia="仿宋_GB2312"/>
                <w:sz w:val="24"/>
              </w:rPr>
              <w:t>4.非机动车辆停放</w:t>
            </w:r>
          </w:p>
          <w:p>
            <w:pPr>
              <w:pStyle w:val="null3"/>
              <w:jc w:val="both"/>
            </w:pPr>
            <w:r>
              <w:rPr>
                <w:rFonts w:ascii="仿宋_GB2312" w:hAnsi="仿宋_GB2312" w:cs="仿宋_GB2312" w:eastAsia="仿宋_GB2312"/>
                <w:sz w:val="24"/>
              </w:rPr>
              <w:t>成交单位须根据采购单位需求做好非机动车辆停车场及与其相关的充电设施设备建设，因此而产生的费用由成交单位承担。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2.成交供应商未按合同要求执行、服务不能满足要求，采购人可根据成交供应商的违约情况，调整成交供应商的供货范围或取消其服务资格，并终止合同， 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因本项目使用性质的特殊性，供应商须保证本项目保密性、安全性，供应商在出租本楼群其他楼栋房屋前，须将拟承租单位情况报采购人审核备案。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 营业执照；事业法人应提供事业单位法人证、组织机构代码证等证明文件；其他组织应提供合法证明文件；自然人提供身份证明文件）； 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报价有可能影响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661"/>
          </w:tcPr>
          <w:p>
            <w:pPr>
              <w:pStyle w:val="null3"/>
            </w:pPr>
            <w:r>
              <w:rPr>
                <w:rFonts w:ascii="仿宋_GB2312" w:hAnsi="仿宋_GB2312" w:cs="仿宋_GB2312" w:eastAsia="仿宋_GB2312"/>
              </w:rPr>
              <w:t>标的清单 报价表 响应函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三年（合同一年一签）</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响应采购文件要求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响应函 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