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版本号：TZZB-Z-2025279C20251014001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2026年度干警食堂食材配送采购项目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TZZB-Z-2025279C</w:t>
      </w:r>
      <w:r>
        <w:br/>
      </w:r>
      <w:r>
        <w:br/>
      </w:r>
      <w:r>
        <w:br/>
      </w:r>
    </w:p>
    <w:p>
      <w:pPr>
        <w:pStyle w:val="null3"/>
        <w:jc w:val="center"/>
        <w:outlineLvl w:val="2"/>
      </w:pPr>
      <w:r>
        <w:rPr>
          <w:rFonts w:ascii="仿宋_GB2312" w:hAnsi="仿宋_GB2312" w:cs="仿宋_GB2312" w:eastAsia="仿宋_GB2312"/>
          <w:sz w:val="28"/>
          <w:b/>
        </w:rPr>
        <w:t>西安市中级人民法院（本级）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西安市中级人民法院（本级）</w:t>
      </w:r>
      <w:r>
        <w:rPr>
          <w:rFonts w:ascii="仿宋_GB2312" w:hAnsi="仿宋_GB2312" w:cs="仿宋_GB2312" w:eastAsia="仿宋_GB2312"/>
        </w:rPr>
        <w:t>委托，拟对</w:t>
      </w:r>
      <w:r>
        <w:rPr>
          <w:rFonts w:ascii="仿宋_GB2312" w:hAnsi="仿宋_GB2312" w:cs="仿宋_GB2312" w:eastAsia="仿宋_GB2312"/>
        </w:rPr>
        <w:t>2026年度干警食堂食材配送采购项目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TZZB-Z-2025279C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2026年度干警食堂食材配送采购项目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陕西省西安市中级人民法院2026年度干警食堂食材配送采购项目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谈判全过程：供应商应授权合法的人员参加谈判全过程，法定代表人授权代表参加谈判的，须出具法定代表人授权委托书：法定代表人授权委托书（附法定代表人身份证复印件及被授权人身份证复印件）；法定代表人直接参加谈判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5、社保缴纳证明：提供自2024年10月1日以来已缴存的任意1个月的社会保障资金缴存单据或社保机构开具的社会保险参保缴费情况证明；依法不需要缴纳社会保障资金的供应商应提供相关证明文件。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10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9、供应商资质：供应商须提供有效的《食品经营许可证》。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西安市中级人民法院（本级）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西安市未央区二环北路东段139号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029-87658051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代理服务费缴纳账号：同正项目管理有限公司 开户银行：中国建设银行股份有限公司西安长庆支行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西安市中级人民法院（本级）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西安市中级人民法院（本级）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西安市中级人民法院（本级）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同正项目管理有限公司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陕西省西安市中级人民法院2026年度干警食堂食材配送采购项目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1,460,000.00</w:t>
      </w:r>
    </w:p>
    <w:p>
      <w:pPr>
        <w:pStyle w:val="null3"/>
      </w:pPr>
      <w:r>
        <w:rPr>
          <w:rFonts w:ascii="仿宋_GB2312" w:hAnsi="仿宋_GB2312" w:cs="仿宋_GB2312" w:eastAsia="仿宋_GB2312"/>
        </w:rPr>
        <w:t>采购包最高限价（元）: 1,460,000.00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2026年度干警食堂食材配送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标的名称：2026年度干警食堂食材配送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采购需求</w:t>
            </w:r>
          </w:p>
          <w:p>
            <w:pPr>
              <w:pStyle w:val="null3"/>
            </w:pPr>
            <w:r>
              <w:rPr>
                <w:rFonts w:ascii="仿宋_GB2312" w:hAnsi="仿宋_GB2312" w:cs="仿宋_GB2312" w:eastAsia="仿宋_GB2312"/>
              </w:rPr>
              <w:t>1.</w:t>
            </w:r>
            <w:r>
              <w:rPr>
                <w:rFonts w:ascii="仿宋_GB2312" w:hAnsi="仿宋_GB2312" w:cs="仿宋_GB2312" w:eastAsia="仿宋_GB2312"/>
              </w:rPr>
              <w:t>负责供应蔬菜类食品，肉类和奶制品，调料、和日常消耗品。</w:t>
            </w:r>
            <w:r>
              <w:rPr>
                <w:rFonts w:ascii="仿宋_GB2312" w:hAnsi="仿宋_GB2312" w:cs="仿宋_GB2312" w:eastAsia="仿宋_GB2312"/>
              </w:rPr>
              <w:t>现在单位约有</w:t>
            </w:r>
            <w:r>
              <w:rPr>
                <w:rFonts w:ascii="仿宋_GB2312" w:hAnsi="仿宋_GB2312" w:cs="仿宋_GB2312" w:eastAsia="仿宋_GB2312"/>
              </w:rPr>
              <w:t>800</w:t>
            </w:r>
            <w:r>
              <w:rPr>
                <w:rFonts w:ascii="仿宋_GB2312" w:hAnsi="仿宋_GB2312" w:cs="仿宋_GB2312" w:eastAsia="仿宋_GB2312"/>
              </w:rPr>
              <w:t xml:space="preserve"> </w:t>
            </w:r>
            <w:r>
              <w:rPr>
                <w:rFonts w:ascii="仿宋_GB2312" w:hAnsi="仿宋_GB2312" w:cs="仿宋_GB2312" w:eastAsia="仿宋_GB2312"/>
              </w:rPr>
              <w:t>人用餐，一天两餐，每月</w:t>
            </w:r>
            <w:r>
              <w:rPr>
                <w:rFonts w:ascii="仿宋_GB2312" w:hAnsi="仿宋_GB2312" w:cs="仿宋_GB2312" w:eastAsia="仿宋_GB2312"/>
              </w:rPr>
              <w:t>22 个工作日承包商负责日常餐厅原材料的采购，保证职工餐厅正常开餐，保障本单位应对突发事件和应急备勤时期的原材料供给。</w:t>
            </w:r>
          </w:p>
          <w:p>
            <w:pPr>
              <w:pStyle w:val="null3"/>
            </w:pPr>
            <w:r>
              <w:rPr>
                <w:rFonts w:ascii="仿宋_GB2312" w:hAnsi="仿宋_GB2312" w:cs="仿宋_GB2312" w:eastAsia="仿宋_GB2312"/>
              </w:rPr>
              <w:t>食材必须符合新的《中华人民共和国食品安全法》第三章</w:t>
            </w:r>
            <w:r>
              <w:rPr>
                <w:rFonts w:ascii="仿宋_GB2312" w:hAnsi="仿宋_GB2312" w:cs="仿宋_GB2312" w:eastAsia="仿宋_GB2312"/>
              </w:rPr>
              <w:t>“食品安全标准 ”中的规定。食品中污染物限量应符合 GB2762-20</w:t>
            </w:r>
            <w:r>
              <w:rPr>
                <w:rFonts w:ascii="仿宋_GB2312" w:hAnsi="仿宋_GB2312" w:cs="仿宋_GB2312" w:eastAsia="仿宋_GB2312"/>
              </w:rPr>
              <w:t>22</w:t>
            </w:r>
            <w:r>
              <w:rPr>
                <w:rFonts w:ascii="仿宋_GB2312" w:hAnsi="仿宋_GB2312" w:cs="仿宋_GB2312" w:eastAsia="仿宋_GB2312"/>
              </w:rPr>
              <w:t>标准规定。不得采购转基因食品或利用转基因食品原料加工的成品。食品原料新鲜、清洁卫生，同时对每批次食品原料进行检测，具有质量检验报告（近期）。</w:t>
            </w:r>
          </w:p>
          <w:p>
            <w:pPr>
              <w:pStyle w:val="null3"/>
            </w:pPr>
            <w:r>
              <w:rPr>
                <w:rFonts w:ascii="仿宋_GB2312" w:hAnsi="仿宋_GB2312" w:cs="仿宋_GB2312" w:eastAsia="仿宋_GB2312"/>
              </w:rPr>
              <w:t>2.</w:t>
            </w:r>
            <w:r>
              <w:rPr>
                <w:rFonts w:ascii="仿宋_GB2312" w:hAnsi="仿宋_GB2312" w:cs="仿宋_GB2312" w:eastAsia="仿宋_GB2312"/>
              </w:rPr>
              <w:t>具体要求为：</w:t>
            </w:r>
          </w:p>
          <w:p>
            <w:pPr>
              <w:pStyle w:val="null3"/>
            </w:pPr>
            <w:r>
              <w:rPr>
                <w:rFonts w:ascii="仿宋_GB2312" w:hAnsi="仿宋_GB2312" w:cs="仿宋_GB2312" w:eastAsia="仿宋_GB2312"/>
              </w:rPr>
              <w:t>（</w:t>
            </w:r>
            <w:r>
              <w:rPr>
                <w:rFonts w:ascii="仿宋_GB2312" w:hAnsi="仿宋_GB2312" w:cs="仿宋_GB2312" w:eastAsia="仿宋_GB2312"/>
              </w:rPr>
              <w:t>1）所有食材均须符合《中华人民共和国食品安全法》，须具备所配送产品的检测报告或食品检验合格证；主要食材应选取大品牌。</w:t>
            </w:r>
          </w:p>
          <w:p>
            <w:pPr>
              <w:pStyle w:val="null3"/>
            </w:pPr>
            <w:r>
              <w:rPr>
                <w:rFonts w:ascii="仿宋_GB2312" w:hAnsi="仿宋_GB2312" w:cs="仿宋_GB2312" w:eastAsia="仿宋_GB2312"/>
              </w:rPr>
              <w:t>（</w:t>
            </w:r>
            <w:r>
              <w:rPr>
                <w:rFonts w:ascii="仿宋_GB2312" w:hAnsi="仿宋_GB2312" w:cs="仿宋_GB2312" w:eastAsia="仿宋_GB2312"/>
              </w:rPr>
              <w:t>2）蔬菜、禽蛋必须保证新鲜，果蔬必须符合 GB 2763 食品中农药最大残留限量标准并具有农药残留检验记录；</w:t>
            </w:r>
          </w:p>
          <w:p>
            <w:pPr>
              <w:pStyle w:val="null3"/>
            </w:pPr>
            <w:r>
              <w:rPr>
                <w:rFonts w:ascii="仿宋_GB2312" w:hAnsi="仿宋_GB2312" w:cs="仿宋_GB2312" w:eastAsia="仿宋_GB2312"/>
              </w:rPr>
              <w:t>（</w:t>
            </w:r>
            <w:r>
              <w:rPr>
                <w:rFonts w:ascii="仿宋_GB2312" w:hAnsi="仿宋_GB2312" w:cs="仿宋_GB2312" w:eastAsia="仿宋_GB2312"/>
              </w:rPr>
              <w:t>3）肉类、冷冻产品必须保证质量，应具有相关动物检验检疫合格证明，供应商应设有固定的经营场所，并具有符合卫生防疫监督部门要求的肉类食材屠宰厂的经营授权书，含水（冰）率符合标准；</w:t>
            </w:r>
          </w:p>
          <w:p>
            <w:pPr>
              <w:pStyle w:val="null3"/>
            </w:pPr>
            <w:r>
              <w:rPr>
                <w:rFonts w:ascii="仿宋_GB2312" w:hAnsi="仿宋_GB2312" w:cs="仿宋_GB2312" w:eastAsia="仿宋_GB2312"/>
              </w:rPr>
              <w:t>（</w:t>
            </w:r>
            <w:r>
              <w:rPr>
                <w:rFonts w:ascii="仿宋_GB2312" w:hAnsi="仿宋_GB2312" w:cs="仿宋_GB2312" w:eastAsia="仿宋_GB2312"/>
              </w:rPr>
              <w:t>4）杂粮及调味品要品质好，无霉变、无杂质。定型包装调味品必须保证质量并提供相关证明材料（包含但不限于“SC ”食品生产许可证、质量检测报告等）；</w:t>
            </w:r>
          </w:p>
          <w:p>
            <w:pPr>
              <w:pStyle w:val="null3"/>
            </w:pPr>
            <w:r>
              <w:rPr>
                <w:rFonts w:ascii="仿宋_GB2312" w:hAnsi="仿宋_GB2312" w:cs="仿宋_GB2312" w:eastAsia="仿宋_GB2312"/>
              </w:rPr>
              <w:t>（</w:t>
            </w:r>
            <w:r>
              <w:rPr>
                <w:rFonts w:ascii="仿宋_GB2312" w:hAnsi="仿宋_GB2312" w:cs="仿宋_GB2312" w:eastAsia="仿宋_GB2312"/>
              </w:rPr>
              <w:t>5）豆制品、乳制品及其他半成品送货当日时间不得超过保质期的 1/3 时长， 提供保证质量的相关证明材料（包含但不限于“SC ”食品生产许可证、质量检测报告等）。</w:t>
            </w:r>
          </w:p>
          <w:tbl>
            <w:tblPr>
              <w:tblInd w:type="dxa" w:w="135"/>
              <w:tblBorders>
                <w:top w:val="none" w:color="000000" w:sz="4"/>
                <w:left w:val="none" w:color="000000" w:sz="4"/>
                <w:bottom w:val="none" w:color="000000" w:sz="4"/>
                <w:right w:val="none" w:color="000000" w:sz="4"/>
                <w:insideH w:val="none"/>
                <w:insideV w:val="none"/>
              </w:tblBorders>
            </w:tblPr>
            <w:tblGrid>
              <w:gridCol w:w="233"/>
              <w:gridCol w:w="1828"/>
              <w:gridCol w:w="484"/>
            </w:tblGrid>
            <w:tr>
              <w:tc>
                <w:tcPr>
                  <w:tcW w:type="dxa" w:w="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项目</w:t>
                  </w:r>
                </w:p>
              </w:tc>
              <w:tc>
                <w:tcPr>
                  <w:tcW w:type="dxa" w:w="18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质量要求及包装标准</w:t>
                  </w:r>
                </w:p>
              </w:tc>
              <w:tc>
                <w:tcPr>
                  <w:tcW w:type="dxa" w:w="4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备注</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肉禽类</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肉身必须盖有卫生检疫章，须出具加盖国家或地方政府监督所检疫章的动物检疫证明。肉品须表皮洁净、膘厚适中、色泽鲜亮、纹理清晰、肉质细腻、无异味、去骨、无毛、按压无水迹。</w:t>
                  </w:r>
                </w:p>
              </w:tc>
              <w:tc>
                <w:tcPr>
                  <w:tcW w:type="dxa" w:w="4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所有商品必须满足国家和地</w:t>
                  </w:r>
                  <w:r>
                    <w:rPr>
                      <w:rFonts w:ascii="仿宋_GB2312" w:hAnsi="仿宋_GB2312" w:cs="仿宋_GB2312" w:eastAsia="仿宋_GB2312"/>
                    </w:rPr>
                    <w:t>方</w:t>
                  </w:r>
                  <w:r>
                    <w:rPr>
                      <w:rFonts w:ascii="仿宋_GB2312" w:hAnsi="仿宋_GB2312" w:cs="仿宋_GB2312" w:eastAsia="仿宋_GB2312"/>
                    </w:rPr>
                    <w:t>相关规定</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蔬菜类</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当季各类新鲜蔬菜以及大棚种植蔬菜，蔬菜类必须保证无黄叶、枯死叶、无虫、无杂质，须</w:t>
                  </w:r>
                  <w:r>
                    <w:rPr>
                      <w:rFonts w:ascii="仿宋_GB2312" w:hAnsi="仿宋_GB2312" w:cs="仿宋_GB2312" w:eastAsia="仿宋_GB2312"/>
                    </w:rPr>
                    <w:t>48 小时内采摘供应，原菜须保证菜面干净、无明显泥土、码放整齐、无破损、大小基本 统一、不得过熟或欠熟；净菜须保证菜面完全干净、无泥土、 按统一标准加工、码放整齐、无须二次处理可以直接进行熟加工</w:t>
                  </w:r>
                  <w:r>
                    <w:rPr>
                      <w:rFonts w:ascii="仿宋_GB2312" w:hAnsi="仿宋_GB2312" w:cs="仿宋_GB2312" w:eastAsia="仿宋_GB2312"/>
                    </w:rPr>
                    <w:t>。</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蛋类</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鲜新、大小均匀、无破损、色泽光滑，须出具加盖地方政府监督所检疫章的动物检疫证明</w:t>
                  </w:r>
                  <w:r>
                    <w:rPr>
                      <w:rFonts w:ascii="仿宋_GB2312" w:hAnsi="仿宋_GB2312" w:cs="仿宋_GB2312" w:eastAsia="仿宋_GB2312"/>
                    </w:rPr>
                    <w:t>。</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豆制品</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豆腐、豆腐干、绿豆芽、黄豆芽、红豆等；须保证食材干</w:t>
                  </w:r>
                  <w:r>
                    <w:rPr>
                      <w:rFonts w:ascii="仿宋_GB2312" w:hAnsi="仿宋_GB2312" w:cs="仿宋_GB2312" w:eastAsia="仿宋_GB2312"/>
                    </w:rPr>
                    <w:t>净、不含非食品用化学物质、按统一标准加工、码放整齐、无</w:t>
                  </w:r>
                  <w:r>
                    <w:rPr>
                      <w:rFonts w:ascii="仿宋_GB2312" w:hAnsi="仿宋_GB2312" w:cs="仿宋_GB2312" w:eastAsia="仿宋_GB2312"/>
                    </w:rPr>
                    <w:t>须二次处理可以直接进行熟加工</w:t>
                  </w:r>
                  <w:r>
                    <w:rPr>
                      <w:rFonts w:ascii="仿宋_GB2312" w:hAnsi="仿宋_GB2312" w:cs="仿宋_GB2312" w:eastAsia="仿宋_GB2312"/>
                    </w:rPr>
                    <w:t>。</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水果</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当即各类水果，无虫、无杂质，须</w:t>
                  </w:r>
                  <w:r>
                    <w:rPr>
                      <w:rFonts w:ascii="仿宋_GB2312" w:hAnsi="仿宋_GB2312" w:cs="仿宋_GB2312" w:eastAsia="仿宋_GB2312"/>
                    </w:rPr>
                    <w:t>48 小时内采摘供应，原水果须保证果面干净、无明显泥土、码放整齐、无破损、大小基本统一、不得过熟或欠熟</w:t>
                  </w:r>
                  <w:r>
                    <w:rPr>
                      <w:rFonts w:ascii="仿宋_GB2312" w:hAnsi="仿宋_GB2312" w:cs="仿宋_GB2312" w:eastAsia="仿宋_GB2312"/>
                    </w:rPr>
                    <w:t>。</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米线</w:t>
                  </w:r>
                </w:p>
                <w:p>
                  <w:pPr>
                    <w:pStyle w:val="null3"/>
                  </w:pPr>
                  <w:r>
                    <w:rPr>
                      <w:rFonts w:ascii="仿宋_GB2312" w:hAnsi="仿宋_GB2312" w:cs="仿宋_GB2312" w:eastAsia="仿宋_GB2312"/>
                    </w:rPr>
                    <w:t>面条</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米线、鲜面条、干面条、饵丝；要求原材料不含非食品用化学物质、不掺假、不过期、不变质、不变味、无杂质、无毒害，符合国家食品行业的标准</w:t>
                  </w:r>
                  <w:r>
                    <w:rPr>
                      <w:rFonts w:ascii="仿宋_GB2312" w:hAnsi="仿宋_GB2312" w:cs="仿宋_GB2312" w:eastAsia="仿宋_GB2312"/>
                    </w:rPr>
                    <w:t>。</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水产品</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冻品</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冻品外包装需完整，无破损，无不封口现象，有生产日期。</w:t>
                  </w:r>
                  <w:r>
                    <w:rPr>
                      <w:rFonts w:ascii="仿宋_GB2312" w:hAnsi="仿宋_GB2312" w:cs="仿宋_GB2312" w:eastAsia="仿宋_GB2312"/>
                    </w:rPr>
                    <w:t>冻品在解冻后，发现质量问题需退货。符合国家绿色批发市场标准，应具备满足交易需要的冷冻贮藏设施，</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调料</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外包装无污物、无泄漏，无胀袋或胖听或鼓盖现象，无变质发霉现象。</w:t>
                  </w:r>
                </w:p>
                <w:p>
                  <w:pPr>
                    <w:pStyle w:val="null3"/>
                  </w:pPr>
                  <w:r>
                    <w:rPr>
                      <w:rFonts w:ascii="仿宋_GB2312" w:hAnsi="仿宋_GB2312" w:cs="仿宋_GB2312" w:eastAsia="仿宋_GB2312"/>
                    </w:rPr>
                    <w:t>色泽正常，具有该品种固有的香味，滋味无异味，油酱均匀的酱体或无结块的粉状固体，封口平整，无破包，夹包，漏包，无污染</w:t>
                  </w:r>
                  <w:r>
                    <w:rPr>
                      <w:rFonts w:ascii="仿宋_GB2312" w:hAnsi="仿宋_GB2312" w:cs="仿宋_GB2312" w:eastAsia="仿宋_GB2312"/>
                    </w:rPr>
                    <w:t>。</w:t>
                  </w:r>
                </w:p>
              </w:tc>
              <w:tc>
                <w:tcPr>
                  <w:tcW w:type="dxa" w:w="484"/>
                  <w:vMerge/>
                  <w:tcBorders>
                    <w:top w:val="non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副食及</w:t>
                  </w:r>
                </w:p>
                <w:p>
                  <w:pPr>
                    <w:pStyle w:val="null3"/>
                  </w:pPr>
                  <w:r>
                    <w:rPr>
                      <w:rFonts w:ascii="仿宋_GB2312" w:hAnsi="仿宋_GB2312" w:cs="仿宋_GB2312" w:eastAsia="仿宋_GB2312"/>
                    </w:rPr>
                    <w:t>其他</w:t>
                  </w:r>
                </w:p>
              </w:tc>
              <w:tc>
                <w:tcPr>
                  <w:tcW w:type="dxa" w:w="1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须保证食材干净、不含非食品用化学物质、按统一标准加工、码放整齐、无须二次处理可以直接进行熟加工。</w:t>
                  </w:r>
                </w:p>
              </w:tc>
              <w:tc>
                <w:tcPr>
                  <w:tcW w:type="dxa" w:w="484"/>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b/>
              </w:rPr>
              <w:t>注：如国家制定新的食品安全标准，即按新标准执行。</w:t>
            </w:r>
          </w:p>
          <w:p>
            <w:pPr>
              <w:pStyle w:val="null3"/>
              <w:jc w:val="both"/>
            </w:pPr>
            <w:r>
              <w:rPr>
                <w:rFonts w:ascii="仿宋_GB2312" w:hAnsi="仿宋_GB2312" w:cs="仿宋_GB2312" w:eastAsia="仿宋_GB2312"/>
                <w:sz w:val="21"/>
                <w:b/>
              </w:rPr>
              <w:t>注：本项目核心产品为</w:t>
            </w:r>
            <w:r>
              <w:rPr>
                <w:rFonts w:ascii="仿宋_GB2312" w:hAnsi="仿宋_GB2312" w:cs="仿宋_GB2312" w:eastAsia="仿宋_GB2312"/>
                <w:sz w:val="21"/>
                <w:b/>
              </w:rPr>
              <w:t>“大米”</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包装与质量要求</w:t>
            </w:r>
          </w:p>
          <w:p>
            <w:pPr>
              <w:pStyle w:val="null3"/>
            </w:pPr>
            <w:r>
              <w:rPr>
                <w:rFonts w:ascii="仿宋_GB2312" w:hAnsi="仿宋_GB2312" w:cs="仿宋_GB2312" w:eastAsia="仿宋_GB2312"/>
              </w:rPr>
              <w:t>1.</w:t>
            </w:r>
            <w:r>
              <w:rPr>
                <w:rFonts w:ascii="仿宋_GB2312" w:hAnsi="仿宋_GB2312" w:cs="仿宋_GB2312" w:eastAsia="仿宋_GB2312"/>
              </w:rPr>
              <w:t>货物包装应完好无破漏，可视的内容物无腐败霉变或影响使用的变型，不存在危及人身、财产安全的不合理危险。</w:t>
            </w:r>
          </w:p>
          <w:p>
            <w:pPr>
              <w:pStyle w:val="null3"/>
            </w:pPr>
            <w:r>
              <w:rPr>
                <w:rFonts w:ascii="仿宋_GB2312" w:hAnsi="仿宋_GB2312" w:cs="仿宋_GB2312" w:eastAsia="仿宋_GB2312"/>
              </w:rPr>
              <w:t>2.</w:t>
            </w:r>
            <w:r>
              <w:rPr>
                <w:rFonts w:ascii="仿宋_GB2312" w:hAnsi="仿宋_GB2312" w:cs="仿宋_GB2312" w:eastAsia="仿宋_GB2312"/>
              </w:rPr>
              <w:t>食品包装标签应符合《食品安全国家标准预包装食品标签通则》</w:t>
            </w:r>
            <w:r>
              <w:rPr>
                <w:rFonts w:ascii="仿宋_GB2312" w:hAnsi="仿宋_GB2312" w:cs="仿宋_GB2312" w:eastAsia="仿宋_GB2312"/>
              </w:rPr>
              <w:t>（</w:t>
            </w:r>
            <w:r>
              <w:rPr>
                <w:rFonts w:ascii="仿宋_GB2312" w:hAnsi="仿宋_GB2312" w:cs="仿宋_GB2312" w:eastAsia="仿宋_GB2312"/>
              </w:rPr>
              <w:t>GB7718-2011）要求，包括食品名称、配料表、净含量、规格、制造商（或）经销者的名称、地址和联系方式、生产日期和保质期、贮存条件、食品生产许可证编号、产品标准代号等内容。</w:t>
            </w:r>
          </w:p>
          <w:p>
            <w:pPr>
              <w:pStyle w:val="null3"/>
            </w:pPr>
            <w:r>
              <w:rPr>
                <w:rFonts w:ascii="仿宋_GB2312" w:hAnsi="仿宋_GB2312" w:cs="仿宋_GB2312" w:eastAsia="仿宋_GB2312"/>
              </w:rPr>
              <w:t>3.</w:t>
            </w:r>
            <w:r>
              <w:rPr>
                <w:rFonts w:ascii="仿宋_GB2312" w:hAnsi="仿宋_GB2312" w:cs="仿宋_GB2312" w:eastAsia="仿宋_GB2312"/>
              </w:rPr>
              <w:t>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w:t>
            </w:r>
            <w:r>
              <w:rPr>
                <w:rFonts w:ascii="仿宋_GB2312" w:hAnsi="仿宋_GB2312" w:cs="仿宋_GB2312" w:eastAsia="仿宋_GB2312"/>
              </w:rPr>
              <w:t>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4.</w:t>
            </w:r>
            <w:r>
              <w:rPr>
                <w:rFonts w:ascii="仿宋_GB2312" w:hAnsi="仿宋_GB2312" w:cs="仿宋_GB2312" w:eastAsia="仿宋_GB2312"/>
              </w:rPr>
              <w:t>不得提供未经检疫或者检疫不合格的肉类品</w:t>
            </w:r>
            <w:r>
              <w:rPr>
                <w:rFonts w:ascii="仿宋_GB2312" w:hAnsi="仿宋_GB2312" w:cs="仿宋_GB2312" w:eastAsia="仿宋_GB2312"/>
              </w:rPr>
              <w:t>(含熟制品)、蔬菜制品，对带骨头肉制品按要求切块，须当批次《肉类卫生防疫证明》和蔬菜农药残留检测报告供采购人随时抽查，抽查发现供应商提供的物资合格证明材料与本批次物资不符时，每次给予 1000 元处罚。</w:t>
            </w:r>
          </w:p>
          <w:p>
            <w:pPr>
              <w:pStyle w:val="null3"/>
            </w:pPr>
            <w:r>
              <w:rPr>
                <w:rFonts w:ascii="仿宋_GB2312" w:hAnsi="仿宋_GB2312" w:cs="仿宋_GB2312" w:eastAsia="仿宋_GB2312"/>
              </w:rPr>
              <w:t>5.</w:t>
            </w:r>
            <w:r>
              <w:rPr>
                <w:rFonts w:ascii="仿宋_GB2312" w:hAnsi="仿宋_GB2312" w:cs="仿宋_GB2312" w:eastAsia="仿宋_GB2312"/>
              </w:rPr>
              <w:t>不得提供来历不明、不能提供相应产品标签的散装物品。</w:t>
            </w:r>
          </w:p>
          <w:p>
            <w:pPr>
              <w:pStyle w:val="null3"/>
            </w:pPr>
            <w:r>
              <w:rPr>
                <w:rFonts w:ascii="仿宋_GB2312" w:hAnsi="仿宋_GB2312" w:cs="仿宋_GB2312" w:eastAsia="仿宋_GB2312"/>
              </w:rPr>
              <w:t>6.</w:t>
            </w:r>
            <w:r>
              <w:rPr>
                <w:rFonts w:ascii="仿宋_GB2312" w:hAnsi="仿宋_GB2312" w:cs="仿宋_GB2312" w:eastAsia="仿宋_GB2312"/>
              </w:rPr>
              <w:t>当天送达食品，在检查过程中发现存在变质腐败、油脂酸败、霉变、生</w:t>
            </w:r>
            <w:r>
              <w:rPr>
                <w:rFonts w:ascii="仿宋_GB2312" w:hAnsi="仿宋_GB2312" w:cs="仿宋_GB2312" w:eastAsia="仿宋_GB2312"/>
              </w:rPr>
              <w:t>虫、污秽不洁、混有异物或者其他感官性状异常、含有毒有害物质或者被有毒有害物质污染，可能对人体健康有害的物品，供应商必须在当天及时更换货物，如有造成的损失由供应商承担。</w:t>
            </w:r>
          </w:p>
          <w:p>
            <w:pPr>
              <w:pStyle w:val="null3"/>
            </w:pPr>
            <w:r>
              <w:rPr>
                <w:rFonts w:ascii="仿宋_GB2312" w:hAnsi="仿宋_GB2312" w:cs="仿宋_GB2312" w:eastAsia="仿宋_GB2312"/>
              </w:rPr>
              <w:t>7.</w:t>
            </w:r>
            <w:r>
              <w:rPr>
                <w:rFonts w:ascii="仿宋_GB2312" w:hAnsi="仿宋_GB2312" w:cs="仿宋_GB2312" w:eastAsia="仿宋_GB2312"/>
              </w:rPr>
              <w:t>供应商提供的物资必须达到国家规定的卫生安全标准，蔬菜、禽蛋、畜禽肉类等食品能够按有相应的质量检疫检验报告供采购人随时抽查，抽查发现供应商提供的报告与本批次物资不符时，采购人按本批物资量合同价值的</w:t>
            </w:r>
            <w:r>
              <w:rPr>
                <w:rFonts w:ascii="仿宋_GB2312" w:hAnsi="仿宋_GB2312" w:cs="仿宋_GB2312" w:eastAsia="仿宋_GB2312"/>
              </w:rPr>
              <w:t>3 倍给予处罚。</w:t>
            </w:r>
          </w:p>
          <w:p>
            <w:pPr>
              <w:pStyle w:val="null3"/>
            </w:pPr>
            <w:r>
              <w:rPr>
                <w:rFonts w:ascii="仿宋_GB2312" w:hAnsi="仿宋_GB2312" w:cs="仿宋_GB2312" w:eastAsia="仿宋_GB2312"/>
              </w:rPr>
              <w:t>8.</w:t>
            </w:r>
            <w:r>
              <w:rPr>
                <w:rFonts w:ascii="仿宋_GB2312" w:hAnsi="仿宋_GB2312" w:cs="仿宋_GB2312" w:eastAsia="仿宋_GB2312"/>
              </w:rPr>
              <w:t>物资产品在送达采购人指定地点时保质期剩余时间应在三分之二以上。</w:t>
            </w:r>
          </w:p>
          <w:p>
            <w:pPr>
              <w:pStyle w:val="null3"/>
            </w:pPr>
            <w:r>
              <w:rPr>
                <w:rFonts w:ascii="仿宋_GB2312" w:hAnsi="仿宋_GB2312" w:cs="仿宋_GB2312" w:eastAsia="仿宋_GB2312"/>
              </w:rPr>
              <w:t>9.</w:t>
            </w:r>
            <w:r>
              <w:rPr>
                <w:rFonts w:ascii="仿宋_GB2312" w:hAnsi="仿宋_GB2312" w:cs="仿宋_GB2312" w:eastAsia="仿宋_GB2312"/>
              </w:rPr>
              <w:t>如因供应商提供的物资，因质量等问题而使采购人人员发生食物中毒事件的，供应商将承担相应的法律责任。</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供应商配送的食品应无毒、无害，具有完好的形、色、香、味等性状，</w:t>
            </w:r>
            <w:r>
              <w:rPr>
                <w:rFonts w:ascii="仿宋_GB2312" w:hAnsi="仿宋_GB2312" w:cs="仿宋_GB2312" w:eastAsia="仿宋_GB2312"/>
                <w:sz w:val="21"/>
              </w:rPr>
              <w:t>并符合质量要求。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运输要求</w:t>
            </w:r>
          </w:p>
          <w:p>
            <w:pPr>
              <w:pStyle w:val="null3"/>
            </w:pPr>
            <w:r>
              <w:rPr>
                <w:rFonts w:ascii="仿宋_GB2312" w:hAnsi="仿宋_GB2312" w:cs="仿宋_GB2312" w:eastAsia="仿宋_GB2312"/>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1.</w:t>
            </w:r>
            <w:r>
              <w:rPr>
                <w:rFonts w:ascii="仿宋_GB2312" w:hAnsi="仿宋_GB2312" w:cs="仿宋_GB2312" w:eastAsia="仿宋_GB2312"/>
              </w:rPr>
              <w:t>原材料配送</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w:t>
            </w:r>
            <w:r>
              <w:rPr>
                <w:rFonts w:ascii="仿宋_GB2312" w:hAnsi="仿宋_GB2312" w:cs="仿宋_GB2312" w:eastAsia="仿宋_GB2312"/>
              </w:rPr>
              <w:t>8 点前将各类蔬菜配送至采购人指定地点。</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肉禽蛋类由采购人根据菜谱需求，提前书面（传真或邮件）告知肉禽蛋类供应商肉禽蛋类需求计划，供应商须在当日做出响应，如有某些菜品出现市场断档，当日及时告知采购人，以便采购人做出必要调整，肉禽蛋类供应商根据菜谱上的每日需求，当天配送。</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水产类配送方式同肉禽蛋类配送方式。</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干货、调味品类由采购人根据菜谱需求，提前书面（传真或邮件）告知供应商，供应商须在</w:t>
            </w:r>
            <w:r>
              <w:rPr>
                <w:rFonts w:ascii="仿宋_GB2312" w:hAnsi="仿宋_GB2312" w:cs="仿宋_GB2312" w:eastAsia="仿宋_GB2312"/>
              </w:rPr>
              <w:t>2 日内书面（传真或邮件）告知采购人准备情况，每周根据需要配送当周产品。</w:t>
            </w:r>
          </w:p>
          <w:p>
            <w:pPr>
              <w:pStyle w:val="null3"/>
            </w:pPr>
            <w:r>
              <w:rPr>
                <w:rFonts w:ascii="仿宋_GB2312" w:hAnsi="仿宋_GB2312" w:cs="仿宋_GB2312" w:eastAsia="仿宋_GB2312"/>
              </w:rPr>
              <w:t>注：如遇采购人所属单位出现紧急任务或加班备勤等突发状况时，供应商必须在第一时间内将食品原材料配送到位。</w:t>
            </w:r>
          </w:p>
          <w:p>
            <w:pPr>
              <w:pStyle w:val="null3"/>
            </w:pPr>
            <w:r>
              <w:rPr>
                <w:rFonts w:ascii="仿宋_GB2312" w:hAnsi="仿宋_GB2312" w:cs="仿宋_GB2312" w:eastAsia="仿宋_GB2312"/>
              </w:rPr>
              <w:t>2.</w:t>
            </w:r>
            <w:r>
              <w:rPr>
                <w:rFonts w:ascii="仿宋_GB2312" w:hAnsi="仿宋_GB2312" w:cs="仿宋_GB2312" w:eastAsia="仿宋_GB2312"/>
              </w:rPr>
              <w:t>其他配送要求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须有冷链配送服务，鲜活物品保证在送达指定地点后依旧新鲜。</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成交供应商将货物按要求保质保量送到采购人指定地点，并提供本批次货物的货物清单（含货物种类、数量、价格等）、果蔬农残检测报告、动物检疫合格证明和肉品品质检验合格证。</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成交供应商提供的产品若出现不合格产品或在运输途中出现破损的，应在接到采购人通知后及时响应并进行处理。</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成交供应商必须将所报项目的服务人员在采购人相关科室备案，保证采购人在有供货需求时能顺利联系到服务人员。</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成交供应商提供的产品必须是通过正规渠道采购，若发现成交供应商提供的产品属于假货，采购人有权进行处罚并终止合同。</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成交供应商需提供合法有效的营业执照，食品经营许可证，西安市食用农产品重点品种经营备案证。</w:t>
            </w:r>
          </w:p>
          <w:p>
            <w:pPr>
              <w:pStyle w:val="null3"/>
            </w:pPr>
            <w:r>
              <w:rPr>
                <w:rFonts w:ascii="仿宋_GB2312" w:hAnsi="仿宋_GB2312" w:cs="仿宋_GB2312" w:eastAsia="仿宋_GB2312"/>
              </w:rPr>
              <w:t>3.</w:t>
            </w:r>
            <w:r>
              <w:rPr>
                <w:rFonts w:ascii="仿宋_GB2312" w:hAnsi="仿宋_GB2312" w:cs="仿宋_GB2312" w:eastAsia="仿宋_GB2312"/>
              </w:rPr>
              <w:t>食材价格</w:t>
            </w:r>
          </w:p>
          <w:p>
            <w:pPr>
              <w:pStyle w:val="null3"/>
              <w:jc w:val="both"/>
            </w:pPr>
            <w:r>
              <w:rPr>
                <w:rFonts w:ascii="仿宋_GB2312" w:hAnsi="仿宋_GB2312" w:cs="仿宋_GB2312" w:eastAsia="仿宋_GB2312"/>
                <w:sz w:val="21"/>
              </w:rPr>
              <w:t>食品原材料价格由采购人询价或以物价局当日公示价格为标准，以不高</w:t>
            </w:r>
            <w:r>
              <w:rPr>
                <w:rFonts w:ascii="仿宋_GB2312" w:hAnsi="仿宋_GB2312" w:cs="仿宋_GB2312" w:eastAsia="仿宋_GB2312"/>
                <w:sz w:val="21"/>
              </w:rPr>
              <w:t>于市场零售价为原则。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交货期：接到采购人通知第二日送达，或按采购人要求时间送达 服务期：合同签订之日起 1 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食品质量按照《中华人民共和国食品安全法》、《中华人民共和国产品质量法》、《中华人民共和国家农产品质量安全法》保证食品质量。提供的食品必须符合上述法律法规的规定或国家或行业现行规定的相关标准。 验收：符合国家和行业制定的相应的标准和规范；原材料验收由采购单位业务管理方、供应方、餐厅使用方，三方现场检验，对供应产品的质量无异议数量准确无误后，三方签字，各自留存。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以合同具体要求为准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如谈判文件中融资相关内容与新政策要求有出入，按照最新要求执行。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供应商应授权合法的人员参加谈判全过程，法定代表人授权代表参加谈判的，须出具法定代表人授权委托书：法定代表人授权委托书（附法定代表人身份证复印件及被授权人身份证复印件）；法定代表人直接参加谈判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提供自2024年10月1日以来已缴存的任意1个月的社会保障资金缴存单据或社保机构开具的社会保险参保缴费情况证明；依法不需要缴纳社会保障资金的供应商应提供相关证明文件。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提供自2024年10月1日以来已缴纳的任意1个月的依法缴纳税收的相关凭据(时间以税款所属日期为准)，凭据应有税务机关或代收机关的公章或业务专用章；依法免税或无须缴纳税收的供应商，应提供相应证明文件。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供应商须提供有效的《食品经营许可证》。</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响应文件上法定代表人或委托代理人的签字、盖章齐全</w:t>
            </w:r>
          </w:p>
        </w:tc>
        <w:tc>
          <w:tcPr>
            <w:tcW w:type="dxa" w:w="1661"/>
          </w:tcPr>
          <w:p>
            <w:pPr>
              <w:pStyle w:val="null3"/>
            </w:pPr>
            <w:r>
              <w:rPr>
                <w:rFonts w:ascii="仿宋_GB2312" w:hAnsi="仿宋_GB2312" w:cs="仿宋_GB2312" w:eastAsia="仿宋_GB2312"/>
              </w:rPr>
              <w:t>业绩一览表.docx 中小企业声明函 商务要求应答表.docx 报价表 技术要求应答表.docx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业绩一览表.docx 中小企业声明函 商务要求应答表.docx 报价表 技术要求应答表.docx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谈判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业绩一览表.docx 中小企业声明函 商务要求应答表.docx 报价表 技术要求应答表.docx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 中小企业声明函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