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版本号：0701-2541SX06000720251015001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西安市中小学心理健康教育分管校领导培训项目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0701-2541SX060007</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西安市中小学心理健康教育分管校领导培训项目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西安市中小学心理健康教育分管校领导培训项目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旨在提升分管校领导对心理健康教育工作的战略规划能力、政策执行力和资源统筹力，通过系统化培训帮助校领导准确把握心理健康教育的发展方向，建立健全学校心理健康教育工作机制，科学配置专业师资和课程资源，切实将心理健康教育纳入学校整体发展规划。项目的开展既是落实立德树人根本任务的内在要求，也是应对当前中小学生心理问题多发态势的必然选择，对推动西安市中小学心理健康教育工作规范化、专业化发展具有重要的引领作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采购包1（西安市中小学心理健康教育分管校领导培训项目）：属于专门面向中小企业采购。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4、税收缴纳证明：提供2024年10月至今任意一个月已缴纳完税凭证或税务机关开具的完税证明（任意税种）；依法免税的应提供相关文件证明。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5、社保缴纳证明：提供2024年10月至今任意一个月已缴纳的社会保障资金缴存单据或社保机构开具的社会保险参保缴费情况证明；依法不需要缴纳社会保障资金的应提供相关文件证明。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1.按照采购人要求，依据现场实际需要，确保西安市中小学心理健康教育分管校领导培训项目项目圆满结束。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当前加强青少年心理健康教育的迫切需求和政策导向的重要举措。近年来，随着《健康中国2030规划纲要》《全面加强和改进新时代学生心理健康工作专项行动计划（2023-2025年）》等国家政策的相继出台，以及陕西省教育厅关于"十四五"期间加强中小学心理健康教育工作的具体要求，对学校心理健康教育工作提出了更高标准。该项目旨在提升分管校领导对心理健康教育工作的战略规划能力、政策执行力和资源统筹力，通过系统化培训帮助校领导准确把握心理健康教育的发展方向，建立健全学校心理健康教育工作机制，科学配置专业师资和课程资源，切实将心理健康教育纳入学校整体发展规划。项目的开展既是落实立德树人根本任务的内在要求，也是应对当前中小学生心理问题多发态势的必然选择，对推动西安市中小学心理健康教育工作规范化、专业化发展具有重要的引领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西安市中小学心理健康教育分管校领导培训项目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标的名称：西安市中小学心理健康教育分管校领导培训项目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培训对象：西安市中小学心理健康教育分管校领导。</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培训人数：</w:t>
            </w:r>
            <w:r>
              <w:rPr>
                <w:rFonts w:ascii="仿宋_GB2312" w:hAnsi="仿宋_GB2312" w:cs="仿宋_GB2312" w:eastAsia="仿宋_GB2312"/>
                <w:sz w:val="21"/>
              </w:rPr>
              <w:t>1000</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培训周期：</w:t>
            </w:r>
            <w:r>
              <w:rPr>
                <w:rFonts w:ascii="仿宋_GB2312" w:hAnsi="仿宋_GB2312" w:cs="仿宋_GB2312" w:eastAsia="仿宋_GB2312"/>
                <w:sz w:val="21"/>
              </w:rPr>
              <w:t>3</w:t>
            </w:r>
            <w:r>
              <w:rPr>
                <w:rFonts w:ascii="仿宋_GB2312" w:hAnsi="仿宋_GB2312" w:cs="仿宋_GB2312" w:eastAsia="仿宋_GB2312"/>
                <w:sz w:val="21"/>
              </w:rPr>
              <w:t>天（分批集中）</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培训内容：通过心理健康教育政策法规与区域规划解读；学校心理健康工作机制设计（资源配置、跨部门协作、督导评估）；突发危机事件处置与家校社协同策略；舆论应对及案例推演等方面的培训，强化分管校领导顶层设计能力，推动心理健康教育政策落地，统筹构建“预防</w:t>
            </w:r>
            <w:r>
              <w:rPr>
                <w:rFonts w:ascii="仿宋_GB2312" w:hAnsi="仿宋_GB2312" w:cs="仿宋_GB2312" w:eastAsia="仿宋_GB2312"/>
                <w:sz w:val="21"/>
              </w:rPr>
              <w:t>-</w:t>
            </w:r>
            <w:r>
              <w:rPr>
                <w:rFonts w:ascii="仿宋_GB2312" w:hAnsi="仿宋_GB2312" w:cs="仿宋_GB2312" w:eastAsia="仿宋_GB2312"/>
                <w:sz w:val="21"/>
              </w:rPr>
              <w:t>干预</w:t>
            </w:r>
            <w:r>
              <w:rPr>
                <w:rFonts w:ascii="仿宋_GB2312" w:hAnsi="仿宋_GB2312" w:cs="仿宋_GB2312" w:eastAsia="仿宋_GB2312"/>
                <w:sz w:val="21"/>
              </w:rPr>
              <w:t>-</w:t>
            </w:r>
            <w:r>
              <w:rPr>
                <w:rFonts w:ascii="仿宋_GB2312" w:hAnsi="仿宋_GB2312" w:cs="仿宋_GB2312" w:eastAsia="仿宋_GB2312"/>
                <w:sz w:val="21"/>
              </w:rPr>
              <w:t>保障”全链条管理体系。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培训方式：项目采用</w:t>
            </w:r>
            <w:r>
              <w:rPr>
                <w:rFonts w:ascii="仿宋_GB2312" w:hAnsi="仿宋_GB2312" w:cs="仿宋_GB2312" w:eastAsia="仿宋_GB2312"/>
                <w:sz w:val="21"/>
              </w:rPr>
              <w:t>"</w:t>
            </w:r>
            <w:r>
              <w:rPr>
                <w:rFonts w:ascii="仿宋_GB2312" w:hAnsi="仿宋_GB2312" w:cs="仿宋_GB2312" w:eastAsia="仿宋_GB2312"/>
                <w:sz w:val="21"/>
              </w:rPr>
              <w:t>理论</w:t>
            </w:r>
            <w:r>
              <w:rPr>
                <w:rFonts w:ascii="仿宋_GB2312" w:hAnsi="仿宋_GB2312" w:cs="仿宋_GB2312" w:eastAsia="仿宋_GB2312"/>
                <w:sz w:val="21"/>
              </w:rPr>
              <w:t>+</w:t>
            </w:r>
            <w:r>
              <w:rPr>
                <w:rFonts w:ascii="仿宋_GB2312" w:hAnsi="仿宋_GB2312" w:cs="仿宋_GB2312" w:eastAsia="仿宋_GB2312"/>
                <w:sz w:val="21"/>
              </w:rPr>
              <w:t>实践</w:t>
            </w:r>
            <w:r>
              <w:rPr>
                <w:rFonts w:ascii="仿宋_GB2312" w:hAnsi="仿宋_GB2312" w:cs="仿宋_GB2312" w:eastAsia="仿宋_GB2312"/>
                <w:sz w:val="21"/>
              </w:rPr>
              <w:t>"</w:t>
            </w:r>
            <w:r>
              <w:rPr>
                <w:rFonts w:ascii="仿宋_GB2312" w:hAnsi="仿宋_GB2312" w:cs="仿宋_GB2312" w:eastAsia="仿宋_GB2312"/>
                <w:sz w:val="21"/>
              </w:rPr>
              <w:t>相结合的多元化培训方式，通过专家讲座、案例分析、情景模拟、名校考察、工作坊研讨等形式开展系统培训。邀请心理健康教育领域知名专家开展专题讲座，解读最新政策与前沿理论；组织参训校领导赴心理健康教育示范校进行实地观摩学习；通过分组研讨和情景模拟演练，提升应对校园心理危机事件的处置能力；安排经验交流分享会，促进校际间心理健康教育工作经验的互学互鉴，全方位、多层次的培训模式，旨在全面提升分管校领导的心理健康教育领导力、政策执行力和资源统筹能力，为推进西安市中小学心理健康教育工作高质量发展提供有力保障。</w:t>
            </w:r>
          </w:p>
          <w:p>
            <w:pPr>
              <w:pStyle w:val="null3"/>
            </w:pPr>
            <w:r>
              <w:rPr>
                <w:rFonts w:ascii="仿宋_GB2312" w:hAnsi="仿宋_GB2312" w:cs="仿宋_GB2312" w:eastAsia="仿宋_GB2312"/>
                <w:sz w:val="21"/>
              </w:rPr>
              <w:t xml:space="preserve">    6.</w:t>
            </w:r>
            <w:r>
              <w:rPr>
                <w:rFonts w:ascii="仿宋_GB2312" w:hAnsi="仿宋_GB2312" w:cs="仿宋_GB2312" w:eastAsia="仿宋_GB2312"/>
                <w:sz w:val="21"/>
              </w:rPr>
              <w:t>供应商须提供项目方案、课程讲座内容名称、课程安排等详细信息。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服务结束后由采购人组织验收。验收依据：磋商文件、磋商响应文件、合同文本、国内相应的标准、规范。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所有培训结束后供应商向采购人提交项目验收资料，经采购人验收合格后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一、评审内容：针对于本项目的需求理解包括①培训目标分析；②培训对象特点分析；③核心需求；④政策导向分析；⑤培训对象分层分类精准分析。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15分）：①培训目标分析，每完全满足一项评审标准得1分，满分3分；②培训对象特点分析，每完全满足一项评审标准得1分，满分3分；③核心需求，每完全满足一项评审标准得1分，满分3分；④政策导向分析，每完全满足一项评审标准得1分，满分3分；⑤培训对象分层分类精准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一、评审内容：针对于本项目的服务方案包括①服务总体设想、目标及计划安排；②服务重难点分析及解决措施；③服务方式多样化（线上线下相结合的服务方式）；④专家团队师资力量；⑤研修资源。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训前调研、培训实施、训后总结等）；③资源计划与成本负荷；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训前调研、培训实施、训后总结等），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服务技术规范及相关标准）；②质量阶段控制方案（规划、控制、改进等）；③保证质量技术与技术运用；④保证质量的培训与技能提升；⑤风险管理与应对措施。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培训场地及培训设施安排</w:t>
            </w:r>
          </w:p>
        </w:tc>
        <w:tc>
          <w:tcPr>
            <w:tcW w:type="dxa" w:w="2492"/>
          </w:tcPr>
          <w:p>
            <w:pPr>
              <w:pStyle w:val="null3"/>
            </w:pPr>
            <w:r>
              <w:rPr>
                <w:rFonts w:ascii="仿宋_GB2312" w:hAnsi="仿宋_GB2312" w:cs="仿宋_GB2312" w:eastAsia="仿宋_GB2312"/>
              </w:rPr>
              <w:t>一、评审内容：集中培训场地满足以下要求:地理位置与交通、场地容量与空间布局、设施设备、安全与应急。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三、赋分标准（满分10分）：集中培训场地：地理位置与交通、场地容量与空间布局、设施设备、安全与应急，每完全满足一项评审标准得2分，满分10分。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一、评审内容：针对于本项目的项目团队包括①拟配备本项目团队人员及组织结构方案说明；②人员专业配备情况，满足本项目实际需求。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三、赋分标准（满分10分）：①拟配备本项目团队人员及组织结构方案说明，每完全满足一项评审标准得1分，满分5分；②人员专业配备情况，满足本项目实际需求，每完全满足一项评审标准得1分，满分5分。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详见附件：《西安市中小学心理健康教育分管校领导培训项目》合同.docx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