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89D24">
      <w:pPr>
        <w:spacing w:line="360" w:lineRule="auto"/>
        <w:jc w:val="center"/>
        <w:rPr>
          <w:rFonts w:ascii="方正小标宋简体" w:hAnsi="仿宋" w:eastAsia="方正小标宋简体" w:cstheme="minorEastAsia"/>
          <w:sz w:val="52"/>
          <w:szCs w:val="44"/>
          <w:u w:val="single"/>
        </w:rPr>
      </w:pPr>
      <w:r>
        <w:rPr>
          <w:rFonts w:hint="eastAsia" w:ascii="方正小标宋简体" w:hAnsi="仿宋" w:eastAsia="方正小标宋简体" w:cstheme="minorEastAsia"/>
          <w:sz w:val="52"/>
          <w:szCs w:val="44"/>
        </w:rPr>
        <w:t>西安市第三医院</w:t>
      </w:r>
    </w:p>
    <w:p w14:paraId="44713FFA">
      <w:pPr>
        <w:spacing w:line="360" w:lineRule="auto"/>
        <w:jc w:val="center"/>
        <w:rPr>
          <w:rFonts w:ascii="仿宋" w:hAnsi="仿宋" w:eastAsia="仿宋" w:cstheme="minorEastAsia"/>
          <w:sz w:val="44"/>
          <w:szCs w:val="44"/>
        </w:rPr>
      </w:pPr>
      <w:r>
        <w:rPr>
          <w:rFonts w:hint="eastAsia" w:ascii="方正小标宋简体" w:hAnsi="仿宋" w:eastAsia="方正小标宋简体" w:cstheme="minorEastAsia"/>
          <w:sz w:val="52"/>
          <w:szCs w:val="44"/>
          <w:u w:val="single"/>
        </w:rPr>
        <w:t xml:space="preserve"> </w:t>
      </w:r>
      <w:r>
        <w:rPr>
          <w:rFonts w:ascii="方正小标宋简体" w:hAnsi="仿宋" w:eastAsia="方正小标宋简体" w:cstheme="minorEastAsia"/>
          <w:sz w:val="52"/>
          <w:szCs w:val="44"/>
          <w:u w:val="single"/>
        </w:rPr>
        <w:t xml:space="preserve">            </w:t>
      </w:r>
      <w:r>
        <w:rPr>
          <w:rFonts w:hint="eastAsia" w:ascii="方正小标宋简体" w:hAnsi="仿宋" w:eastAsia="方正小标宋简体" w:cstheme="minorEastAsia"/>
          <w:sz w:val="52"/>
          <w:szCs w:val="44"/>
          <w:u w:val="single"/>
        </w:rPr>
        <w:t xml:space="preserve">  </w:t>
      </w:r>
      <w:r>
        <w:rPr>
          <w:rFonts w:hint="eastAsia" w:ascii="方正小标宋简体" w:hAnsi="仿宋" w:eastAsia="方正小标宋简体" w:cstheme="minorEastAsia"/>
          <w:sz w:val="52"/>
          <w:szCs w:val="44"/>
        </w:rPr>
        <w:t>维保服务合同</w:t>
      </w:r>
    </w:p>
    <w:p w14:paraId="539D318F">
      <w:pPr>
        <w:spacing w:line="360" w:lineRule="auto"/>
        <w:jc w:val="center"/>
        <w:rPr>
          <w:rFonts w:ascii="仿宋" w:hAnsi="仿宋" w:eastAsia="仿宋" w:cstheme="minorEastAsia"/>
          <w:b/>
          <w:sz w:val="32"/>
          <w:szCs w:val="32"/>
        </w:rPr>
      </w:pPr>
      <w:r>
        <w:rPr>
          <w:rFonts w:hint="eastAsia" w:ascii="仿宋" w:hAnsi="仿宋" w:eastAsia="仿宋" w:cs="宋体"/>
          <w:b/>
          <w:sz w:val="30"/>
        </w:rPr>
        <w:t>项目编号：</w:t>
      </w:r>
      <w:r>
        <w:rPr>
          <w:rFonts w:ascii="仿宋" w:hAnsi="仿宋" w:eastAsia="仿宋" w:cstheme="minorEastAsia"/>
          <w:b/>
          <w:sz w:val="32"/>
          <w:szCs w:val="32"/>
        </w:rPr>
        <w:t xml:space="preserve"> </w:t>
      </w:r>
    </w:p>
    <w:p w14:paraId="3071A58A">
      <w:pPr>
        <w:spacing w:line="360" w:lineRule="auto"/>
        <w:jc w:val="center"/>
        <w:rPr>
          <w:rFonts w:ascii="仿宋" w:hAnsi="仿宋" w:eastAsia="仿宋" w:cstheme="minorEastAsia"/>
          <w:b/>
          <w:sz w:val="32"/>
          <w:szCs w:val="32"/>
        </w:rPr>
      </w:pPr>
    </w:p>
    <w:p w14:paraId="52CEA046">
      <w:pPr>
        <w:spacing w:line="360" w:lineRule="auto"/>
        <w:jc w:val="center"/>
        <w:rPr>
          <w:rFonts w:ascii="仿宋" w:hAnsi="仿宋" w:eastAsia="仿宋" w:cstheme="minorEastAsia"/>
          <w:b/>
          <w:sz w:val="32"/>
          <w:szCs w:val="32"/>
        </w:rPr>
      </w:pPr>
    </w:p>
    <w:p w14:paraId="727D5D32">
      <w:pPr>
        <w:spacing w:line="360" w:lineRule="auto"/>
        <w:jc w:val="both"/>
        <w:rPr>
          <w:rFonts w:ascii="仿宋" w:hAnsi="仿宋" w:eastAsia="仿宋" w:cstheme="minorEastAsia"/>
          <w:sz w:val="44"/>
          <w:szCs w:val="44"/>
        </w:rPr>
      </w:pPr>
    </w:p>
    <w:p w14:paraId="5E0FEBD1">
      <w:pPr>
        <w:spacing w:line="360" w:lineRule="auto"/>
        <w:jc w:val="both"/>
        <w:rPr>
          <w:rFonts w:ascii="仿宋" w:hAnsi="仿宋" w:eastAsia="仿宋" w:cstheme="minorEastAsia"/>
          <w:sz w:val="44"/>
          <w:szCs w:val="44"/>
        </w:rPr>
      </w:pPr>
    </w:p>
    <w:p w14:paraId="0958E3D8">
      <w:pPr>
        <w:spacing w:line="360" w:lineRule="auto"/>
        <w:jc w:val="both"/>
        <w:rPr>
          <w:rFonts w:ascii="仿宋" w:hAnsi="仿宋" w:eastAsia="仿宋" w:cstheme="minorEastAsia"/>
          <w:sz w:val="44"/>
          <w:szCs w:val="44"/>
        </w:rPr>
      </w:pPr>
    </w:p>
    <w:p w14:paraId="06A1F709">
      <w:pPr>
        <w:pStyle w:val="4"/>
        <w:spacing w:line="360" w:lineRule="auto"/>
        <w:rPr>
          <w:rFonts w:hint="eastAsia" w:ascii="仿宋" w:hAnsi="仿宋" w:eastAsia="仿宋"/>
          <w:lang w:val="en-US" w:eastAsia="zh-CN"/>
        </w:rPr>
      </w:pPr>
    </w:p>
    <w:p w14:paraId="12343C26">
      <w:pPr>
        <w:pStyle w:val="4"/>
        <w:spacing w:line="360" w:lineRule="auto"/>
        <w:rPr>
          <w:rFonts w:ascii="仿宋" w:hAnsi="仿宋" w:eastAsia="仿宋"/>
        </w:rPr>
      </w:pPr>
    </w:p>
    <w:p w14:paraId="5FB9754C">
      <w:pPr>
        <w:ind w:firstLine="1446" w:firstLineChars="450"/>
        <w:rPr>
          <w:rFonts w:ascii="仿宋" w:hAnsi="仿宋" w:eastAsia="仿宋" w:cs="宋体"/>
          <w:b/>
          <w:bCs/>
          <w:sz w:val="32"/>
          <w:szCs w:val="32"/>
        </w:rPr>
      </w:pPr>
      <w:r>
        <w:rPr>
          <w:rFonts w:hint="eastAsia" w:ascii="仿宋" w:hAnsi="仿宋" w:eastAsia="仿宋" w:cs="宋体"/>
          <w:b/>
          <w:bCs/>
          <w:sz w:val="32"/>
          <w:szCs w:val="32"/>
        </w:rPr>
        <w:t>甲  方：西安市第三医院</w:t>
      </w:r>
    </w:p>
    <w:p w14:paraId="60306756">
      <w:pPr>
        <w:ind w:firstLine="1446" w:firstLineChars="450"/>
        <w:jc w:val="left"/>
        <w:rPr>
          <w:rFonts w:ascii="仿宋" w:hAnsi="仿宋" w:eastAsia="仿宋" w:cs="宋体"/>
          <w:b/>
          <w:bCs/>
          <w:sz w:val="32"/>
          <w:szCs w:val="32"/>
        </w:rPr>
      </w:pPr>
      <w:r>
        <w:rPr>
          <w:rFonts w:hint="eastAsia" w:ascii="仿宋" w:hAnsi="仿宋" w:eastAsia="仿宋" w:cs="宋体"/>
          <w:b/>
          <w:bCs/>
          <w:sz w:val="32"/>
          <w:szCs w:val="32"/>
        </w:rPr>
        <w:t xml:space="preserve">乙 </w:t>
      </w:r>
      <w:r>
        <w:rPr>
          <w:rFonts w:ascii="仿宋" w:hAnsi="仿宋" w:eastAsia="仿宋" w:cs="宋体"/>
          <w:b/>
          <w:bCs/>
          <w:sz w:val="32"/>
          <w:szCs w:val="32"/>
        </w:rPr>
        <w:t xml:space="preserve"> </w:t>
      </w:r>
      <w:r>
        <w:rPr>
          <w:rFonts w:hint="eastAsia" w:ascii="仿宋" w:hAnsi="仿宋" w:eastAsia="仿宋" w:cs="宋体"/>
          <w:b/>
          <w:bCs/>
          <w:sz w:val="32"/>
          <w:szCs w:val="32"/>
        </w:rPr>
        <w:t>方：</w:t>
      </w:r>
      <w:r>
        <w:rPr>
          <w:rFonts w:ascii="仿宋" w:hAnsi="仿宋" w:eastAsia="仿宋" w:cs="宋体"/>
          <w:b/>
          <w:bCs/>
          <w:sz w:val="32"/>
          <w:szCs w:val="32"/>
        </w:rPr>
        <w:t xml:space="preserve"> </w:t>
      </w:r>
    </w:p>
    <w:p w14:paraId="3D1CE72E">
      <w:pPr>
        <w:spacing w:line="360" w:lineRule="auto"/>
        <w:jc w:val="center"/>
        <w:rPr>
          <w:rFonts w:hint="eastAsia" w:ascii="仿宋" w:hAnsi="仿宋" w:eastAsia="仿宋" w:cs="宋体"/>
          <w:b/>
          <w:sz w:val="32"/>
          <w:szCs w:val="32"/>
        </w:rPr>
      </w:pPr>
    </w:p>
    <w:p w14:paraId="1BDAD2CF">
      <w:pPr>
        <w:spacing w:line="360" w:lineRule="auto"/>
        <w:jc w:val="center"/>
        <w:rPr>
          <w:rFonts w:ascii="仿宋" w:hAnsi="仿宋" w:eastAsia="仿宋" w:cs="宋体"/>
          <w:b/>
          <w:sz w:val="32"/>
          <w:szCs w:val="32"/>
        </w:rPr>
      </w:pPr>
      <w:r>
        <w:rPr>
          <w:rFonts w:hint="eastAsia" w:ascii="仿宋" w:hAnsi="仿宋" w:eastAsia="仿宋" w:cs="宋体"/>
          <w:b/>
          <w:sz w:val="32"/>
          <w:szCs w:val="32"/>
        </w:rPr>
        <w:t>陕西 西安</w:t>
      </w:r>
    </w:p>
    <w:p w14:paraId="147F9B7D">
      <w:pPr>
        <w:jc w:val="center"/>
        <w:rPr>
          <w:rFonts w:hint="eastAsia" w:ascii="仿宋" w:hAnsi="仿宋" w:eastAsia="仿宋" w:cs="宋体"/>
          <w:b/>
          <w:bCs/>
          <w:sz w:val="32"/>
          <w:szCs w:val="32"/>
        </w:rPr>
      </w:pPr>
    </w:p>
    <w:p w14:paraId="512F1C19">
      <w:pPr>
        <w:jc w:val="center"/>
        <w:rPr>
          <w:rFonts w:ascii="仿宋" w:hAnsi="仿宋" w:eastAsia="仿宋" w:cs="宋体"/>
          <w:b/>
          <w:bCs/>
          <w:sz w:val="32"/>
          <w:szCs w:val="32"/>
        </w:rPr>
        <w:sectPr>
          <w:footerReference r:id="rId5" w:type="first"/>
          <w:headerReference r:id="rId3" w:type="default"/>
          <w:footerReference r:id="rId4" w:type="default"/>
          <w:pgSz w:w="11906" w:h="16838"/>
          <w:pgMar w:top="1440" w:right="1803" w:bottom="1440" w:left="1803" w:header="851" w:footer="992" w:gutter="0"/>
          <w:cols w:space="720" w:num="1"/>
          <w:docGrid w:type="lines" w:linePitch="319" w:charSpace="0"/>
        </w:sectPr>
      </w:pPr>
      <w:r>
        <w:rPr>
          <w:rFonts w:hint="eastAsia" w:ascii="仿宋" w:hAnsi="仿宋" w:eastAsia="仿宋" w:cs="宋体"/>
          <w:b/>
          <w:bCs/>
          <w:sz w:val="32"/>
          <w:szCs w:val="32"/>
        </w:rPr>
        <w:t>年</w:t>
      </w:r>
      <w:r>
        <w:rPr>
          <w:rFonts w:ascii="仿宋" w:hAnsi="仿宋" w:eastAsia="仿宋" w:cs="宋体"/>
          <w:b/>
          <w:bCs/>
          <w:sz w:val="32"/>
          <w:szCs w:val="32"/>
        </w:rPr>
        <w:t xml:space="preserve">    </w:t>
      </w:r>
      <w:r>
        <w:rPr>
          <w:rFonts w:hint="eastAsia" w:ascii="仿宋" w:hAnsi="仿宋" w:eastAsia="仿宋" w:cs="宋体"/>
          <w:b/>
          <w:bCs/>
          <w:sz w:val="32"/>
          <w:szCs w:val="32"/>
        </w:rPr>
        <w:t>月</w:t>
      </w:r>
    </w:p>
    <w:p w14:paraId="0690D03E">
      <w:pPr>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甲方：西安市第三医院      </w:t>
      </w:r>
    </w:p>
    <w:p w14:paraId="7E139CA1">
      <w:pPr>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地址：陕西省西安市未央区凤城三路东段10号    </w:t>
      </w:r>
    </w:p>
    <w:p w14:paraId="019B8F8A">
      <w:pPr>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法定代表人：杨军乐</w:t>
      </w:r>
    </w:p>
    <w:p w14:paraId="058FE5F7">
      <w:pPr>
        <w:widowControl/>
        <w:tabs>
          <w:tab w:val="left" w:pos="1134"/>
          <w:tab w:val="left" w:pos="1985"/>
        </w:tabs>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联系方式：029-61816199 </w:t>
      </w:r>
    </w:p>
    <w:p w14:paraId="1752FFF7">
      <w:pPr>
        <w:widowControl/>
        <w:tabs>
          <w:tab w:val="left" w:pos="1134"/>
          <w:tab w:val="left" w:pos="1985"/>
        </w:tabs>
        <w:snapToGrid w:val="0"/>
        <w:spacing w:line="400" w:lineRule="exact"/>
        <w:rPr>
          <w:rFonts w:asciiTheme="minorEastAsia" w:hAnsiTheme="minorEastAsia" w:eastAsiaTheme="minorEastAsia" w:cstheme="minorEastAsia"/>
          <w:sz w:val="24"/>
          <w:szCs w:val="24"/>
        </w:rPr>
      </w:pPr>
    </w:p>
    <w:p w14:paraId="36D0AD33">
      <w:pPr>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乙方：     </w:t>
      </w:r>
    </w:p>
    <w:p w14:paraId="3AE6251D">
      <w:pPr>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w:t>
      </w:r>
    </w:p>
    <w:p w14:paraId="664502D1">
      <w:pPr>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p>
    <w:p w14:paraId="35B63D1B">
      <w:pPr>
        <w:adjustRightInd w:val="0"/>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联系方式： </w:t>
      </w:r>
    </w:p>
    <w:p w14:paraId="0B2DF7A8">
      <w:pPr>
        <w:adjustRightInd w:val="0"/>
        <w:snapToGrid w:val="0"/>
        <w:spacing w:line="400" w:lineRule="exact"/>
        <w:rPr>
          <w:rFonts w:asciiTheme="minorEastAsia" w:hAnsiTheme="minorEastAsia" w:eastAsiaTheme="minorEastAsia" w:cstheme="minorEastAsia"/>
          <w:sz w:val="24"/>
          <w:szCs w:val="24"/>
        </w:rPr>
      </w:pPr>
    </w:p>
    <w:p w14:paraId="48E049F0">
      <w:pPr>
        <w:adjustRightInd w:val="0"/>
        <w:snapToGrid w:val="0"/>
        <w:spacing w:line="400" w:lineRule="exact"/>
        <w:ind w:firstLine="480" w:firstLineChars="200"/>
        <w:rPr>
          <w:rFonts w:asciiTheme="minorEastAsia" w:hAnsiTheme="minorEastAsia" w:eastAsiaTheme="minorEastAsia" w:cstheme="minorEastAsia"/>
          <w:sz w:val="24"/>
          <w:szCs w:val="24"/>
        </w:rPr>
      </w:pPr>
    </w:p>
    <w:p w14:paraId="6A3F2E96">
      <w:pPr>
        <w:adjustRightInd w:val="0"/>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依据《中华人民共和国民法典》以及竞争性磋商文件、中标供应商响应文件正本和澄清表（函）、中标通知书，经甲、乙双方协商，达成如下条款。</w:t>
      </w:r>
    </w:p>
    <w:p w14:paraId="6D65A456">
      <w:pPr>
        <w:tabs>
          <w:tab w:val="left" w:pos="480"/>
        </w:tabs>
        <w:spacing w:line="360" w:lineRule="auto"/>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一、维保覆盖范围：</w:t>
      </w:r>
    </w:p>
    <w:tbl>
      <w:tblPr>
        <w:tblStyle w:val="6"/>
        <w:tblW w:w="46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037"/>
        <w:gridCol w:w="2332"/>
        <w:gridCol w:w="870"/>
        <w:gridCol w:w="729"/>
        <w:gridCol w:w="1020"/>
      </w:tblGrid>
      <w:tr w14:paraId="0B48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7" w:type="dxa"/>
            <w:shd w:val="clear" w:color="auto" w:fill="auto"/>
            <w:vAlign w:val="center"/>
          </w:tcPr>
          <w:p w14:paraId="72C24104">
            <w:pP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序号</w:t>
            </w:r>
          </w:p>
        </w:tc>
        <w:tc>
          <w:tcPr>
            <w:tcW w:w="1982" w:type="dxa"/>
            <w:shd w:val="clear" w:color="auto" w:fill="auto"/>
            <w:vAlign w:val="center"/>
          </w:tcPr>
          <w:p w14:paraId="60823C7F">
            <w:pP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项目名称</w:t>
            </w:r>
          </w:p>
        </w:tc>
        <w:tc>
          <w:tcPr>
            <w:tcW w:w="2269" w:type="dxa"/>
            <w:shd w:val="clear" w:color="auto" w:fill="auto"/>
            <w:vAlign w:val="center"/>
          </w:tcPr>
          <w:p w14:paraId="50FDDE35">
            <w:pP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规格/型号</w:t>
            </w:r>
          </w:p>
        </w:tc>
        <w:tc>
          <w:tcPr>
            <w:tcW w:w="846" w:type="dxa"/>
            <w:shd w:val="clear" w:color="auto" w:fill="auto"/>
            <w:vAlign w:val="center"/>
          </w:tcPr>
          <w:p w14:paraId="6C0D2A20">
            <w:pP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数量</w:t>
            </w:r>
          </w:p>
        </w:tc>
        <w:tc>
          <w:tcPr>
            <w:tcW w:w="709" w:type="dxa"/>
            <w:shd w:val="clear" w:color="auto" w:fill="auto"/>
            <w:vAlign w:val="center"/>
          </w:tcPr>
          <w:p w14:paraId="61BA0D16">
            <w:pP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单位</w:t>
            </w:r>
          </w:p>
        </w:tc>
        <w:tc>
          <w:tcPr>
            <w:tcW w:w="992" w:type="dxa"/>
            <w:shd w:val="clear" w:color="auto" w:fill="auto"/>
            <w:vAlign w:val="center"/>
          </w:tcPr>
          <w:p w14:paraId="441243D7">
            <w:pPr>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备注</w:t>
            </w:r>
          </w:p>
        </w:tc>
      </w:tr>
      <w:tr w14:paraId="3A3FE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7" w:type="dxa"/>
            <w:shd w:val="clear" w:color="auto" w:fill="auto"/>
            <w:vAlign w:val="center"/>
          </w:tcPr>
          <w:p w14:paraId="43E7F961">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982" w:type="dxa"/>
            <w:shd w:val="clear" w:color="auto" w:fill="auto"/>
            <w:vAlign w:val="center"/>
          </w:tcPr>
          <w:p w14:paraId="2FC80BF3">
            <w:pPr>
              <w:rPr>
                <w:rFonts w:asciiTheme="minorEastAsia" w:hAnsiTheme="minorEastAsia" w:eastAsiaTheme="minorEastAsia" w:cstheme="minorEastAsia"/>
                <w:sz w:val="24"/>
                <w:szCs w:val="24"/>
              </w:rPr>
            </w:pPr>
          </w:p>
        </w:tc>
        <w:tc>
          <w:tcPr>
            <w:tcW w:w="2269" w:type="dxa"/>
            <w:shd w:val="clear" w:color="auto" w:fill="auto"/>
            <w:vAlign w:val="center"/>
          </w:tcPr>
          <w:p w14:paraId="7D957C2C">
            <w:pPr>
              <w:rPr>
                <w:rFonts w:asciiTheme="minorEastAsia" w:hAnsiTheme="minorEastAsia" w:eastAsiaTheme="minorEastAsia" w:cstheme="minorEastAsia"/>
                <w:sz w:val="24"/>
                <w:szCs w:val="24"/>
              </w:rPr>
            </w:pPr>
          </w:p>
        </w:tc>
        <w:tc>
          <w:tcPr>
            <w:tcW w:w="846" w:type="dxa"/>
            <w:shd w:val="clear" w:color="auto" w:fill="auto"/>
            <w:vAlign w:val="center"/>
          </w:tcPr>
          <w:p w14:paraId="62885F95">
            <w:pPr>
              <w:jc w:val="center"/>
              <w:rPr>
                <w:rFonts w:asciiTheme="minorEastAsia" w:hAnsiTheme="minorEastAsia" w:eastAsiaTheme="minorEastAsia" w:cstheme="minorEastAsia"/>
                <w:sz w:val="24"/>
                <w:szCs w:val="24"/>
              </w:rPr>
            </w:pPr>
          </w:p>
        </w:tc>
        <w:tc>
          <w:tcPr>
            <w:tcW w:w="709" w:type="dxa"/>
            <w:shd w:val="clear" w:color="auto" w:fill="auto"/>
            <w:vAlign w:val="center"/>
          </w:tcPr>
          <w:p w14:paraId="2AB437FB">
            <w:pPr>
              <w:jc w:val="center"/>
              <w:rPr>
                <w:rFonts w:asciiTheme="minorEastAsia" w:hAnsiTheme="minorEastAsia" w:eastAsiaTheme="minorEastAsia" w:cstheme="minorEastAsia"/>
                <w:sz w:val="24"/>
                <w:szCs w:val="24"/>
              </w:rPr>
            </w:pPr>
          </w:p>
        </w:tc>
        <w:tc>
          <w:tcPr>
            <w:tcW w:w="992" w:type="dxa"/>
            <w:shd w:val="clear" w:color="auto" w:fill="auto"/>
            <w:vAlign w:val="center"/>
          </w:tcPr>
          <w:p w14:paraId="7346DC13">
            <w:pPr>
              <w:rPr>
                <w:rFonts w:asciiTheme="minorEastAsia" w:hAnsiTheme="minorEastAsia" w:eastAsiaTheme="minorEastAsia" w:cstheme="minorEastAsia"/>
                <w:sz w:val="24"/>
                <w:szCs w:val="24"/>
              </w:rPr>
            </w:pPr>
          </w:p>
        </w:tc>
      </w:tr>
      <w:tr w14:paraId="1358C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7" w:type="dxa"/>
            <w:shd w:val="clear" w:color="auto" w:fill="auto"/>
            <w:vAlign w:val="center"/>
          </w:tcPr>
          <w:p w14:paraId="2BDDE603">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982" w:type="dxa"/>
            <w:shd w:val="clear" w:color="auto" w:fill="auto"/>
            <w:vAlign w:val="center"/>
          </w:tcPr>
          <w:p w14:paraId="16F35522">
            <w:pPr>
              <w:rPr>
                <w:rFonts w:asciiTheme="minorEastAsia" w:hAnsiTheme="minorEastAsia" w:eastAsiaTheme="minorEastAsia" w:cstheme="minorEastAsia"/>
                <w:sz w:val="24"/>
                <w:szCs w:val="24"/>
              </w:rPr>
            </w:pPr>
          </w:p>
        </w:tc>
        <w:tc>
          <w:tcPr>
            <w:tcW w:w="2269" w:type="dxa"/>
            <w:shd w:val="clear" w:color="auto" w:fill="auto"/>
            <w:vAlign w:val="center"/>
          </w:tcPr>
          <w:p w14:paraId="6B2B9E78">
            <w:pPr>
              <w:rPr>
                <w:rFonts w:asciiTheme="minorEastAsia" w:hAnsiTheme="minorEastAsia" w:eastAsiaTheme="minorEastAsia" w:cstheme="minorEastAsia"/>
                <w:sz w:val="24"/>
                <w:szCs w:val="24"/>
              </w:rPr>
            </w:pPr>
          </w:p>
        </w:tc>
        <w:tc>
          <w:tcPr>
            <w:tcW w:w="846" w:type="dxa"/>
            <w:shd w:val="clear" w:color="auto" w:fill="auto"/>
            <w:vAlign w:val="center"/>
          </w:tcPr>
          <w:p w14:paraId="71581B1D">
            <w:pPr>
              <w:jc w:val="center"/>
              <w:rPr>
                <w:rFonts w:asciiTheme="minorEastAsia" w:hAnsiTheme="minorEastAsia" w:eastAsiaTheme="minorEastAsia" w:cstheme="minorEastAsia"/>
                <w:sz w:val="24"/>
                <w:szCs w:val="24"/>
              </w:rPr>
            </w:pPr>
          </w:p>
        </w:tc>
        <w:tc>
          <w:tcPr>
            <w:tcW w:w="709" w:type="dxa"/>
            <w:shd w:val="clear" w:color="auto" w:fill="auto"/>
            <w:vAlign w:val="center"/>
          </w:tcPr>
          <w:p w14:paraId="01FC9B42">
            <w:pPr>
              <w:jc w:val="center"/>
              <w:rPr>
                <w:rFonts w:asciiTheme="minorEastAsia" w:hAnsiTheme="minorEastAsia" w:eastAsiaTheme="minorEastAsia" w:cstheme="minorEastAsia"/>
                <w:sz w:val="24"/>
                <w:szCs w:val="24"/>
              </w:rPr>
            </w:pPr>
          </w:p>
        </w:tc>
        <w:tc>
          <w:tcPr>
            <w:tcW w:w="992" w:type="dxa"/>
            <w:shd w:val="clear" w:color="auto" w:fill="auto"/>
            <w:vAlign w:val="center"/>
          </w:tcPr>
          <w:p w14:paraId="552A4519">
            <w:pPr>
              <w:rPr>
                <w:rFonts w:asciiTheme="minorEastAsia" w:hAnsiTheme="minorEastAsia" w:eastAsiaTheme="minorEastAsia" w:cstheme="minorEastAsia"/>
                <w:sz w:val="24"/>
                <w:szCs w:val="24"/>
              </w:rPr>
            </w:pPr>
          </w:p>
        </w:tc>
      </w:tr>
      <w:tr w14:paraId="63995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7" w:type="dxa"/>
            <w:shd w:val="clear" w:color="auto" w:fill="auto"/>
            <w:vAlign w:val="center"/>
          </w:tcPr>
          <w:p w14:paraId="0D89D7A6">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982" w:type="dxa"/>
            <w:shd w:val="clear" w:color="auto" w:fill="auto"/>
            <w:vAlign w:val="center"/>
          </w:tcPr>
          <w:p w14:paraId="7A00AABC">
            <w:pPr>
              <w:rPr>
                <w:rFonts w:asciiTheme="minorEastAsia" w:hAnsiTheme="minorEastAsia" w:eastAsiaTheme="minorEastAsia" w:cstheme="minorEastAsia"/>
                <w:sz w:val="24"/>
                <w:szCs w:val="24"/>
              </w:rPr>
            </w:pPr>
          </w:p>
        </w:tc>
        <w:tc>
          <w:tcPr>
            <w:tcW w:w="2269" w:type="dxa"/>
            <w:shd w:val="clear" w:color="auto" w:fill="auto"/>
            <w:vAlign w:val="center"/>
          </w:tcPr>
          <w:p w14:paraId="28BD52CD">
            <w:pPr>
              <w:rPr>
                <w:rFonts w:asciiTheme="minorEastAsia" w:hAnsiTheme="minorEastAsia" w:eastAsiaTheme="minorEastAsia" w:cstheme="minorEastAsia"/>
                <w:sz w:val="24"/>
                <w:szCs w:val="24"/>
              </w:rPr>
            </w:pPr>
          </w:p>
        </w:tc>
        <w:tc>
          <w:tcPr>
            <w:tcW w:w="846" w:type="dxa"/>
            <w:shd w:val="clear" w:color="auto" w:fill="auto"/>
            <w:vAlign w:val="center"/>
          </w:tcPr>
          <w:p w14:paraId="223CE059">
            <w:pPr>
              <w:jc w:val="center"/>
              <w:rPr>
                <w:rFonts w:asciiTheme="minorEastAsia" w:hAnsiTheme="minorEastAsia" w:eastAsiaTheme="minorEastAsia" w:cstheme="minorEastAsia"/>
                <w:sz w:val="24"/>
                <w:szCs w:val="24"/>
              </w:rPr>
            </w:pPr>
          </w:p>
        </w:tc>
        <w:tc>
          <w:tcPr>
            <w:tcW w:w="709" w:type="dxa"/>
            <w:shd w:val="clear" w:color="auto" w:fill="auto"/>
            <w:vAlign w:val="center"/>
          </w:tcPr>
          <w:p w14:paraId="007FF19A">
            <w:pPr>
              <w:jc w:val="center"/>
              <w:rPr>
                <w:rFonts w:asciiTheme="minorEastAsia" w:hAnsiTheme="minorEastAsia" w:eastAsiaTheme="minorEastAsia" w:cstheme="minorEastAsia"/>
                <w:sz w:val="24"/>
                <w:szCs w:val="24"/>
              </w:rPr>
            </w:pPr>
          </w:p>
        </w:tc>
        <w:tc>
          <w:tcPr>
            <w:tcW w:w="992" w:type="dxa"/>
            <w:shd w:val="clear" w:color="auto" w:fill="auto"/>
            <w:vAlign w:val="center"/>
          </w:tcPr>
          <w:p w14:paraId="4F7C7430">
            <w:pPr>
              <w:rPr>
                <w:rFonts w:asciiTheme="minorEastAsia" w:hAnsiTheme="minorEastAsia" w:eastAsiaTheme="minorEastAsia" w:cstheme="minorEastAsia"/>
                <w:sz w:val="24"/>
                <w:szCs w:val="24"/>
              </w:rPr>
            </w:pPr>
          </w:p>
        </w:tc>
      </w:tr>
      <w:tr w14:paraId="4492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7" w:type="dxa"/>
            <w:shd w:val="clear" w:color="auto" w:fill="auto"/>
            <w:vAlign w:val="center"/>
          </w:tcPr>
          <w:p w14:paraId="41D7546C">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982" w:type="dxa"/>
            <w:shd w:val="clear" w:color="auto" w:fill="auto"/>
            <w:vAlign w:val="center"/>
          </w:tcPr>
          <w:p w14:paraId="091B9DAE">
            <w:pPr>
              <w:rPr>
                <w:rFonts w:asciiTheme="minorEastAsia" w:hAnsiTheme="minorEastAsia" w:eastAsiaTheme="minorEastAsia" w:cstheme="minorEastAsia"/>
                <w:sz w:val="24"/>
                <w:szCs w:val="24"/>
              </w:rPr>
            </w:pPr>
          </w:p>
        </w:tc>
        <w:tc>
          <w:tcPr>
            <w:tcW w:w="2269" w:type="dxa"/>
            <w:shd w:val="clear" w:color="auto" w:fill="auto"/>
            <w:vAlign w:val="center"/>
          </w:tcPr>
          <w:p w14:paraId="041F4F8E">
            <w:pPr>
              <w:rPr>
                <w:rFonts w:asciiTheme="minorEastAsia" w:hAnsiTheme="minorEastAsia" w:eastAsiaTheme="minorEastAsia" w:cstheme="minorEastAsia"/>
                <w:sz w:val="24"/>
                <w:szCs w:val="24"/>
              </w:rPr>
            </w:pPr>
          </w:p>
        </w:tc>
        <w:tc>
          <w:tcPr>
            <w:tcW w:w="846" w:type="dxa"/>
            <w:shd w:val="clear" w:color="auto" w:fill="auto"/>
            <w:vAlign w:val="center"/>
          </w:tcPr>
          <w:p w14:paraId="62A8FA37">
            <w:pPr>
              <w:jc w:val="center"/>
              <w:rPr>
                <w:rFonts w:asciiTheme="minorEastAsia" w:hAnsiTheme="minorEastAsia" w:eastAsiaTheme="minorEastAsia" w:cstheme="minorEastAsia"/>
                <w:sz w:val="24"/>
                <w:szCs w:val="24"/>
              </w:rPr>
            </w:pPr>
          </w:p>
        </w:tc>
        <w:tc>
          <w:tcPr>
            <w:tcW w:w="709" w:type="dxa"/>
            <w:shd w:val="clear" w:color="auto" w:fill="auto"/>
            <w:vAlign w:val="center"/>
          </w:tcPr>
          <w:p w14:paraId="7591C977">
            <w:pPr>
              <w:jc w:val="center"/>
              <w:rPr>
                <w:rFonts w:asciiTheme="minorEastAsia" w:hAnsiTheme="minorEastAsia" w:eastAsiaTheme="minorEastAsia" w:cstheme="minorEastAsia"/>
                <w:sz w:val="24"/>
                <w:szCs w:val="24"/>
              </w:rPr>
            </w:pPr>
          </w:p>
        </w:tc>
        <w:tc>
          <w:tcPr>
            <w:tcW w:w="992" w:type="dxa"/>
            <w:shd w:val="clear" w:color="auto" w:fill="auto"/>
            <w:vAlign w:val="center"/>
          </w:tcPr>
          <w:p w14:paraId="55F5DDCC">
            <w:pPr>
              <w:rPr>
                <w:rFonts w:asciiTheme="minorEastAsia" w:hAnsiTheme="minorEastAsia" w:eastAsiaTheme="minorEastAsia" w:cstheme="minorEastAsia"/>
                <w:sz w:val="24"/>
                <w:szCs w:val="24"/>
              </w:rPr>
            </w:pPr>
          </w:p>
        </w:tc>
      </w:tr>
      <w:tr w14:paraId="278A3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7" w:type="dxa"/>
            <w:shd w:val="clear" w:color="auto" w:fill="auto"/>
            <w:vAlign w:val="center"/>
          </w:tcPr>
          <w:p w14:paraId="20DF1F68">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982" w:type="dxa"/>
            <w:shd w:val="clear" w:color="auto" w:fill="auto"/>
            <w:vAlign w:val="center"/>
          </w:tcPr>
          <w:p w14:paraId="4E10F0F8">
            <w:pPr>
              <w:rPr>
                <w:rFonts w:asciiTheme="minorEastAsia" w:hAnsiTheme="minorEastAsia" w:eastAsiaTheme="minorEastAsia" w:cstheme="minorEastAsia"/>
                <w:sz w:val="24"/>
                <w:szCs w:val="24"/>
              </w:rPr>
            </w:pPr>
          </w:p>
        </w:tc>
        <w:tc>
          <w:tcPr>
            <w:tcW w:w="2269" w:type="dxa"/>
            <w:shd w:val="clear" w:color="auto" w:fill="auto"/>
            <w:vAlign w:val="center"/>
          </w:tcPr>
          <w:p w14:paraId="4A4B9346">
            <w:pPr>
              <w:rPr>
                <w:rFonts w:asciiTheme="minorEastAsia" w:hAnsiTheme="minorEastAsia" w:eastAsiaTheme="minorEastAsia" w:cstheme="minorEastAsia"/>
                <w:sz w:val="24"/>
                <w:szCs w:val="24"/>
              </w:rPr>
            </w:pPr>
          </w:p>
        </w:tc>
        <w:tc>
          <w:tcPr>
            <w:tcW w:w="846" w:type="dxa"/>
            <w:shd w:val="clear" w:color="auto" w:fill="auto"/>
            <w:vAlign w:val="center"/>
          </w:tcPr>
          <w:p w14:paraId="5064DE25">
            <w:pPr>
              <w:jc w:val="center"/>
              <w:rPr>
                <w:rFonts w:asciiTheme="minorEastAsia" w:hAnsiTheme="minorEastAsia" w:eastAsiaTheme="minorEastAsia" w:cstheme="minorEastAsia"/>
                <w:sz w:val="24"/>
                <w:szCs w:val="24"/>
              </w:rPr>
            </w:pPr>
          </w:p>
        </w:tc>
        <w:tc>
          <w:tcPr>
            <w:tcW w:w="709" w:type="dxa"/>
            <w:shd w:val="clear" w:color="auto" w:fill="auto"/>
            <w:vAlign w:val="center"/>
          </w:tcPr>
          <w:p w14:paraId="19CD3751">
            <w:pPr>
              <w:jc w:val="center"/>
              <w:rPr>
                <w:rFonts w:asciiTheme="minorEastAsia" w:hAnsiTheme="minorEastAsia" w:eastAsiaTheme="minorEastAsia" w:cstheme="minorEastAsia"/>
                <w:sz w:val="24"/>
                <w:szCs w:val="24"/>
              </w:rPr>
            </w:pPr>
          </w:p>
        </w:tc>
        <w:tc>
          <w:tcPr>
            <w:tcW w:w="992" w:type="dxa"/>
            <w:shd w:val="clear" w:color="auto" w:fill="auto"/>
            <w:vAlign w:val="center"/>
          </w:tcPr>
          <w:p w14:paraId="573619BD">
            <w:pPr>
              <w:rPr>
                <w:rFonts w:asciiTheme="minorEastAsia" w:hAnsiTheme="minorEastAsia" w:eastAsiaTheme="minorEastAsia" w:cstheme="minorEastAsia"/>
                <w:sz w:val="24"/>
                <w:szCs w:val="24"/>
              </w:rPr>
            </w:pPr>
          </w:p>
        </w:tc>
      </w:tr>
      <w:tr w14:paraId="4F4FE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7" w:type="dxa"/>
            <w:shd w:val="clear" w:color="auto" w:fill="auto"/>
            <w:vAlign w:val="center"/>
          </w:tcPr>
          <w:p w14:paraId="7C30C2CA">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合计</w:t>
            </w:r>
          </w:p>
        </w:tc>
        <w:tc>
          <w:tcPr>
            <w:tcW w:w="6798" w:type="dxa"/>
            <w:gridSpan w:val="5"/>
            <w:shd w:val="clear" w:color="auto" w:fill="auto"/>
            <w:vAlign w:val="center"/>
          </w:tcPr>
          <w:p w14:paraId="485B76BF">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整（</w:t>
            </w:r>
            <w:r>
              <w:rPr>
                <w:rFonts w:hint="eastAsia" w:asciiTheme="minorEastAsia" w:hAnsiTheme="minorEastAsia" w:eastAsiaTheme="minorEastAsia" w:cstheme="minorEastAsia"/>
                <w:color w:val="333333"/>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tc>
      </w:tr>
    </w:tbl>
    <w:p w14:paraId="096018AB">
      <w:pPr>
        <w:tabs>
          <w:tab w:val="left" w:pos="480"/>
        </w:tabs>
        <w:spacing w:line="360" w:lineRule="auto"/>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二、合同价款：</w:t>
      </w:r>
    </w:p>
    <w:p w14:paraId="038B4FA3">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（一）合同总价款为人民币（大写）:</w:t>
      </w:r>
      <w:r>
        <w:rPr>
          <w:rFonts w:hint="eastAsia" w:asciiTheme="minorEastAsia" w:hAnsiTheme="minorEastAsia" w:eastAsiaTheme="minorEastAsia" w:cstheme="minorEastAsia"/>
          <w:sz w:val="24"/>
          <w:szCs w:val="24"/>
          <w:u w:val="single"/>
        </w:rPr>
        <w:t xml:space="preserve">              整（</w:t>
      </w:r>
      <w:r>
        <w:rPr>
          <w:rFonts w:hint="eastAsia" w:asciiTheme="minorEastAsia" w:hAnsiTheme="minorEastAsia" w:eastAsiaTheme="minorEastAsia" w:cstheme="minorEastAsia"/>
          <w:color w:val="333333"/>
          <w:sz w:val="24"/>
          <w:szCs w:val="24"/>
          <w:u w:val="single"/>
        </w:rPr>
        <w:t>¥：</w:t>
      </w:r>
      <w:r>
        <w:rPr>
          <w:rFonts w:hint="eastAsia" w:asciiTheme="minorEastAsia" w:hAnsiTheme="minorEastAsia" w:eastAsiaTheme="minorEastAsia" w:cstheme="minorEastAsia"/>
          <w:sz w:val="24"/>
          <w:szCs w:val="24"/>
          <w:u w:val="single"/>
        </w:rPr>
        <w:t xml:space="preserve">   元）。</w:t>
      </w:r>
    </w:p>
    <w:p w14:paraId="65F39DBA">
      <w:pPr>
        <w:tabs>
          <w:tab w:val="left" w:pos="480"/>
        </w:tabs>
        <w:spacing w:line="400" w:lineRule="exact"/>
        <w:ind w:firstLine="433"/>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（二）合同总价一次性包死，不受市场价格变化因素的影响。</w:t>
      </w:r>
      <w:r>
        <w:rPr>
          <w:rFonts w:hint="eastAsia" w:asciiTheme="minorEastAsia" w:hAnsiTheme="minorEastAsia" w:eastAsiaTheme="minorEastAsia" w:cstheme="minorEastAsia"/>
          <w:b/>
          <w:sz w:val="24"/>
          <w:szCs w:val="24"/>
        </w:rPr>
        <w:t xml:space="preserve"> </w:t>
      </w:r>
    </w:p>
    <w:p w14:paraId="6BE18570">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三、款项结算：</w:t>
      </w:r>
    </w:p>
    <w:p w14:paraId="4FD190A3">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（一）付款比例：</w:t>
      </w:r>
    </w:p>
    <w:p w14:paraId="4FE6D285">
      <w:pPr>
        <w:shd w:val="clear"/>
        <w:spacing w:line="400" w:lineRule="exact"/>
        <w:ind w:firstLine="720" w:firstLineChars="3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1、在保证设备正常运行状态的前提下，合同签订后30日内支付合同总价的30%，即金额（大写）：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1B14BED0">
      <w:pPr>
        <w:shd w:val="clear"/>
        <w:spacing w:line="400" w:lineRule="exact"/>
        <w:ind w:firstLine="720" w:firstLineChars="3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2、服务期满6个月后，无任何质量及其他问题，30日内支付合同总价的40%，即金额（大写）：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p w14:paraId="2A0EB98B">
      <w:pPr>
        <w:shd w:val="clear"/>
        <w:spacing w:line="400" w:lineRule="exact"/>
        <w:ind w:firstLine="720" w:firstLineChars="3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3、剩余合同总价款的30%，即金额（大写）：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元整，（小写）：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元，服务期满一年并通过验收后，一次性无息支付。</w:t>
      </w:r>
      <w:bookmarkStart w:id="4" w:name="_GoBack"/>
      <w:bookmarkEnd w:id="4"/>
    </w:p>
    <w:p w14:paraId="46966D96">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（二）支付方式：银行转账。</w:t>
      </w:r>
    </w:p>
    <w:p w14:paraId="4D54DD74">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（三）结算方式：乙方于甲方付款前</w:t>
      </w:r>
      <w:r>
        <w:rPr>
          <w:rFonts w:hint="eastAsia" w:asciiTheme="minorEastAsia" w:hAnsiTheme="minorEastAsia" w:eastAsiaTheme="minorEastAsia" w:cstheme="minorEastAsia"/>
          <w:sz w:val="24"/>
          <w:szCs w:val="24"/>
          <w:u w:val="single"/>
        </w:rPr>
        <w:t>30日</w:t>
      </w:r>
      <w:r>
        <w:rPr>
          <w:rFonts w:hint="eastAsia" w:asciiTheme="minorEastAsia" w:hAnsiTheme="minorEastAsia" w:eastAsiaTheme="minorEastAsia" w:cstheme="minorEastAsia"/>
          <w:sz w:val="24"/>
          <w:szCs w:val="24"/>
        </w:rPr>
        <w:t xml:space="preserve">内提供当合同年度全额/等额合规含税发票，否则，甲方付款期限顺延,且不承担相关责任。 </w:t>
      </w:r>
    </w:p>
    <w:p w14:paraId="1B421D93">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四、双方的权利和义务： </w:t>
      </w:r>
    </w:p>
    <w:p w14:paraId="1FD57044">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（一）甲方的权利和义务：</w:t>
      </w:r>
    </w:p>
    <w:p w14:paraId="18A6B10E">
      <w:pPr>
        <w:spacing w:line="40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1、甲方提供所需要的专人及场地配合乙方进行维修工作。</w:t>
      </w:r>
    </w:p>
    <w:p w14:paraId="178D8A00">
      <w:pPr>
        <w:spacing w:line="40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2、甲方提供乙方维修过程中所必须的各项技术资料。</w:t>
      </w:r>
    </w:p>
    <w:p w14:paraId="2BA611CB">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（二）乙方的权利和义务：</w:t>
      </w:r>
    </w:p>
    <w:p w14:paraId="566A6934">
      <w:pPr>
        <w:spacing w:line="40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乙方按照合同约定保证维修后设备完好、接受甲方现场验收。</w:t>
      </w:r>
    </w:p>
    <w:p w14:paraId="19E9F8EF">
      <w:pPr>
        <w:spacing w:line="40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乙方应保证其具备与维修业务相适应的设施和技术力量，派遣到甲方的维修人员均为专业工程师，并严格遵守中国法律法规、相关技术安全规范与甲方的管理制度进行检查维修工作。</w:t>
      </w:r>
    </w:p>
    <w:p w14:paraId="19930120">
      <w:pPr>
        <w:spacing w:line="40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在维修过程中负责维修工程师、设备及配件的安全，若因乙方原因出现设备及人员安全问题应由乙方依法承担因此造成的全部损失（但因甲方原因及不可抗力的原因导致的除外），应按照所适用的中国法律的相关规定执行，对甲方全部进行赔偿</w:t>
      </w:r>
    </w:p>
    <w:p w14:paraId="4E77275E">
      <w:pPr>
        <w:pStyle w:val="2"/>
        <w:spacing w:line="40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4、乙方承诺提供的配件均符合法律法规和原厂质量标准。 </w:t>
      </w:r>
    </w:p>
    <w:p w14:paraId="1848BCF6">
      <w:pPr>
        <w:tabs>
          <w:tab w:val="left" w:pos="480"/>
        </w:tabs>
        <w:spacing w:line="400" w:lineRule="exact"/>
        <w:ind w:firstLine="720" w:firstLineChars="3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未经甲方书面同意，乙方不能擅自将设备维修的全部或部分工作委托给他人（原本属于第三方厂家维修的除外），否则，甲方有权解除合同，合同自书面解除通知送达乙方之日起解除，乙方在合同项下每年向甲方支付全部违约金 乙方按照合同约定保证维修后设备完好、按照甲方要求进行验收接受甲方现场验收乙方在维修过程中负责维修工程师、设备及配件的安全，出现设备及人员安全应由责任方承担后果，应按照所适用的中国法律的相关规定执行，对受损方直接损失的所有赔偿金以实际发生为准。出现设备及人员安全意外由乙方自行承担后果，由此给甲方造成任何损失的，乙方承担全部责任。</w:t>
      </w:r>
    </w:p>
    <w:p w14:paraId="6931C196">
      <w:pPr>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五、维修服务条件：</w:t>
      </w:r>
    </w:p>
    <w:p w14:paraId="4BCD5160">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维修地点：西安市第三医院。</w:t>
      </w:r>
    </w:p>
    <w:p w14:paraId="1F6DF44F">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维保时间：一年（自合同签订之日起）。</w:t>
      </w:r>
    </w:p>
    <w:p w14:paraId="56FF1C27">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六、运输： </w:t>
      </w:r>
    </w:p>
    <w:p w14:paraId="6FC273D7">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（一）乙方负责相关服务所需备品备件的运输，确保备品备件安全、完整到达服务地点，运杂费用包含在</w:t>
      </w:r>
      <w:bookmarkStart w:id="0" w:name="_Hlk36041536"/>
      <w:bookmarkStart w:id="1" w:name="_Hlk35952336"/>
      <w:r>
        <w:rPr>
          <w:rFonts w:hint="eastAsia" w:asciiTheme="minorEastAsia" w:hAnsiTheme="minorEastAsia" w:eastAsiaTheme="minorEastAsia" w:cstheme="minorEastAsia"/>
          <w:sz w:val="24"/>
          <w:szCs w:val="24"/>
        </w:rPr>
        <w:t>总价内，包括备品备件从供货地点到使用地点的运输费、保险费、搬运费等相关全部费用。</w:t>
      </w:r>
    </w:p>
    <w:bookmarkEnd w:id="0"/>
    <w:bookmarkEnd w:id="1"/>
    <w:p w14:paraId="170E02B3">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（二）所有备品备件及耗材等在运输、搬运、安装的过程中，造成甲方损失的，由乙方为甲方修复或更新，不可抗力除外。</w:t>
      </w:r>
    </w:p>
    <w:p w14:paraId="6DF792DC">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14:paraId="0FB8873E">
      <w:pPr>
        <w:tabs>
          <w:tab w:val="left" w:pos="480"/>
        </w:tabs>
        <w:spacing w:line="400" w:lineRule="exact"/>
        <w:ind w:firstLine="470" w:firstLineChars="196"/>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乙方所维修设备必须执行下列条款：</w:t>
      </w:r>
    </w:p>
    <w:p w14:paraId="28E486AF">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（一）符合有关规范要求，确保维修后排除故障、设备达到最佳运行状态。</w:t>
      </w:r>
    </w:p>
    <w:p w14:paraId="18BC648C">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（二）设备保证不低于95%的开机率，如果此开机率由于乙方的原因未能达到，对于开机率低于95% 的每一个百分点, 服务合同期限将相应延长5个日历日。当设备开机率低于85%时视为乙方违约，甲方有权解除合同并提前一个月书面通知乙方，并要求乙方承担与解除合同相关的索赔、诉讼、损失、成本。自甲方书面解除合同通知到达乙方之日起，视为合同解除。乙方无正当理由不履行服务合同义务或者履行服务合同义务不符合约定的，应对由此给甲方造成的损失予以赔偿。全年按365天开机率＞95%，低于开机率则按合同额的5%计赔。</w:t>
      </w:r>
    </w:p>
    <w:p w14:paraId="17EFC192">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（三）维修保养备件为原厂全新备件，维修保养备件为符合原厂质量标准的备件。</w:t>
      </w:r>
    </w:p>
    <w:p w14:paraId="1BF480DF">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（四）每月月底提供当月设备运行维护报告。</w:t>
      </w:r>
    </w:p>
    <w:p w14:paraId="13D5FC19">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（五）服务期内无限制免费更换备件，不得使用二手配件。</w:t>
      </w:r>
    </w:p>
    <w:p w14:paraId="28EF465E">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八、技术培训</w:t>
      </w:r>
    </w:p>
    <w:p w14:paraId="1D3BCEDB">
      <w:pPr>
        <w:tabs>
          <w:tab w:val="left" w:pos="480"/>
        </w:tabs>
        <w:spacing w:line="400" w:lineRule="exact"/>
        <w:ind w:firstLine="470" w:firstLineChars="196"/>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（一）</w:t>
      </w:r>
      <w:r>
        <w:rPr>
          <w:rFonts w:hint="eastAsia" w:asciiTheme="minorEastAsia" w:hAnsiTheme="minorEastAsia" w:eastAsiaTheme="minorEastAsia" w:cstheme="minorEastAsia"/>
          <w:sz w:val="24"/>
          <w:szCs w:val="24"/>
        </w:rPr>
        <w:t>培训内容：弱电系统</w:t>
      </w:r>
      <w:r>
        <w:rPr>
          <w:rFonts w:asciiTheme="minorEastAsia" w:hAnsiTheme="minorEastAsia" w:eastAsiaTheme="minorEastAsia" w:cstheme="minorEastAsia"/>
          <w:sz w:val="24"/>
          <w:szCs w:val="24"/>
        </w:rPr>
        <w:t>设备</w:t>
      </w:r>
      <w:r>
        <w:rPr>
          <w:rFonts w:hint="eastAsia" w:asciiTheme="minorEastAsia" w:hAnsiTheme="minorEastAsia" w:eastAsiaTheme="minorEastAsia" w:cstheme="minorEastAsia"/>
          <w:sz w:val="24"/>
          <w:szCs w:val="24"/>
        </w:rPr>
        <w:t>日常运维</w:t>
      </w:r>
    </w:p>
    <w:p w14:paraId="1407F7E0">
      <w:pPr>
        <w:tabs>
          <w:tab w:val="left" w:pos="480"/>
        </w:tabs>
        <w:spacing w:line="400" w:lineRule="exact"/>
        <w:ind w:firstLine="470" w:firstLineChars="196"/>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（二）培训地点：双方协商地点 </w:t>
      </w:r>
    </w:p>
    <w:p w14:paraId="6EF002F0">
      <w:pPr>
        <w:autoSpaceDE w:val="0"/>
        <w:autoSpaceDN w:val="0"/>
        <w:adjustRightInd w:val="0"/>
        <w:spacing w:line="400" w:lineRule="exact"/>
        <w:ind w:firstLine="431"/>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（三）培训时间：收到合同款后，每合同年度提供3人次。</w:t>
      </w:r>
    </w:p>
    <w:p w14:paraId="6772D230">
      <w:pPr>
        <w:tabs>
          <w:tab w:val="left" w:pos="480"/>
        </w:tabs>
        <w:spacing w:line="400" w:lineRule="exact"/>
        <w:ind w:firstLine="470" w:firstLineChars="196"/>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（四）培训费用：受训人员的相关费用已包含在合同总价中，甲方不再另行支付。</w:t>
      </w:r>
    </w:p>
    <w:p w14:paraId="3EE23B6F">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九、验收</w:t>
      </w:r>
    </w:p>
    <w:p w14:paraId="2EE4F4D6">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（一）维保完成后，由甲乙双方共同验收，甲方填写验收合格并作为对乙方服务的认可。</w:t>
      </w:r>
    </w:p>
    <w:p w14:paraId="3DC5E7CF">
      <w:pPr>
        <w:tabs>
          <w:tab w:val="left" w:pos="480"/>
        </w:tabs>
        <w:spacing w:line="400" w:lineRule="exact"/>
        <w:ind w:firstLine="435"/>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（二）乙方向甲方提交设备维修过程中的相关资料及换下的故障配件。</w:t>
      </w:r>
    </w:p>
    <w:p w14:paraId="7CBA0DE4">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十、违约责任</w:t>
      </w:r>
    </w:p>
    <w:p w14:paraId="1AA3E4B8">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（一）按《政府采购法》、《中华人民共和国民法典》中的相关条款执行。</w:t>
      </w:r>
    </w:p>
    <w:p w14:paraId="75A8857D">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（二）乙方在人员伤亡方面的责任应按照所适用的中国法律的相关规定执行。乙方应对其违约行为给甲方造成的全部损失承担赔偿责任。在中国法律允许的范围内，乙方向甲方承担的全部赔偿额 </w:t>
      </w:r>
    </w:p>
    <w:p w14:paraId="2A862A90">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未按合同要求维修设备或维修质量不能满足合同约定的技术要求，乙方为甲方修复，提高技术，完善质量，否则，甲方有权终止合同，终止合同甲方应提前一个月书面通知乙方，并按以下两种方式追究乙方的违约责任：</w:t>
      </w:r>
    </w:p>
    <w:p w14:paraId="4DAC0D3A">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1、在中国法律允许的范围内，乙方赔偿甲方解除合同的相关损失，。 </w:t>
      </w:r>
    </w:p>
    <w:p w14:paraId="6AFF5FC8">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2、乙方支付甲方违约金，在合同项下每年向甲方支付的全部违约金不超过当年度合同金额的30%。</w:t>
      </w:r>
    </w:p>
    <w:p w14:paraId="493607B0">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十一、数据安全保护</w:t>
      </w:r>
      <w:bookmarkStart w:id="2" w:name="_Hlk36027516"/>
      <w:bookmarkStart w:id="3" w:name="_Hlk36041634"/>
    </w:p>
    <w:p w14:paraId="1265E9D5">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乙方应严</w:t>
      </w:r>
      <w:bookmarkEnd w:id="2"/>
      <w:r>
        <w:rPr>
          <w:rFonts w:hint="eastAsia" w:asciiTheme="minorEastAsia" w:hAnsiTheme="minorEastAsia" w:eastAsiaTheme="minorEastAsia" w:cstheme="minorEastAsia"/>
          <w:sz w:val="24"/>
          <w:szCs w:val="24"/>
        </w:rPr>
        <w:t>格保守履行本合同知悉的数据及商业秘密，如乙方管理使用甲方数据给甲方造成损失的，乙方应承担相关直接损失，乙方在本合同项下全部合同金额，并应</w:t>
      </w:r>
      <w:bookmarkEnd w:id="3"/>
      <w:r>
        <w:rPr>
          <w:rFonts w:hint="eastAsia" w:asciiTheme="minorEastAsia" w:hAnsiTheme="minorEastAsia" w:eastAsiaTheme="minorEastAsia" w:cstheme="minorEastAsia"/>
          <w:sz w:val="24"/>
          <w:szCs w:val="24"/>
        </w:rPr>
        <w:t xml:space="preserve">于合同到期时终止。同时，乙方对甲方的间接损失不承担责任。 </w:t>
      </w:r>
    </w:p>
    <w:p w14:paraId="60CF7655">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十二、合同争议解决的方式</w:t>
      </w:r>
    </w:p>
    <w:p w14:paraId="72D613C2">
      <w:pPr>
        <w:tabs>
          <w:tab w:val="left" w:pos="480"/>
        </w:tabs>
        <w:spacing w:line="400" w:lineRule="exact"/>
        <w:ind w:firstLine="480"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因本</w:t>
      </w:r>
      <w:r>
        <w:rPr>
          <w:rFonts w:hint="eastAsia" w:asciiTheme="minorEastAsia" w:hAnsiTheme="minorEastAsia" w:eastAsiaTheme="minorEastAsia" w:cstheme="minorEastAsia"/>
          <w:iCs/>
          <w:sz w:val="24"/>
          <w:szCs w:val="24"/>
        </w:rPr>
        <w:t>维保</w:t>
      </w:r>
      <w:r>
        <w:rPr>
          <w:rFonts w:hint="eastAsia" w:asciiTheme="minorEastAsia" w:hAnsiTheme="minorEastAsia" w:eastAsiaTheme="minorEastAsia" w:cstheme="minorEastAsia"/>
          <w:sz w:val="24"/>
          <w:szCs w:val="24"/>
        </w:rPr>
        <w:t>合同产生的或者与其相关的所有请求、分歧或争议，包括关于本</w:t>
      </w:r>
      <w:r>
        <w:rPr>
          <w:rFonts w:hint="eastAsia" w:asciiTheme="minorEastAsia" w:hAnsiTheme="minorEastAsia" w:eastAsiaTheme="minorEastAsia" w:cstheme="minorEastAsia"/>
          <w:iCs/>
          <w:sz w:val="24"/>
          <w:szCs w:val="24"/>
        </w:rPr>
        <w:t>维保</w:t>
      </w:r>
      <w:r>
        <w:rPr>
          <w:rFonts w:hint="eastAsia" w:asciiTheme="minorEastAsia" w:hAnsiTheme="minorEastAsia" w:eastAsiaTheme="minorEastAsia" w:cstheme="minorEastAsia"/>
          <w:sz w:val="24"/>
          <w:szCs w:val="24"/>
        </w:rPr>
        <w:t>合同存在、效力、终止或履行，或者与本</w:t>
      </w:r>
      <w:r>
        <w:rPr>
          <w:rFonts w:hint="eastAsia" w:asciiTheme="minorEastAsia" w:hAnsiTheme="minorEastAsia" w:eastAsiaTheme="minorEastAsia" w:cstheme="minorEastAsia"/>
          <w:iCs/>
          <w:sz w:val="24"/>
          <w:szCs w:val="24"/>
        </w:rPr>
        <w:t>维保</w:t>
      </w:r>
      <w:r>
        <w:rPr>
          <w:rFonts w:hint="eastAsia" w:asciiTheme="minorEastAsia" w:hAnsiTheme="minorEastAsia" w:eastAsiaTheme="minorEastAsia" w:cstheme="minorEastAsia"/>
          <w:sz w:val="24"/>
          <w:szCs w:val="24"/>
        </w:rPr>
        <w:t>合同履行安排有关的任何问题（以下称“争议”）</w:t>
      </w:r>
      <w:r>
        <w:rPr>
          <w:rFonts w:hint="eastAsia" w:asciiTheme="minorEastAsia" w:hAnsiTheme="minorEastAsia" w:eastAsiaTheme="minorEastAsia" w:cstheme="minorEastAsia"/>
          <w:iCs/>
          <w:sz w:val="24"/>
          <w:szCs w:val="24"/>
        </w:rPr>
        <w:t xml:space="preserve">， </w:t>
      </w:r>
      <w:r>
        <w:rPr>
          <w:rFonts w:hint="eastAsia" w:asciiTheme="minorEastAsia" w:hAnsiTheme="minorEastAsia" w:eastAsiaTheme="minorEastAsia" w:cstheme="minorEastAsia"/>
          <w:sz w:val="24"/>
          <w:szCs w:val="24"/>
        </w:rPr>
        <w:t>由甲乙双方当事人协商解决，协商不成的依法向甲方所在地人民法院提起诉讼。</w:t>
      </w:r>
    </w:p>
    <w:p w14:paraId="0C9C98AE">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十三、合同生效</w:t>
      </w:r>
    </w:p>
    <w:p w14:paraId="2EAA52DF">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本合同一式</w:t>
      </w:r>
      <w:r>
        <w:rPr>
          <w:rFonts w:hint="eastAsia" w:asciiTheme="minorEastAsia" w:hAnsiTheme="minorEastAsia" w:eastAsiaTheme="minorEastAsia" w:cstheme="minorEastAsia"/>
          <w:sz w:val="24"/>
          <w:szCs w:val="24"/>
          <w:lang w:eastAsia="zh-CN"/>
        </w:rPr>
        <w:t>伍</w:t>
      </w:r>
      <w:r>
        <w:rPr>
          <w:rFonts w:hint="eastAsia" w:asciiTheme="minorEastAsia" w:hAnsiTheme="minorEastAsia" w:eastAsiaTheme="minorEastAsia" w:cstheme="minorEastAsia"/>
          <w:sz w:val="24"/>
          <w:szCs w:val="24"/>
        </w:rPr>
        <w:t xml:space="preserve">份，甲方肆份，乙方各一份，合同盖合印章后生效，维保期结束后，合同自动终止。 </w:t>
      </w:r>
    </w:p>
    <w:p w14:paraId="4B699C36">
      <w:pPr>
        <w:tabs>
          <w:tab w:val="left" w:pos="480"/>
        </w:tabs>
        <w:spacing w:line="400" w:lineRule="exac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十四、其他事项</w:t>
      </w:r>
    </w:p>
    <w:p w14:paraId="549C6D8C">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（一）合同未尽事宜，由甲、乙双方协商，签订书面补充协议，作为合同补充，与原合同具有同等法律效力。</w:t>
      </w:r>
    </w:p>
    <w:p w14:paraId="10A1863C">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（二）合同一经签订，不得擅自变更、中止或终止合同。对确需变更、调整或中止、终止合同的，有法律规定的按照法律规定，除合同约定外，由甲乙双方再行协商，协商一致前，原合同或条款继续履行。</w:t>
      </w:r>
    </w:p>
    <w:p w14:paraId="5D0E36CC">
      <w:pPr>
        <w:tabs>
          <w:tab w:val="left" w:pos="48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（三）本合同按照中华人民共和国的现行法律进行解释。</w:t>
      </w:r>
    </w:p>
    <w:p w14:paraId="5B7F62EF">
      <w:pPr>
        <w:tabs>
          <w:tab w:val="left" w:pos="480"/>
        </w:tabs>
        <w:snapToGrid w:val="0"/>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（以下无正文）</w:t>
      </w:r>
    </w:p>
    <w:p w14:paraId="5DF89DDB">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1A1DBE18">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签字页：</w:t>
      </w:r>
    </w:p>
    <w:p w14:paraId="4EFCF410">
      <w:pPr>
        <w:rPr>
          <w:rFonts w:hint="eastAsia" w:asciiTheme="minorEastAsia" w:hAnsiTheme="minorEastAsia" w:eastAsiaTheme="minorEastAsia" w:cstheme="minorEastAsia"/>
          <w:sz w:val="24"/>
          <w:szCs w:val="24"/>
        </w:rPr>
      </w:pPr>
    </w:p>
    <w:p w14:paraId="25B1F799">
      <w:pPr>
        <w:rPr>
          <w:rFonts w:hint="eastAsia" w:asciiTheme="minorEastAsia" w:hAnsiTheme="minorEastAsia" w:eastAsiaTheme="minorEastAsia" w:cstheme="minorEastAsia"/>
          <w:sz w:val="24"/>
          <w:szCs w:val="24"/>
        </w:rPr>
      </w:pPr>
    </w:p>
    <w:p w14:paraId="378D470A">
      <w:pPr>
        <w:rPr>
          <w:rFonts w:hint="eastAsia" w:asciiTheme="minorEastAsia" w:hAnsiTheme="minorEastAsia" w:eastAsiaTheme="minorEastAsia" w:cstheme="minorEastAsia"/>
          <w:sz w:val="24"/>
          <w:szCs w:val="24"/>
        </w:rPr>
      </w:pPr>
    </w:p>
    <w:p w14:paraId="3B5B455B">
      <w:pP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  方（公章）                         乙  方（公章）</w:t>
      </w:r>
    </w:p>
    <w:p w14:paraId="23FBB880">
      <w:pPr>
        <w:pStyle w:val="3"/>
        <w:rPr>
          <w:rFonts w:asciiTheme="minorEastAsia" w:hAnsiTheme="minorEastAsia" w:eastAsiaTheme="minorEastAsia" w:cstheme="minorEastAsia"/>
          <w:sz w:val="24"/>
          <w:szCs w:val="24"/>
        </w:rPr>
      </w:pPr>
    </w:p>
    <w:p w14:paraId="0B5B8BBB">
      <w:pPr>
        <w:tabs>
          <w:tab w:val="left" w:pos="480"/>
        </w:tabs>
        <w:snapToGrid w:val="0"/>
        <w:spacing w:line="400" w:lineRule="exact"/>
        <w:ind w:left="6000" w:hanging="6000" w:hangingChars="25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单位名称：西安市第三医院               单位名称： </w:t>
      </w:r>
    </w:p>
    <w:p w14:paraId="6675EB17">
      <w:pPr>
        <w:tabs>
          <w:tab w:val="left" w:pos="480"/>
        </w:tabs>
        <w:snapToGrid w:val="0"/>
        <w:spacing w:line="400" w:lineRule="exact"/>
        <w:ind w:left="6000" w:hanging="6000" w:hangingChars="25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2B214C02">
      <w:pPr>
        <w:tabs>
          <w:tab w:val="left" w:pos="480"/>
        </w:tabs>
        <w:snapToGrid w:val="0"/>
        <w:spacing w:line="400" w:lineRule="exact"/>
        <w:ind w:left="5520" w:hanging="5520" w:hangingChars="2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  址：西安市未央区凤城三路东段10号  地  址：                  </w:t>
      </w:r>
    </w:p>
    <w:p w14:paraId="70E2F8F6">
      <w:pPr>
        <w:pStyle w:val="3"/>
        <w:rPr>
          <w:rFonts w:asciiTheme="minorEastAsia" w:hAnsiTheme="minorEastAsia" w:eastAsiaTheme="minorEastAsia" w:cstheme="minorEastAsia"/>
          <w:sz w:val="24"/>
          <w:szCs w:val="24"/>
        </w:rPr>
      </w:pPr>
    </w:p>
    <w:p w14:paraId="00BC6A5C">
      <w:pPr>
        <w:tabs>
          <w:tab w:val="left" w:pos="480"/>
        </w:tabs>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法定代表人：（签字）                    法定代表人：（签字）  </w:t>
      </w:r>
    </w:p>
    <w:p w14:paraId="021B046D">
      <w:pPr>
        <w:tabs>
          <w:tab w:val="left" w:pos="480"/>
        </w:tabs>
        <w:snapToGrid w:val="0"/>
        <w:spacing w:line="400" w:lineRule="exact"/>
        <w:ind w:firstLine="1800" w:firstLineChars="7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2D183E42">
      <w:pPr>
        <w:tabs>
          <w:tab w:val="left" w:pos="480"/>
        </w:tabs>
        <w:snapToGrid w:val="0"/>
        <w:spacing w:line="400" w:lineRule="exact"/>
        <w:ind w:left="5700" w:leftChars="200" w:hanging="5280" w:hangingChars="2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开户银行：   </w:t>
      </w:r>
    </w:p>
    <w:p w14:paraId="42D2DD09">
      <w:pPr>
        <w:tabs>
          <w:tab w:val="left" w:pos="480"/>
        </w:tabs>
        <w:snapToGrid w:val="0"/>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账    号： </w:t>
      </w:r>
    </w:p>
    <w:p w14:paraId="431FFCCA">
      <w:pPr>
        <w:tabs>
          <w:tab w:val="left" w:pos="480"/>
        </w:tabs>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35A39FC2">
      <w:pPr>
        <w:tabs>
          <w:tab w:val="left" w:pos="480"/>
        </w:tabs>
        <w:snapToGrid w:val="0"/>
        <w:spacing w:line="40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签订日期：    年    月   日            签订日期：    年   月   日</w:t>
      </w:r>
    </w:p>
    <w:p w14:paraId="0284A912">
      <w:pPr>
        <w:spacing w:line="400" w:lineRule="exact"/>
        <w:rPr>
          <w:rFonts w:asciiTheme="minorEastAsia" w:hAnsiTheme="minorEastAsia" w:eastAsiaTheme="minorEastAsia" w:cstheme="minorEastAsia"/>
          <w:b/>
          <w:sz w:val="24"/>
          <w:szCs w:val="24"/>
        </w:rPr>
      </w:pPr>
    </w:p>
    <w:p w14:paraId="6EE278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8A45">
    <w:pPr>
      <w:pStyle w:val="5"/>
    </w:pPr>
  </w:p>
  <w:p w14:paraId="23FF8EF9">
    <w:pPr>
      <w:pStyle w:val="5"/>
      <w:jc w:val="right"/>
      <w:rPr>
        <w:rFonts w:asci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942680"/>
    </w:sdtPr>
    <w:sdtContent>
      <w:sdt>
        <w:sdtPr>
          <w:id w:val="1799571012"/>
        </w:sdtPr>
        <w:sdtContent>
          <w:p w14:paraId="4CE0F0FC">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sdtContent>
      </w:sdt>
    </w:sdtContent>
  </w:sdt>
  <w:p w14:paraId="495275C3">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5D0E0">
    <w:pPr>
      <w:spacing w:line="360" w:lineRule="auto"/>
      <w:jc w:val="left"/>
      <w:rPr>
        <w:rFonts w:ascii="宋体" w:cs="宋体"/>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269C8"/>
    <w:rsid w:val="15DA2023"/>
    <w:rsid w:val="2E103160"/>
    <w:rsid w:val="7FA26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99"/>
    <w:pPr>
      <w:jc w:val="left"/>
    </w:pPr>
    <w:rPr>
      <w:rFonts w:ascii="宋体"/>
      <w:kern w:val="0"/>
      <w:sz w:val="34"/>
    </w:rPr>
  </w:style>
  <w:style w:type="paragraph" w:styleId="3">
    <w:name w:val="Body Text"/>
    <w:basedOn w:val="1"/>
    <w:qFormat/>
    <w:uiPriority w:val="0"/>
    <w:pPr>
      <w:spacing w:after="120" w:afterLines="0" w:afterAutospacing="0"/>
    </w:pPr>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next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2025-10-15T08:37:00Z</dcterms:created>
  <dc:creator>豆、浆</dc:creator>
  <cp:lastModifiedBy>豆、浆</cp:lastModifiedBy>
  <dcterms:modified xsi:type="dcterms:W3CDTF">2025-10-15T08:40:42Z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7833A21E1530478F9FE79D9231C6BD22_11</vt:lpwstr>
  </property>
  <property fmtid="{D5CDD505-2E9C-101B-9397-08002B2CF9AE}" pid="4" name="KSOTemplateDocerSaveRecord">
    <vt:lpwstr>eyJoZGlkIjoiYzAwNjk4NTUwMzAyYzU4YWZkOWU3NmQ3MmI1ZGZlMDMiLCJ1c2VySWQiOiIxMDY3MTk2NDE2In0=</vt:lpwstr>
  </property>
</Properties>
</file>