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D139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承租方（</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w:t>
      </w:r>
      <w:r>
        <w:rPr>
          <w:rFonts w:hint="eastAsia" w:asciiTheme="minorEastAsia" w:hAnsiTheme="minorEastAsia" w:eastAsiaTheme="minorEastAsia" w:cstheme="minorEastAsia"/>
          <w:color w:val="auto"/>
          <w:sz w:val="24"/>
          <w:szCs w:val="24"/>
          <w:highlight w:val="none"/>
          <w:lang w:val="en-US" w:eastAsia="zh-CN"/>
        </w:rPr>
        <w:t>西安市集中办公区综合管理中心</w:t>
      </w:r>
    </w:p>
    <w:p w14:paraId="3EA37592">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出租方（</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w:t>
      </w:r>
    </w:p>
    <w:p w14:paraId="637C3864">
      <w:pPr>
        <w:pStyle w:val="8"/>
        <w:keepNext w:val="0"/>
        <w:keepLines w:val="0"/>
        <w:pageBreakBefore w:val="0"/>
        <w:widowControl w:val="0"/>
        <w:kinsoku/>
        <w:overflowPunct/>
        <w:topLinePunct w:val="0"/>
        <w:autoSpaceDE/>
        <w:autoSpaceDN/>
        <w:bidi w:val="0"/>
        <w:adjustRightInd/>
        <w:snapToGrid/>
        <w:spacing w:line="560" w:lineRule="exact"/>
        <w:ind w:firstLine="720" w:firstLineChars="3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依据《中华人民共和国民法典》及相关相关法律、法规，经甲乙双方平等协商，就</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方承租</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有关事宜达成一致，自愿签订本合同。</w:t>
      </w:r>
    </w:p>
    <w:p w14:paraId="55A90F9B">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第一条  租赁标的</w:t>
      </w:r>
    </w:p>
    <w:p w14:paraId="57BF663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方同意依本合同约定向</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方出租位于</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（下称简称“租赁房屋”），</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方亦同意承租该房屋作为市城北不动产交易登记大厅办公场所。</w:t>
      </w:r>
    </w:p>
    <w:p w14:paraId="1CADE73A">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2．租赁房屋的区位及范围详见平面图(详见附件)。</w:t>
      </w:r>
    </w:p>
    <w:p w14:paraId="10CF346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3．租赁房屋具体信息和计租面积见平面图。计租面积指租赁房屋的建筑面积</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平方米。</w:t>
      </w:r>
    </w:p>
    <w:p w14:paraId="2A6100C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方保证该租赁房屋仅作为办公用途，未经</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方书面同意，</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方不得擅自改变租赁房屋的用途，否则为</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方违约，</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方有权解除本租赁合同。</w:t>
      </w:r>
    </w:p>
    <w:p w14:paraId="0AE1124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5．租赁费总计（大写）：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w:t>
      </w:r>
    </w:p>
    <w:p w14:paraId="370463AE">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第二条  租赁期间</w:t>
      </w:r>
    </w:p>
    <w:p w14:paraId="41F87CFB">
      <w:pPr>
        <w:pStyle w:val="8"/>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1．本项目租赁期为三年，合同一年一签，续签条件为年度考核平均分达到95分以上，未满足续签条件，甲方有权终止合同。</w:t>
      </w:r>
    </w:p>
    <w:p w14:paraId="20B09D4B">
      <w:pPr>
        <w:pStyle w:val="8"/>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lang w:val="en-US" w:eastAsia="zh-CN"/>
        </w:rPr>
        <w:t>本合同为第一服务期合同，合同起止时间自</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日</w:t>
      </w:r>
      <w:r>
        <w:rPr>
          <w:rFonts w:hint="eastAsia" w:asciiTheme="minorEastAsia" w:hAnsiTheme="minorEastAsia" w:eastAsiaTheme="minorEastAsia" w:cstheme="minorEastAsia"/>
          <w:color w:val="auto"/>
          <w:sz w:val="24"/>
          <w:szCs w:val="24"/>
          <w:lang w:val="en-US" w:eastAsia="zh-CN"/>
        </w:rPr>
        <w:t>起</w:t>
      </w:r>
      <w:r>
        <w:rPr>
          <w:rFonts w:hint="eastAsia" w:asciiTheme="minorEastAsia" w:hAnsiTheme="minorEastAsia" w:eastAsiaTheme="minorEastAsia" w:cstheme="minorEastAsia"/>
          <w:color w:val="auto"/>
          <w:sz w:val="24"/>
          <w:szCs w:val="24"/>
        </w:rPr>
        <w:t>至</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日</w:t>
      </w:r>
      <w:r>
        <w:rPr>
          <w:rFonts w:hint="eastAsia" w:asciiTheme="minorEastAsia" w:hAnsiTheme="minorEastAsia" w:eastAsiaTheme="minorEastAsia" w:cstheme="minorEastAsia"/>
          <w:color w:val="auto"/>
          <w:sz w:val="24"/>
          <w:szCs w:val="24"/>
          <w:lang w:val="en-US" w:eastAsia="zh-CN"/>
        </w:rPr>
        <w:t>止</w:t>
      </w:r>
      <w:r>
        <w:rPr>
          <w:rFonts w:hint="eastAsia" w:asciiTheme="minorEastAsia" w:hAnsiTheme="minorEastAsia" w:eastAsiaTheme="minorEastAsia" w:cstheme="minorEastAsia"/>
          <w:color w:val="auto"/>
          <w:sz w:val="24"/>
          <w:szCs w:val="24"/>
          <w:highlight w:val="none"/>
        </w:rPr>
        <w:t>。</w:t>
      </w:r>
    </w:p>
    <w:p w14:paraId="7473BBE7">
      <w:pPr>
        <w:pStyle w:val="8"/>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3.乙</w:t>
      </w:r>
      <w:r>
        <w:rPr>
          <w:rFonts w:hint="eastAsia" w:asciiTheme="minorEastAsia" w:hAnsiTheme="minorEastAsia" w:eastAsiaTheme="minorEastAsia" w:cstheme="minorEastAsia"/>
          <w:color w:val="auto"/>
          <w:sz w:val="24"/>
          <w:szCs w:val="24"/>
          <w:highlight w:val="none"/>
        </w:rPr>
        <w:t>方保证租赁房屋没有产权纠纷，保证对租赁房屋拥有合法的财产权益。如因租赁房屋权利瑕疵给</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方造成无法使用租赁房屋的经济损失的，由</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方负责赔偿。</w:t>
      </w:r>
    </w:p>
    <w:p w14:paraId="60CA4CC2">
      <w:pPr>
        <w:pStyle w:val="8"/>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租赁期内，</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方有权自主销售租赁房屋但须事先在合理期限内（</w:t>
      </w:r>
      <w:r>
        <w:rPr>
          <w:rFonts w:hint="eastAsia" w:asciiTheme="minorEastAsia" w:hAnsiTheme="minorEastAsia" w:eastAsiaTheme="minorEastAsia" w:cstheme="minorEastAsia"/>
          <w:color w:val="auto"/>
          <w:sz w:val="24"/>
          <w:szCs w:val="24"/>
          <w:highlight w:val="none"/>
          <w:lang w:val="en-US" w:eastAsia="zh-CN"/>
        </w:rPr>
        <w:t>60</w:t>
      </w:r>
      <w:r>
        <w:rPr>
          <w:rFonts w:hint="eastAsia" w:asciiTheme="minorEastAsia" w:hAnsiTheme="minorEastAsia" w:eastAsiaTheme="minorEastAsia" w:cstheme="minorEastAsia"/>
          <w:color w:val="auto"/>
          <w:sz w:val="24"/>
          <w:szCs w:val="24"/>
          <w:highlight w:val="none"/>
        </w:rPr>
        <w:t>日内）通知</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方享有同等条件优先购买权。如</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方在通知后</w:t>
      </w:r>
      <w:r>
        <w:rPr>
          <w:rFonts w:hint="eastAsia" w:asciiTheme="minorEastAsia" w:hAnsiTheme="minorEastAsia" w:eastAsiaTheme="minorEastAsia" w:cstheme="minorEastAsia"/>
          <w:color w:val="auto"/>
          <w:sz w:val="24"/>
          <w:szCs w:val="24"/>
          <w:highlight w:val="none"/>
          <w:lang w:val="en-US" w:eastAsia="zh-CN"/>
        </w:rPr>
        <w:t>60</w:t>
      </w:r>
      <w:r>
        <w:rPr>
          <w:rFonts w:hint="eastAsia" w:asciiTheme="minorEastAsia" w:hAnsiTheme="minorEastAsia" w:eastAsiaTheme="minorEastAsia" w:cstheme="minorEastAsia"/>
          <w:color w:val="auto"/>
          <w:sz w:val="24"/>
          <w:szCs w:val="24"/>
          <w:highlight w:val="none"/>
        </w:rPr>
        <w:t>日内未明确书面表示购买，则视为放弃优先购买权。租赁房屋所有权转让后，</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方在租赁期内的承租权对受让人仍为有效。</w:t>
      </w:r>
    </w:p>
    <w:p w14:paraId="4F079F8B">
      <w:pPr>
        <w:pStyle w:val="8"/>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租赁期间届满，</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方尚未出售租赁房屋且对外继续承租的，如</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方欲续租租赁房屋，需在合同期满两个月前向</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方提出书面续租，同等条件下</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方享有优先承租权。</w:t>
      </w:r>
    </w:p>
    <w:p w14:paraId="495D756F">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第三条  租赁房屋交付以及装饰、装修</w:t>
      </w:r>
    </w:p>
    <w:p w14:paraId="5ECF1903">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1.乙方须根据甲方使用需求提供装修方案，装修方案应当完全符合国家相关装修规范和《党政机关办公用房</w:t>
      </w:r>
      <w:r>
        <w:rPr>
          <w:rFonts w:hint="eastAsia" w:asciiTheme="minorEastAsia" w:hAnsiTheme="minorEastAsia" w:eastAsiaTheme="minorEastAsia" w:cstheme="minorEastAsia"/>
          <w:b w:val="0"/>
          <w:bCs w:val="0"/>
          <w:color w:val="auto"/>
          <w:kern w:val="2"/>
          <w:sz w:val="24"/>
          <w:szCs w:val="24"/>
          <w:highlight w:val="none"/>
          <w:lang w:eastAsia="zh-CN" w:bidi="ar-SA"/>
        </w:rPr>
        <w:t>建设标准</w:t>
      </w:r>
      <w:r>
        <w:rPr>
          <w:rFonts w:hint="eastAsia" w:asciiTheme="minorEastAsia" w:hAnsiTheme="minorEastAsia" w:eastAsiaTheme="minorEastAsia" w:cstheme="minorEastAsia"/>
          <w:b w:val="0"/>
          <w:bCs w:val="0"/>
          <w:color w:val="auto"/>
          <w:kern w:val="2"/>
          <w:sz w:val="24"/>
          <w:szCs w:val="24"/>
          <w:highlight w:val="none"/>
          <w:lang w:val="en-US" w:eastAsia="zh-CN" w:bidi="ar-SA"/>
        </w:rPr>
        <w:t>》《党政机关办公用房管理办法》《西安市市级党政机关办公（业务）用房租用管理暂行规定》中相关规定。</w:t>
      </w:r>
    </w:p>
    <w:p w14:paraId="4B88A39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2.乙方须根据甲方确定的装饰、装修方案组织实施租赁房屋内部装饰装修的设计、施工，因此而产生的设计费、物料费、施工费等所有费用由乙方承担。</w:t>
      </w:r>
    </w:p>
    <w:p w14:paraId="20144A83">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3.乙方须根据甲方的实际使用需求，依据《</w:t>
      </w:r>
      <w:r>
        <w:rPr>
          <w:rFonts w:hint="eastAsia" w:asciiTheme="minorEastAsia" w:hAnsiTheme="minorEastAsia" w:eastAsiaTheme="minorEastAsia" w:cstheme="minorEastAsia"/>
          <w:b w:val="0"/>
          <w:bCs w:val="0"/>
          <w:color w:val="auto"/>
          <w:kern w:val="2"/>
          <w:sz w:val="24"/>
          <w:szCs w:val="24"/>
          <w:highlight w:val="none"/>
          <w:lang w:eastAsia="zh-CN" w:bidi="ar-SA"/>
        </w:rPr>
        <w:t>西安市</w:t>
      </w:r>
      <w:r>
        <w:rPr>
          <w:rFonts w:hint="eastAsia" w:asciiTheme="minorEastAsia" w:hAnsiTheme="minorEastAsia" w:eastAsiaTheme="minorEastAsia" w:cstheme="minorEastAsia"/>
          <w:b w:val="0"/>
          <w:bCs w:val="0"/>
          <w:color w:val="auto"/>
          <w:kern w:val="2"/>
          <w:sz w:val="24"/>
          <w:szCs w:val="24"/>
          <w:highlight w:val="none"/>
          <w:lang w:val="en-US" w:eastAsia="zh-CN" w:bidi="ar-SA"/>
        </w:rPr>
        <w:t>市级行政事业单位通用办公设备及家具配置标准（2022年版）》为所出租房屋内配备办公家具，由此所产生的相关费用由乙方承担。</w:t>
      </w:r>
    </w:p>
    <w:p w14:paraId="675DBC8A">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4.在租赁期限内乙方应保证所出租房屋的正常使用。乙方须承担房屋主体结构、给排水管道、取暖设施设备、电力设施设备等相关配套设施设备的维修和保养。对租赁物因质量问题或装修问题影响甲方正常使用或造成的安全隐患(包括但不限于房屋及附属设施和设备的不能正常使用、损坏、漏水、线路出现问题等)负责。发生问题时，须及时安排人员维修，保证在当天内恢复正常使用状态。</w:t>
      </w:r>
    </w:p>
    <w:p w14:paraId="51ECF208">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5.在租赁期限内乙方须按要求配齐消防设施设备，并负责所有消防设施设备的维修，确保甲方的正常使用。</w:t>
      </w:r>
    </w:p>
    <w:p w14:paraId="6D6F521D">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6.乙方须按照甲方要求做好智慧照明系统建设，完善灯光、空调等耗能终端智能化控制系统，建设灯光、空调智能化信息平台用于能耗数据统计、分析及管理，满足节约型机关建设要求，由此而产生的相关费用由乙方承担。</w:t>
      </w:r>
    </w:p>
    <w:p w14:paraId="6C43FFBC">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7.乙方须按照甲方要求做好智联机关配套设施建设，由此而产生的相关费用由乙方承担。</w:t>
      </w:r>
    </w:p>
    <w:p w14:paraId="7C0B7CC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8.</w:t>
      </w:r>
      <w:r>
        <w:rPr>
          <w:rStyle w:val="9"/>
          <w:rFonts w:hint="eastAsia" w:asciiTheme="minorEastAsia" w:hAnsiTheme="minorEastAsia" w:eastAsiaTheme="minorEastAsia" w:cstheme="minorEastAsia"/>
          <w:bCs/>
          <w:color w:val="auto"/>
          <w:sz w:val="24"/>
          <w:szCs w:val="24"/>
          <w:highlight w:val="none"/>
          <w:lang w:val="en-US" w:eastAsia="zh-CN"/>
        </w:rPr>
        <w:t>乙方须按照甲方要求做好会议及系统配套设施建设，</w:t>
      </w:r>
      <w:r>
        <w:rPr>
          <w:rFonts w:hint="eastAsia" w:asciiTheme="minorEastAsia" w:hAnsiTheme="minorEastAsia" w:eastAsiaTheme="minorEastAsia" w:cstheme="minorEastAsia"/>
          <w:b w:val="0"/>
          <w:bCs w:val="0"/>
          <w:color w:val="auto"/>
          <w:kern w:val="2"/>
          <w:sz w:val="24"/>
          <w:szCs w:val="24"/>
          <w:highlight w:val="none"/>
          <w:lang w:val="en-US" w:eastAsia="zh-CN" w:bidi="ar-SA"/>
        </w:rPr>
        <w:t>由此而产生的相关费用由乙方承担。</w:t>
      </w:r>
    </w:p>
    <w:p w14:paraId="6400BD14">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9.乙方须按照甲方要求做好规范化、信息化智能停车场建设，由此而产生的相关费用由乙方承担。</w:t>
      </w:r>
    </w:p>
    <w:p w14:paraId="08A914C7">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Style w:val="9"/>
          <w:rFonts w:hint="eastAsia" w:asciiTheme="minorEastAsia" w:hAnsiTheme="minorEastAsia" w:eastAsiaTheme="minorEastAsia" w:cstheme="minorEastAsia"/>
          <w:bCs/>
          <w:color w:val="auto"/>
          <w:sz w:val="24"/>
          <w:szCs w:val="24"/>
          <w:highlight w:val="none"/>
          <w:lang w:val="en-US" w:eastAsia="zh-CN"/>
        </w:rPr>
        <w:t>10.</w:t>
      </w:r>
      <w:r>
        <w:rPr>
          <w:rFonts w:hint="eastAsia" w:asciiTheme="minorEastAsia" w:hAnsiTheme="minorEastAsia" w:eastAsiaTheme="minorEastAsia" w:cstheme="minorEastAsia"/>
          <w:b w:val="0"/>
          <w:bCs w:val="0"/>
          <w:color w:val="auto"/>
          <w:kern w:val="2"/>
          <w:sz w:val="24"/>
          <w:szCs w:val="24"/>
          <w:highlight w:val="none"/>
          <w:lang w:val="en-US" w:eastAsia="zh-CN" w:bidi="ar-SA"/>
        </w:rPr>
        <w:t>乙方须按照甲方要求做好高压增容双回路电路改造，由此而产生的相关费用由乙方承担。</w:t>
      </w:r>
    </w:p>
    <w:p w14:paraId="6EB260A6">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11.乙方每年须对所出租房屋进行一次甲醛检测，并出具检测报告；甲醛检测不合格时，乙方须对所出租房屋进行甲醛治理，治理完成后进行甲醛检测，并出具检测报告。</w:t>
      </w:r>
    </w:p>
    <w:p w14:paraId="6BDE3B15">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12.入住后甲方为完善使用功能而提出的房屋改造、设施设备装配、家具配备等费用均由乙方承担。</w:t>
      </w:r>
    </w:p>
    <w:p w14:paraId="1FF17E5C">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13.如因房屋有严重的质量问题或法律权属上的瑕疵，影响正常使用，甲方有权直接解除合同。</w:t>
      </w:r>
    </w:p>
    <w:p w14:paraId="6C42D61E">
      <w:pPr>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Theme="minorEastAsia" w:hAnsiTheme="minorEastAsia" w:eastAsiaTheme="minorEastAsia" w:cstheme="minorEastAsia"/>
          <w:b w:val="0"/>
          <w:bCs w:val="0"/>
          <w:color w:val="auto"/>
          <w:kern w:val="2"/>
          <w:sz w:val="24"/>
          <w:szCs w:val="24"/>
          <w:highlight w:val="none"/>
          <w:lang w:val="en-US" w:eastAsia="zh-CN" w:bidi="ar-SA"/>
        </w:rPr>
      </w:pPr>
      <w:r>
        <w:rPr>
          <w:rFonts w:hint="eastAsia" w:asciiTheme="minorEastAsia" w:hAnsiTheme="minorEastAsia" w:eastAsiaTheme="minorEastAsia" w:cstheme="minorEastAsia"/>
          <w:b w:val="0"/>
          <w:bCs w:val="0"/>
          <w:color w:val="auto"/>
          <w:kern w:val="2"/>
          <w:sz w:val="24"/>
          <w:szCs w:val="24"/>
          <w:highlight w:val="none"/>
          <w:lang w:val="en-US" w:eastAsia="zh-CN" w:bidi="ar-SA"/>
        </w:rPr>
        <w:t>14.乙方须对租赁期内所出租房屋主体、设施设备、消防安全等负安全管理责任；租赁期内所出租房屋主体、设施设备和消防的（包括但不限于设施设备添配、消防系统检测、消防改造、消防备案等）维修、改造、更换、添配等相关事宜均由乙方负责。</w:t>
      </w:r>
    </w:p>
    <w:p w14:paraId="080B08D8">
      <w:pPr>
        <w:pageBreakBefore w:val="0"/>
        <w:widowControl w:val="0"/>
        <w:kinsoku/>
        <w:wordWrap/>
        <w:overflowPunct/>
        <w:topLinePunct w:val="0"/>
        <w:autoSpaceDE/>
        <w:autoSpaceDN/>
        <w:bidi w:val="0"/>
        <w:adjustRightInd/>
        <w:snapToGrid w:val="0"/>
        <w:spacing w:line="500" w:lineRule="exact"/>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第四条  租赁费标准及支付方式</w:t>
      </w:r>
    </w:p>
    <w:p w14:paraId="2F344D4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1．租赁期内</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方向</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方支付租赁费，租赁费用标准为：每月每建筑平方米人民币（含税）[</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]元整（大写：[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]元整），租赁房屋每月租赁费用为人民币[</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]元整（大写：[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]元整）。租赁期内租赁费不递增。租金自合同签订后</w:t>
      </w:r>
      <w:r>
        <w:rPr>
          <w:rFonts w:hint="eastAsia" w:asciiTheme="minorEastAsia" w:hAnsiTheme="minorEastAsia" w:eastAsiaTheme="minorEastAsia" w:cstheme="minorEastAsia"/>
          <w:color w:val="auto"/>
          <w:sz w:val="24"/>
          <w:szCs w:val="24"/>
          <w:highlight w:val="none"/>
          <w:lang w:val="en-US" w:eastAsia="zh-CN"/>
        </w:rPr>
        <w:t>甲方对乙方进行考核，考核完成后甲方在半年</w:t>
      </w:r>
      <w:r>
        <w:rPr>
          <w:rFonts w:hint="eastAsia" w:asciiTheme="minorEastAsia" w:hAnsiTheme="minorEastAsia" w:eastAsiaTheme="minorEastAsia" w:cstheme="minorEastAsia"/>
          <w:color w:val="auto"/>
          <w:sz w:val="24"/>
          <w:szCs w:val="24"/>
          <w:highlight w:val="none"/>
        </w:rPr>
        <w:t>（6个月）</w:t>
      </w:r>
      <w:r>
        <w:rPr>
          <w:rFonts w:hint="eastAsia" w:asciiTheme="minorEastAsia" w:hAnsiTheme="minorEastAsia" w:eastAsiaTheme="minorEastAsia" w:cstheme="minorEastAsia"/>
          <w:color w:val="auto"/>
          <w:sz w:val="24"/>
          <w:szCs w:val="24"/>
          <w:highlight w:val="none"/>
          <w:lang w:val="en-US" w:eastAsia="zh-CN"/>
        </w:rPr>
        <w:t>租赁费</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]元整（大写：[</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]元整）</w:t>
      </w:r>
      <w:r>
        <w:rPr>
          <w:rFonts w:hint="eastAsia" w:asciiTheme="minorEastAsia" w:hAnsiTheme="minorEastAsia" w:eastAsiaTheme="minorEastAsia" w:cstheme="minorEastAsia"/>
          <w:color w:val="auto"/>
          <w:sz w:val="24"/>
          <w:szCs w:val="24"/>
          <w:highlight w:val="none"/>
          <w:lang w:val="en-US" w:eastAsia="zh-CN"/>
        </w:rPr>
        <w:t>中扣除考核金后向乙方支付剩余金额（即：半年租赁费</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val="en-US" w:eastAsia="zh-CN"/>
        </w:rPr>
        <w:t>元-需扣除的对应考核考核金）</w:t>
      </w:r>
      <w:r>
        <w:rPr>
          <w:rFonts w:hint="eastAsia" w:asciiTheme="minorEastAsia" w:hAnsiTheme="minorEastAsia" w:eastAsiaTheme="minorEastAsia" w:cstheme="minorEastAsia"/>
          <w:color w:val="auto"/>
          <w:sz w:val="24"/>
          <w:szCs w:val="24"/>
          <w:highlight w:val="none"/>
        </w:rPr>
        <w:t>。以后每半年</w:t>
      </w:r>
      <w:r>
        <w:rPr>
          <w:rFonts w:hint="eastAsia" w:asciiTheme="minorEastAsia" w:hAnsiTheme="minorEastAsia" w:eastAsiaTheme="minorEastAsia" w:cstheme="minorEastAsia"/>
          <w:color w:val="auto"/>
          <w:sz w:val="24"/>
          <w:szCs w:val="24"/>
          <w:highlight w:val="none"/>
          <w:lang w:val="en-US" w:eastAsia="zh-CN"/>
        </w:rPr>
        <w:t>甲方对乙方进行考核后</w:t>
      </w:r>
      <w:r>
        <w:rPr>
          <w:rFonts w:hint="eastAsia" w:asciiTheme="minorEastAsia" w:hAnsiTheme="minorEastAsia" w:eastAsiaTheme="minorEastAsia" w:cstheme="minorEastAsia"/>
          <w:color w:val="auto"/>
          <w:sz w:val="24"/>
          <w:szCs w:val="24"/>
          <w:highlight w:val="none"/>
        </w:rPr>
        <w:t>按相同</w:t>
      </w:r>
      <w:r>
        <w:rPr>
          <w:rFonts w:hint="eastAsia" w:asciiTheme="minorEastAsia" w:hAnsiTheme="minorEastAsia" w:eastAsiaTheme="minorEastAsia" w:cstheme="minorEastAsia"/>
          <w:color w:val="auto"/>
          <w:sz w:val="24"/>
          <w:szCs w:val="24"/>
          <w:highlight w:val="none"/>
          <w:lang w:val="en-US" w:eastAsia="zh-CN"/>
        </w:rPr>
        <w:t>流程支付租赁费</w:t>
      </w:r>
      <w:r>
        <w:rPr>
          <w:rFonts w:hint="eastAsia" w:asciiTheme="minorEastAsia" w:hAnsiTheme="minorEastAsia" w:eastAsiaTheme="minorEastAsia" w:cstheme="minorEastAsia"/>
          <w:color w:val="auto"/>
          <w:sz w:val="24"/>
          <w:szCs w:val="24"/>
          <w:highlight w:val="none"/>
        </w:rPr>
        <w:t>。每次付款时，</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方需向</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方提供租赁费的增值税普通发票。</w:t>
      </w:r>
    </w:p>
    <w:p w14:paraId="6F033C5D">
      <w:pPr>
        <w:pStyle w:val="8"/>
        <w:keepNext w:val="0"/>
        <w:keepLines w:val="0"/>
        <w:pageBreakBefore w:val="0"/>
        <w:widowControl w:val="0"/>
        <w:shd w:val="clear" w:color="auto" w:fill="auto"/>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方账户如下：</w:t>
      </w:r>
    </w:p>
    <w:p w14:paraId="540162A4">
      <w:pPr>
        <w:pStyle w:val="8"/>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shd w:val="clear" w:color="auto" w:fill="auto"/>
          <w:lang w:val="en-US" w:eastAsia="zh-CN"/>
        </w:rPr>
      </w:pPr>
      <w:r>
        <w:rPr>
          <w:rFonts w:hint="eastAsia" w:asciiTheme="minorEastAsia" w:hAnsiTheme="minorEastAsia" w:eastAsiaTheme="minorEastAsia" w:cstheme="minorEastAsia"/>
          <w:color w:val="auto"/>
          <w:sz w:val="24"/>
          <w:szCs w:val="24"/>
          <w:highlight w:val="none"/>
          <w:shd w:val="clear" w:color="auto" w:fill="auto"/>
        </w:rPr>
        <w:t>账  号：</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p>
    <w:p w14:paraId="06D599E0">
      <w:pPr>
        <w:pStyle w:val="8"/>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shd w:val="clear" w:color="auto" w:fill="auto"/>
          <w:lang w:val="en-US" w:eastAsia="zh-CN"/>
        </w:rPr>
      </w:pPr>
      <w:r>
        <w:rPr>
          <w:rFonts w:hint="eastAsia" w:asciiTheme="minorEastAsia" w:hAnsiTheme="minorEastAsia" w:eastAsiaTheme="minorEastAsia" w:cstheme="minorEastAsia"/>
          <w:color w:val="auto"/>
          <w:sz w:val="24"/>
          <w:szCs w:val="24"/>
          <w:highlight w:val="none"/>
          <w:shd w:val="clear" w:color="auto" w:fill="auto"/>
        </w:rPr>
        <w:t>账户名：</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p>
    <w:p w14:paraId="2C3E6C3C">
      <w:pPr>
        <w:pStyle w:val="8"/>
        <w:keepNext w:val="0"/>
        <w:keepLines w:val="0"/>
        <w:pageBreakBefore w:val="0"/>
        <w:widowControl w:val="0"/>
        <w:shd w:val="clear" w:color="auto" w:fill="FFFFFF"/>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shd w:val="clear" w:color="auto" w:fill="auto"/>
          <w:lang w:val="en-US" w:eastAsia="zh-CN"/>
        </w:rPr>
      </w:pPr>
      <w:r>
        <w:rPr>
          <w:rFonts w:hint="eastAsia" w:asciiTheme="minorEastAsia" w:hAnsiTheme="minorEastAsia" w:eastAsiaTheme="minorEastAsia" w:cstheme="minorEastAsia"/>
          <w:color w:val="auto"/>
          <w:sz w:val="24"/>
          <w:szCs w:val="24"/>
          <w:highlight w:val="none"/>
          <w:shd w:val="clear" w:color="auto" w:fill="auto"/>
        </w:rPr>
        <w:t>开户行：</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shd w:val="clear" w:color="auto" w:fill="auto"/>
          <w:lang w:val="en-US" w:eastAsia="zh-CN"/>
        </w:rPr>
        <w:t xml:space="preserve">              </w:t>
      </w:r>
    </w:p>
    <w:p w14:paraId="6445D14F">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eastAsia="zh-CN"/>
        </w:rPr>
        <w:t>五</w:t>
      </w:r>
      <w:r>
        <w:rPr>
          <w:rFonts w:hint="eastAsia" w:asciiTheme="minorEastAsia" w:hAnsiTheme="minorEastAsia" w:eastAsiaTheme="minorEastAsia" w:cstheme="minorEastAsia"/>
          <w:b/>
          <w:color w:val="auto"/>
          <w:sz w:val="24"/>
          <w:szCs w:val="24"/>
          <w:highlight w:val="none"/>
        </w:rPr>
        <w:t>条   租赁期间管理</w:t>
      </w:r>
    </w:p>
    <w:p w14:paraId="14229981">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方保证对租赁房屋的使用和一切经营活动遵守国家和地方有关的法律法规，并遵守</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方及物业管理公司有关房屋管理的规定。</w:t>
      </w:r>
    </w:p>
    <w:p w14:paraId="5DC2CA5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2．承租期内</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方应保持租赁房屋及各项附属设施设备清洁完好，在租赁期满时，将其以正常状态（正常磨损除外）交还</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w:t>
      </w:r>
    </w:p>
    <w:p w14:paraId="69A5D20A">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方不许自行或允许他人在租赁房屋内存放有毒有害、易燃易爆、腐蚀性的危险物品，亦不得自行或允许他人在租赁房屋内放置超过楼层设计载荷的物品，或装设可能引起震动、噪音、异味、干扰的机具，</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方应对由此造成的安全责任、人身伤害、财产损失（包含甲方房屋）承担赔偿责任，并且</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方有权解除合同。</w:t>
      </w:r>
    </w:p>
    <w:p w14:paraId="35F09DF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方负责租赁房屋、所经营货物、物品及其他设施、消费客户的安全，包括对自然灾害的保险及治安防盗等。</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方应对租赁范围内发生的安全责任、人身伤害、财产损失（包含甲方房屋）承担相应责任并赔偿损失。</w:t>
      </w:r>
    </w:p>
    <w:p w14:paraId="3D5E847D">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方架设或悬挂店招、广告牌应经</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方及物业管理公司同意，遵守政府有关管理规定经审批许可并承担有关费用后方可实施。</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方对所架设或悬挂店招、广告牌承担管理及维护责任，应对由此造成的安全责任、人身伤害、财产损失（包含</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方房屋）承担责任。</w:t>
      </w:r>
    </w:p>
    <w:p w14:paraId="68A5EE7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7．租赁期满或双方协商一致提前终止合同，自租赁期满或双方约定的交屋日之次日，</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方即对租赁房屋享有占有、使用、收益、处分之权利。若</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方在租赁期满或双方约定的交屋日仍未将租赁房屋返还</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方应书面告知</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方并给予不少于10天的搬离期限。</w:t>
      </w:r>
    </w:p>
    <w:p w14:paraId="7FCD89CF">
      <w:pPr>
        <w:keepNext w:val="0"/>
        <w:keepLines w:val="0"/>
        <w:pageBreakBefore w:val="0"/>
        <w:widowControl w:val="0"/>
        <w:kinsoku/>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8.乙方须对租赁期内所出租房屋主体、设施设备、消防安全等负安全管理责任，租赁期内所出租房屋主体、设施设备、消防等维护、保养、修缮等均由乙方负责。</w:t>
      </w:r>
    </w:p>
    <w:p w14:paraId="1763AEA3">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val="en-US" w:eastAsia="zh-CN"/>
        </w:rPr>
        <w:t>六</w:t>
      </w:r>
      <w:r>
        <w:rPr>
          <w:rFonts w:hint="eastAsia" w:asciiTheme="minorEastAsia" w:hAnsiTheme="minorEastAsia" w:eastAsiaTheme="minorEastAsia" w:cstheme="minorEastAsia"/>
          <w:b/>
          <w:color w:val="auto"/>
          <w:sz w:val="24"/>
          <w:szCs w:val="24"/>
          <w:highlight w:val="none"/>
        </w:rPr>
        <w:t>条  双方权利义务</w:t>
      </w:r>
    </w:p>
    <w:p w14:paraId="30621648">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1．租赁房屋不得供赌博等非法经营或目的之使用。</w:t>
      </w:r>
    </w:p>
    <w:p w14:paraId="075AD770">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2．租赁房屋之公共区域及公共设备等，</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方不得放置物品或为居住，加装设备等任何方式之占用，遵守物业管理规约相关安全规则。</w:t>
      </w:r>
    </w:p>
    <w:p w14:paraId="78F9589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0A90A48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4．租赁期间，</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方如欲将租赁房屋进行房屋转租或分租，必须征得</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方的书面同意；否则转租或分租无效，</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方有权解除租赁合同。</w:t>
      </w:r>
    </w:p>
    <w:p w14:paraId="61709D76">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5．租赁期内，</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方应尽所有合理的努力，确保对房屋的维护、维修，不得对该房屋或</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方的资产造成任何损坏，不得永久性或实质性改变该房屋结构或尺寸，损害该房屋或公共区域的安全或干扰乙方使用该房屋。</w:t>
      </w:r>
    </w:p>
    <w:p w14:paraId="3F229B93">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租赁期内，甲方应尽所有合理的努力，确保对房屋的维护、维修，不得对该房屋或乙方的资产造成任何损坏，不得永久性或实质性改变该房屋结构或尺寸，损害该房屋或公共区域的安全或干扰乙方使用该房屋。</w:t>
      </w:r>
    </w:p>
    <w:p w14:paraId="1A7C389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9．租赁期内，</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方应确保</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方及其员工、访客、客户能够不受妨碍地进出租赁房屋，不得对</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方所租赁房屋停水停电或阻碍</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方进入租赁房屋。</w:t>
      </w:r>
    </w:p>
    <w:p w14:paraId="4B798249">
      <w:pPr>
        <w:keepNext w:val="0"/>
        <w:keepLines w:val="0"/>
        <w:pageBreakBefore w:val="0"/>
        <w:widowControl w:val="0"/>
        <w:kinsoku/>
        <w:overflowPunct/>
        <w:topLinePunct w:val="0"/>
        <w:autoSpaceDE/>
        <w:autoSpaceDN/>
        <w:bidi w:val="0"/>
        <w:adjustRightInd/>
        <w:snapToGrid/>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10.租赁期内，乙方应确保按照单一来源采购文件、单一来源采购响应文件、甲方要求进行服务。</w:t>
      </w:r>
    </w:p>
    <w:p w14:paraId="2B0F93A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val="en-US" w:eastAsia="zh-CN"/>
        </w:rPr>
        <w:t>七</w:t>
      </w:r>
      <w:r>
        <w:rPr>
          <w:rFonts w:hint="eastAsia" w:asciiTheme="minorEastAsia" w:hAnsiTheme="minorEastAsia" w:eastAsiaTheme="minorEastAsia" w:cstheme="minorEastAsia"/>
          <w:b/>
          <w:color w:val="auto"/>
          <w:sz w:val="24"/>
          <w:szCs w:val="24"/>
          <w:highlight w:val="none"/>
        </w:rPr>
        <w:t xml:space="preserve">条  </w:t>
      </w:r>
      <w:r>
        <w:rPr>
          <w:rFonts w:hint="eastAsia" w:asciiTheme="minorEastAsia" w:hAnsiTheme="minorEastAsia" w:eastAsiaTheme="minorEastAsia" w:cstheme="minorEastAsia"/>
          <w:b/>
          <w:color w:val="auto"/>
          <w:sz w:val="24"/>
          <w:szCs w:val="24"/>
          <w:highlight w:val="none"/>
          <w:lang w:val="en-US" w:eastAsia="zh-CN"/>
        </w:rPr>
        <w:t>甲</w:t>
      </w:r>
      <w:r>
        <w:rPr>
          <w:rFonts w:hint="eastAsia" w:asciiTheme="minorEastAsia" w:hAnsiTheme="minorEastAsia" w:eastAsiaTheme="minorEastAsia" w:cstheme="minorEastAsia"/>
          <w:b/>
          <w:color w:val="auto"/>
          <w:sz w:val="24"/>
          <w:szCs w:val="24"/>
          <w:highlight w:val="none"/>
        </w:rPr>
        <w:t>方之终止事由</w:t>
      </w:r>
    </w:p>
    <w:p w14:paraId="1BBEA701">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1．因不可归责于双方之事由，致租赁房屋之全部或一部遭受天灾、地震、战争、内乱或其他不可抗力事故等原因而不能使用者，经双方确认后</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方可就</w:t>
      </w:r>
      <w:r>
        <w:rPr>
          <w:rFonts w:hint="eastAsia" w:asciiTheme="minorEastAsia" w:hAnsiTheme="minorEastAsia" w:eastAsiaTheme="minorEastAsia" w:cstheme="minorEastAsia"/>
          <w:color w:val="auto"/>
          <w:sz w:val="24"/>
          <w:szCs w:val="24"/>
          <w:highlight w:val="none"/>
          <w:lang w:val="en-US" w:eastAsia="zh-CN"/>
        </w:rPr>
        <w:t>已</w:t>
      </w:r>
      <w:r>
        <w:rPr>
          <w:rFonts w:hint="eastAsia" w:asciiTheme="minorEastAsia" w:hAnsiTheme="minorEastAsia" w:eastAsiaTheme="minorEastAsia" w:cstheme="minorEastAsia"/>
          <w:color w:val="auto"/>
          <w:sz w:val="24"/>
          <w:szCs w:val="24"/>
          <w:highlight w:val="none"/>
        </w:rPr>
        <w:t>不能使用部分之面积与本租赁房屋之面积之比例，减少租赁费用，直至受损部分完全恢复使用为止；或经双方书面同意后终止本合同。</w:t>
      </w:r>
    </w:p>
    <w:p w14:paraId="40F288BB">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2．因不可归责于</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方之事由致本租赁房屋毁损，剩余部分已不符合</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方使用之目的的，</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方可以书面通知</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方终止本合同。</w:t>
      </w:r>
    </w:p>
    <w:p w14:paraId="4613AA3E">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3.因</w:t>
      </w:r>
      <w:r>
        <w:rPr>
          <w:rFonts w:hint="eastAsia" w:asciiTheme="minorEastAsia" w:hAnsiTheme="minorEastAsia" w:eastAsiaTheme="minorEastAsia" w:cstheme="minorEastAsia"/>
          <w:color w:val="auto"/>
          <w:sz w:val="24"/>
          <w:szCs w:val="24"/>
          <w:highlight w:val="none"/>
        </w:rPr>
        <w:t>国家政策调整、编制体制调整、机构改革</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政府办公（业务）用房调整</w:t>
      </w:r>
      <w:r>
        <w:rPr>
          <w:rFonts w:hint="eastAsia" w:asciiTheme="minorEastAsia" w:hAnsiTheme="minorEastAsia" w:eastAsiaTheme="minorEastAsia" w:cstheme="minorEastAsia"/>
          <w:color w:val="auto"/>
          <w:sz w:val="24"/>
          <w:szCs w:val="24"/>
          <w:highlight w:val="none"/>
        </w:rPr>
        <w:t>等不可抗力因素</w:t>
      </w:r>
      <w:r>
        <w:rPr>
          <w:rFonts w:hint="eastAsia" w:asciiTheme="minorEastAsia" w:hAnsiTheme="minorEastAsia" w:eastAsiaTheme="minorEastAsia" w:cstheme="minorEastAsia"/>
          <w:color w:val="auto"/>
          <w:sz w:val="24"/>
          <w:szCs w:val="24"/>
          <w:highlight w:val="none"/>
          <w:lang w:val="en-US" w:eastAsia="zh-CN"/>
        </w:rPr>
        <w:t>，致使</w:t>
      </w:r>
      <w:r>
        <w:rPr>
          <w:rFonts w:hint="eastAsia" w:asciiTheme="minorEastAsia" w:hAnsiTheme="minorEastAsia" w:eastAsiaTheme="minorEastAsia" w:cstheme="minorEastAsia"/>
          <w:color w:val="auto"/>
          <w:sz w:val="24"/>
          <w:szCs w:val="24"/>
          <w:highlight w:val="none"/>
        </w:rPr>
        <w:t>本合同无法继续履行，本合同终止，双方不承担责任。</w:t>
      </w:r>
    </w:p>
    <w:p w14:paraId="581A5B5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．因前</w:t>
      </w:r>
      <w:r>
        <w:rPr>
          <w:rFonts w:hint="eastAsia" w:asciiTheme="minorEastAsia" w:hAnsiTheme="minorEastAsia" w:eastAsiaTheme="minorEastAsia" w:cstheme="minorEastAsia"/>
          <w:color w:val="auto"/>
          <w:sz w:val="24"/>
          <w:szCs w:val="24"/>
          <w:highlight w:val="none"/>
          <w:lang w:val="en-US" w:eastAsia="zh-CN"/>
        </w:rPr>
        <w:t>三</w:t>
      </w:r>
      <w:r>
        <w:rPr>
          <w:rFonts w:hint="eastAsia" w:asciiTheme="minorEastAsia" w:hAnsiTheme="minorEastAsia" w:eastAsiaTheme="minorEastAsia" w:cstheme="minorEastAsia"/>
          <w:color w:val="auto"/>
          <w:sz w:val="24"/>
          <w:szCs w:val="24"/>
          <w:highlight w:val="none"/>
        </w:rPr>
        <w:t>项情形而终止本合同时，</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方应于确认</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方已履行本合同规定之所有义务后，于本合同终止【六十】日内由</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方以书面形式通知</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w:t>
      </w:r>
    </w:p>
    <w:p w14:paraId="40529312">
      <w:pPr>
        <w:keepNext w:val="0"/>
        <w:keepLines w:val="0"/>
        <w:pageBreakBefore w:val="0"/>
        <w:widowControl w:val="0"/>
        <w:kinsoku/>
        <w:overflowPunct/>
        <w:topLinePunct w:val="0"/>
        <w:autoSpaceDE/>
        <w:autoSpaceDN/>
        <w:bidi w:val="0"/>
        <w:adjustRightInd/>
        <w:snapToGrid/>
        <w:spacing w:line="560" w:lineRule="exact"/>
        <w:ind w:firstLine="241" w:firstLineChars="1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val="en-US" w:eastAsia="zh-CN"/>
        </w:rPr>
        <w:t>八</w:t>
      </w:r>
      <w:r>
        <w:rPr>
          <w:rFonts w:hint="eastAsia" w:asciiTheme="minorEastAsia" w:hAnsiTheme="minorEastAsia" w:eastAsiaTheme="minorEastAsia" w:cstheme="minorEastAsia"/>
          <w:b/>
          <w:color w:val="auto"/>
          <w:sz w:val="24"/>
          <w:szCs w:val="24"/>
          <w:highlight w:val="none"/>
        </w:rPr>
        <w:t xml:space="preserve">条  </w:t>
      </w:r>
      <w:r>
        <w:rPr>
          <w:rFonts w:hint="eastAsia" w:asciiTheme="minorEastAsia" w:hAnsiTheme="minorEastAsia" w:eastAsiaTheme="minorEastAsia" w:cstheme="minorEastAsia"/>
          <w:b/>
          <w:color w:val="auto"/>
          <w:sz w:val="24"/>
          <w:szCs w:val="24"/>
          <w:highlight w:val="none"/>
          <w:lang w:val="en-US" w:eastAsia="zh-CN"/>
        </w:rPr>
        <w:t>乙</w:t>
      </w:r>
      <w:r>
        <w:rPr>
          <w:rFonts w:hint="eastAsia" w:asciiTheme="minorEastAsia" w:hAnsiTheme="minorEastAsia" w:eastAsiaTheme="minorEastAsia" w:cstheme="minorEastAsia"/>
          <w:b/>
          <w:color w:val="auto"/>
          <w:sz w:val="24"/>
          <w:szCs w:val="24"/>
          <w:highlight w:val="none"/>
        </w:rPr>
        <w:t>方之终止事由</w:t>
      </w:r>
    </w:p>
    <w:p w14:paraId="7C1FCF1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方有下列各款规定情形之一且在</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方告知后仍未改正者，</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方可以书面通知</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方单方终止本合同，双方合同自通知之日解除，</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方应赔偿甲方因此所发生之一切损失：</w:t>
      </w:r>
    </w:p>
    <w:p w14:paraId="1B8A32E8">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方延迟支付或拒付租赁费用达30日及以上。</w:t>
      </w:r>
    </w:p>
    <w:p w14:paraId="77314C1B">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方自行携入、存放或同意第三人携入、存放任何武器、弹药、硝石、煤油、液化瓦斯等易燃、爆炸之违禁物或危险物品于租赁房屋内。</w:t>
      </w:r>
    </w:p>
    <w:p w14:paraId="5A8A1E7D">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3．严重违反物业管理规约或者损害租赁房屋主体结构或附属设施，经催告拒不承担修缮责任的</w:t>
      </w:r>
      <w:r>
        <w:rPr>
          <w:rFonts w:hint="eastAsia" w:asciiTheme="minorEastAsia" w:hAnsiTheme="minorEastAsia" w:eastAsiaTheme="minorEastAsia" w:cstheme="minorEastAsia"/>
          <w:color w:val="auto"/>
          <w:sz w:val="24"/>
          <w:szCs w:val="24"/>
          <w:highlight w:val="none"/>
          <w:lang w:eastAsia="zh-CN"/>
        </w:rPr>
        <w:t>。</w:t>
      </w:r>
    </w:p>
    <w:p w14:paraId="26DC8BD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方在签订和履行合同中存在欺诈、弄虚作假、胁迫等损害</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方和物业公司利益情形的</w:t>
      </w:r>
      <w:r>
        <w:rPr>
          <w:rFonts w:hint="eastAsia" w:asciiTheme="minorEastAsia" w:hAnsiTheme="minorEastAsia" w:eastAsiaTheme="minorEastAsia" w:cstheme="minorEastAsia"/>
          <w:color w:val="auto"/>
          <w:sz w:val="24"/>
          <w:szCs w:val="24"/>
          <w:highlight w:val="none"/>
          <w:lang w:eastAsia="zh-CN"/>
        </w:rPr>
        <w:t>。</w:t>
      </w:r>
    </w:p>
    <w:p w14:paraId="5DF97B54">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eastAsia="zh-CN"/>
        </w:rPr>
        <w:t>九</w:t>
      </w:r>
      <w:r>
        <w:rPr>
          <w:rFonts w:hint="eastAsia" w:asciiTheme="minorEastAsia" w:hAnsiTheme="minorEastAsia" w:eastAsiaTheme="minorEastAsia" w:cstheme="minorEastAsia"/>
          <w:b/>
          <w:color w:val="auto"/>
          <w:sz w:val="24"/>
          <w:szCs w:val="24"/>
          <w:highlight w:val="none"/>
        </w:rPr>
        <w:t>条  租赁期间届满与提前终止</w:t>
      </w:r>
    </w:p>
    <w:p w14:paraId="5A9B452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1．租赁期间届满，若未经双方依本合同约定方式续约，本合同自然终止。</w:t>
      </w:r>
    </w:p>
    <w:p w14:paraId="2B510DF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2．除本合同另有约定外，</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方有正当理由可提前终止合同，但须提前3个月前以书面方式通知甲方，合同期内的租金按实际租赁月数据实结算。</w:t>
      </w:r>
    </w:p>
    <w:p w14:paraId="6DB4EE1D">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方于本合同终止或租赁期间届满时，未按本合同约定返还租赁房屋予</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方，自本合同终止或租赁期间届满的次日起，</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方应按本合同约定租赁费用的两倍向</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方支付实际占有期间的占有使用费。</w:t>
      </w:r>
    </w:p>
    <w:p w14:paraId="2277F3A5">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eastAsia="zh-CN"/>
        </w:rPr>
        <w:t>十</w:t>
      </w:r>
      <w:r>
        <w:rPr>
          <w:rFonts w:hint="eastAsia" w:asciiTheme="minorEastAsia" w:hAnsiTheme="minorEastAsia" w:eastAsiaTheme="minorEastAsia" w:cstheme="minorEastAsia"/>
          <w:b/>
          <w:color w:val="auto"/>
          <w:sz w:val="24"/>
          <w:szCs w:val="24"/>
          <w:highlight w:val="none"/>
        </w:rPr>
        <w:t>条  违约责任</w:t>
      </w:r>
    </w:p>
    <w:p w14:paraId="3A8C186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方若迟延交付租赁房屋，逾期每日按应付本合同约定的一个交租周期的租赁费用的千分之一支付违约金。</w:t>
      </w:r>
    </w:p>
    <w:p w14:paraId="1D9AE15C">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方逾期交付租赁费用的，除应及时如数补交外，逾期每日按照应付未付租赁费用总额的千分之一支付违约金。</w:t>
      </w:r>
    </w:p>
    <w:p w14:paraId="1BC34084">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方违反合同，在未经</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方书面同意的情况下擅自将租赁房屋转租、分租给第三人使用或变更实际经营人（包括以股权转让或公司转让、承包等方式，但不包括乙方内部人员调整发生的负责人变更），</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方有权解除合同。</w:t>
      </w:r>
    </w:p>
    <w:p w14:paraId="4563FE0F">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方有下列各款规定情形之一且在</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方告知后仍未改正者，</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方可以书面通知</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方单方解除本合同，双方合同自通知之日解除，</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方应退还乙方已付但未到期之租赁费用：</w:t>
      </w:r>
    </w:p>
    <w:p w14:paraId="7A35A2D8">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①</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方延期交付租赁房屋超过15日的。</w:t>
      </w:r>
    </w:p>
    <w:p w14:paraId="59D316FE">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②</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方不承担约定的维修义务，致使</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方无法正常使用该房屋的。</w:t>
      </w:r>
    </w:p>
    <w:p w14:paraId="661ECC20">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③</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方交付的房屋不符合合同约定，或者影响</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方安全或人员健康的。</w:t>
      </w:r>
    </w:p>
    <w:p w14:paraId="28CD4B78">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④</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方无法保证租赁房屋及其设施正常使用，水、电等经常无法正常供给，严重妨碍乙方日常办公，经</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方书面通知要求改正后15日内仍未得到纠正的(但非因甲方过错造成的除外)。</w:t>
      </w:r>
    </w:p>
    <w:p w14:paraId="5C36E122">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⑤因第三人主张权利，致使</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方不能对租赁物使用、收益的。</w:t>
      </w:r>
    </w:p>
    <w:p w14:paraId="534F5E4E">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⑥</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方不履行合同约定其他义务致使</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方无法正常使用部分或全部</w:t>
      </w:r>
      <w:r>
        <w:rPr>
          <w:rFonts w:hint="eastAsia" w:asciiTheme="minorEastAsia" w:hAnsiTheme="minorEastAsia" w:eastAsiaTheme="minorEastAsia" w:cstheme="minorEastAsia"/>
          <w:color w:val="auto"/>
          <w:sz w:val="24"/>
          <w:szCs w:val="24"/>
          <w:highlight w:val="none"/>
          <w:lang w:val="en-US" w:eastAsia="zh-CN"/>
        </w:rPr>
        <w:t>租赁</w:t>
      </w:r>
      <w:r>
        <w:rPr>
          <w:rFonts w:hint="eastAsia" w:asciiTheme="minorEastAsia" w:hAnsiTheme="minorEastAsia" w:eastAsiaTheme="minorEastAsia" w:cstheme="minorEastAsia"/>
          <w:color w:val="auto"/>
          <w:sz w:val="24"/>
          <w:szCs w:val="24"/>
          <w:highlight w:val="none"/>
        </w:rPr>
        <w:t>房屋及其附属设备超过30日，且经书面催告仍未纠正的。</w:t>
      </w:r>
    </w:p>
    <w:p w14:paraId="2D3606A0">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w:t>
      </w:r>
      <w:r>
        <w:rPr>
          <w:rFonts w:hint="eastAsia" w:asciiTheme="minorEastAsia" w:hAnsiTheme="minorEastAsia" w:eastAsiaTheme="minorEastAsia" w:cstheme="minorEastAsia"/>
          <w:b/>
          <w:color w:val="auto"/>
          <w:sz w:val="24"/>
          <w:szCs w:val="24"/>
          <w:highlight w:val="none"/>
          <w:lang w:eastAsia="zh-CN"/>
        </w:rPr>
        <w:t>十一</w:t>
      </w:r>
      <w:r>
        <w:rPr>
          <w:rFonts w:hint="eastAsia" w:asciiTheme="minorEastAsia" w:hAnsiTheme="minorEastAsia" w:eastAsiaTheme="minorEastAsia" w:cstheme="minorEastAsia"/>
          <w:b/>
          <w:color w:val="auto"/>
          <w:sz w:val="24"/>
          <w:szCs w:val="24"/>
          <w:highlight w:val="none"/>
        </w:rPr>
        <w:t>条  保密条款</w:t>
      </w:r>
    </w:p>
    <w:p w14:paraId="39AAEC7B">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1．非经甲方书面同意，乙方不得擅自披露本合同租赁费用信息事项予任何第三人；但双方的员工、律师、代理、借贷方、财务人员或其他咨询人员或政府人员因工作需要的情况除外，法律另有要求的除外。</w:t>
      </w:r>
    </w:p>
    <w:p w14:paraId="6E1C031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方也应对本合同及涉及</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方办公、业务场所图纸等资料承担保密责任，未经许可不得提供给第三方。甲方正式入驻办公后，甲方人员需经许可方可进入办公区域。</w:t>
      </w:r>
    </w:p>
    <w:p w14:paraId="68D85F1C">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3.甲乙双方依本条所负之保密义务，于本合同终止或租赁期间届满后一年内仍继续有效。</w:t>
      </w:r>
    </w:p>
    <w:p w14:paraId="1B9B94BE">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第十</w:t>
      </w:r>
      <w:r>
        <w:rPr>
          <w:rFonts w:hint="eastAsia" w:asciiTheme="minorEastAsia" w:hAnsiTheme="minorEastAsia" w:eastAsiaTheme="minorEastAsia" w:cstheme="minorEastAsia"/>
          <w:b/>
          <w:color w:val="auto"/>
          <w:sz w:val="24"/>
          <w:szCs w:val="24"/>
          <w:highlight w:val="none"/>
          <w:lang w:val="en-US" w:eastAsia="zh-CN"/>
        </w:rPr>
        <w:t>二</w:t>
      </w:r>
      <w:r>
        <w:rPr>
          <w:rFonts w:hint="eastAsia" w:asciiTheme="minorEastAsia" w:hAnsiTheme="minorEastAsia" w:eastAsiaTheme="minorEastAsia" w:cstheme="minorEastAsia"/>
          <w:b/>
          <w:color w:val="auto"/>
          <w:sz w:val="24"/>
          <w:szCs w:val="24"/>
          <w:highlight w:val="none"/>
        </w:rPr>
        <w:t>条  联络方式</w:t>
      </w:r>
    </w:p>
    <w:p w14:paraId="683E31D7">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1．有关本合同之联络或书面通知事宜，悉以本合同签名页所载之地址为准。</w:t>
      </w:r>
    </w:p>
    <w:p w14:paraId="30364BE3">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2．一方地址如有变更，应以书面通知他方，否则他方按本合同所载之最后地址所发送的通知，视为已送达予该一方。租赁期内，</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方同意</w:t>
      </w:r>
      <w:r>
        <w:rPr>
          <w:rFonts w:hint="eastAsia" w:asciiTheme="minorEastAsia" w:hAnsiTheme="minorEastAsia" w:eastAsiaTheme="minorEastAsia" w:cstheme="minorEastAsia"/>
          <w:color w:val="auto"/>
          <w:sz w:val="24"/>
          <w:szCs w:val="24"/>
          <w:highlight w:val="none"/>
          <w:lang w:val="en-US" w:eastAsia="zh-CN"/>
        </w:rPr>
        <w:t>乙</w:t>
      </w:r>
      <w:r>
        <w:rPr>
          <w:rFonts w:hint="eastAsia" w:asciiTheme="minorEastAsia" w:hAnsiTheme="minorEastAsia" w:eastAsiaTheme="minorEastAsia" w:cstheme="minorEastAsia"/>
          <w:color w:val="auto"/>
          <w:sz w:val="24"/>
          <w:szCs w:val="24"/>
          <w:highlight w:val="none"/>
        </w:rPr>
        <w:t>方对</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方的任何书面通知可张贴于</w:t>
      </w:r>
      <w:r>
        <w:rPr>
          <w:rFonts w:hint="eastAsia" w:asciiTheme="minorEastAsia" w:hAnsiTheme="minorEastAsia" w:eastAsiaTheme="minorEastAsia" w:cstheme="minorEastAsia"/>
          <w:color w:val="auto"/>
          <w:sz w:val="24"/>
          <w:szCs w:val="24"/>
          <w:highlight w:val="none"/>
          <w:lang w:val="en-US" w:eastAsia="zh-CN"/>
        </w:rPr>
        <w:t>甲</w:t>
      </w:r>
      <w:r>
        <w:rPr>
          <w:rFonts w:hint="eastAsia" w:asciiTheme="minorEastAsia" w:hAnsiTheme="minorEastAsia" w:eastAsiaTheme="minorEastAsia" w:cstheme="minorEastAsia"/>
          <w:color w:val="auto"/>
          <w:sz w:val="24"/>
          <w:szCs w:val="24"/>
          <w:highlight w:val="none"/>
        </w:rPr>
        <w:t>方承租房屋方式，即视为送达。</w:t>
      </w:r>
    </w:p>
    <w:p w14:paraId="46554A4A">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3.紧急联系人</w:t>
      </w:r>
    </w:p>
    <w:p w14:paraId="36647CE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甲方紧急联系人、联系方式：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6A899608">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乙方紧急联系人、联系方式：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6EE77898">
      <w:pPr>
        <w:keepNext w:val="0"/>
        <w:keepLines w:val="0"/>
        <w:pageBreakBefore w:val="0"/>
        <w:widowControl w:val="0"/>
        <w:kinsoku/>
        <w:overflowPunct/>
        <w:topLinePunct w:val="0"/>
        <w:autoSpaceDE/>
        <w:autoSpaceDN/>
        <w:bidi w:val="0"/>
        <w:adjustRightInd/>
        <w:snapToGrid/>
        <w:spacing w:line="560" w:lineRule="exact"/>
        <w:ind w:firstLine="482"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第十</w:t>
      </w:r>
      <w:r>
        <w:rPr>
          <w:rFonts w:hint="eastAsia" w:asciiTheme="minorEastAsia" w:hAnsiTheme="minorEastAsia" w:eastAsiaTheme="minorEastAsia" w:cstheme="minorEastAsia"/>
          <w:b/>
          <w:color w:val="auto"/>
          <w:sz w:val="24"/>
          <w:szCs w:val="24"/>
          <w:highlight w:val="none"/>
          <w:lang w:val="en-US" w:eastAsia="zh-CN"/>
        </w:rPr>
        <w:t>三</w:t>
      </w:r>
      <w:r>
        <w:rPr>
          <w:rFonts w:hint="eastAsia" w:asciiTheme="minorEastAsia" w:hAnsiTheme="minorEastAsia" w:eastAsiaTheme="minorEastAsia" w:cstheme="minorEastAsia"/>
          <w:b/>
          <w:color w:val="auto"/>
          <w:sz w:val="24"/>
          <w:szCs w:val="24"/>
          <w:highlight w:val="none"/>
        </w:rPr>
        <w:t>条  其他规定</w:t>
      </w:r>
    </w:p>
    <w:p w14:paraId="4E56056D">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1．本合同</w:t>
      </w:r>
      <w:r>
        <w:rPr>
          <w:rFonts w:hint="eastAsia" w:asciiTheme="minorEastAsia" w:hAnsiTheme="minorEastAsia" w:eastAsiaTheme="minorEastAsia" w:cstheme="minorEastAsia"/>
          <w:color w:val="auto"/>
          <w:sz w:val="24"/>
          <w:szCs w:val="24"/>
          <w:highlight w:val="none"/>
          <w:lang w:val="en-US" w:eastAsia="zh-CN"/>
        </w:rPr>
        <w:t>自甲乙</w:t>
      </w:r>
      <w:r>
        <w:rPr>
          <w:rFonts w:hint="eastAsia" w:asciiTheme="minorEastAsia" w:hAnsiTheme="minorEastAsia" w:eastAsiaTheme="minorEastAsia" w:cstheme="minorEastAsia"/>
          <w:color w:val="auto"/>
          <w:sz w:val="24"/>
          <w:szCs w:val="24"/>
          <w:highlight w:val="none"/>
        </w:rPr>
        <w:t>双方签字、盖章之日起生效。本合同效力及于双方之受让人、承受人、管理人及其法定继承人。</w:t>
      </w:r>
    </w:p>
    <w:p w14:paraId="5FB825A9">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2．本</w:t>
      </w:r>
      <w:r>
        <w:rPr>
          <w:rFonts w:hint="eastAsia" w:asciiTheme="minorEastAsia" w:hAnsiTheme="minorEastAsia" w:eastAsiaTheme="minorEastAsia" w:cstheme="minorEastAsia"/>
          <w:color w:val="auto"/>
          <w:sz w:val="24"/>
          <w:szCs w:val="24"/>
          <w:highlight w:val="none"/>
          <w:lang w:val="en-US" w:eastAsia="zh-CN"/>
        </w:rPr>
        <w:t>合同</w:t>
      </w:r>
      <w:r>
        <w:rPr>
          <w:rFonts w:hint="eastAsia" w:asciiTheme="minorEastAsia" w:hAnsiTheme="minorEastAsia" w:eastAsiaTheme="minorEastAsia" w:cstheme="minorEastAsia"/>
          <w:color w:val="auto"/>
          <w:sz w:val="24"/>
          <w:szCs w:val="24"/>
          <w:highlight w:val="none"/>
        </w:rPr>
        <w:t>的订立、生效、解释及争议，均适用中华人民共和国法律、法规。</w:t>
      </w:r>
    </w:p>
    <w:p w14:paraId="16A05A23">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3．本协议履行过程中如发生争议，甲乙应双方协商解决；如协商不成或不愿协商时，任何一方可以向租赁房屋所在地人民法院提起诉讼。</w:t>
      </w:r>
    </w:p>
    <w:p w14:paraId="39429D6E">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4．甲乙双方的营业执照、组织机构代码等经营证照复印件、租赁房屋面积位置附图、附属设施设备清单以及双方在履行本合同中，以书面形式所发出的书面通告及</w:t>
      </w:r>
      <w:r>
        <w:rPr>
          <w:rFonts w:hint="eastAsia" w:asciiTheme="minorEastAsia" w:hAnsiTheme="minorEastAsia" w:eastAsiaTheme="minorEastAsia" w:cstheme="minorEastAsia"/>
          <w:color w:val="auto"/>
          <w:sz w:val="24"/>
          <w:szCs w:val="24"/>
          <w:highlight w:val="none"/>
          <w:lang w:val="en-US" w:eastAsia="zh-CN"/>
        </w:rPr>
        <w:t>其他</w:t>
      </w:r>
      <w:r>
        <w:rPr>
          <w:rFonts w:hint="eastAsia" w:asciiTheme="minorEastAsia" w:hAnsiTheme="minorEastAsia" w:eastAsiaTheme="minorEastAsia" w:cstheme="minorEastAsia"/>
          <w:color w:val="auto"/>
          <w:sz w:val="24"/>
          <w:szCs w:val="24"/>
          <w:highlight w:val="none"/>
        </w:rPr>
        <w:t>书面文件，作为协议附件。双方的住所地及办公地点如有变更，须及时以书面通知对方，否则对方按照协议所载明地点发送，视为送达，因此造成的后果及损失由责任方承担。</w:t>
      </w:r>
    </w:p>
    <w:p w14:paraId="21D3F45A">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5．本合同一式6份，甲方执</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份</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成交服务商执</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份</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集中采购机构执1份</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政府采购监管机构备案1份。</w:t>
      </w:r>
    </w:p>
    <w:p w14:paraId="649AB395">
      <w:pPr>
        <w:pStyle w:val="8"/>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6．本合同未尽事宜，双方可通过友好协商订立补充协议。</w:t>
      </w:r>
    </w:p>
    <w:p w14:paraId="642C8739">
      <w:pPr>
        <w:keepNext w:val="0"/>
        <w:keepLines w:val="0"/>
        <w:pageBreakBefore w:val="0"/>
        <w:widowControl w:val="0"/>
        <w:tabs>
          <w:tab w:val="left" w:pos="480"/>
        </w:tabs>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7．本合同附件</w:t>
      </w:r>
      <w:r>
        <w:rPr>
          <w:rFonts w:hint="eastAsia" w:asciiTheme="minorEastAsia" w:hAnsiTheme="minorEastAsia" w:eastAsiaTheme="minorEastAsia" w:cstheme="minorEastAsia"/>
          <w:color w:val="auto"/>
          <w:sz w:val="24"/>
          <w:szCs w:val="24"/>
          <w:highlight w:val="none"/>
          <w:lang w:val="en-US" w:eastAsia="zh-CN"/>
        </w:rPr>
        <w:t>为</w:t>
      </w:r>
      <w:r>
        <w:rPr>
          <w:rFonts w:hint="eastAsia" w:asciiTheme="minorEastAsia" w:hAnsiTheme="minorEastAsia" w:eastAsiaTheme="minorEastAsia" w:cstheme="minorEastAsia"/>
          <w:color w:val="auto"/>
          <w:sz w:val="24"/>
          <w:szCs w:val="24"/>
          <w:highlight w:val="none"/>
        </w:rPr>
        <w:t>本合同不可分割的一部分，并与本合同具有同等效力。</w:t>
      </w:r>
    </w:p>
    <w:p w14:paraId="50F01F0C">
      <w:pPr>
        <w:pageBreakBefore w:val="0"/>
        <w:overflowPunct/>
        <w:bidi w:val="0"/>
        <w:spacing w:line="360" w:lineRule="auto"/>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highlight w:val="none"/>
        </w:rPr>
        <w:br w:type="page"/>
      </w:r>
    </w:p>
    <w:p w14:paraId="57C6CF36">
      <w:pPr>
        <w:rPr>
          <w:rFonts w:hint="eastAsia" w:asciiTheme="minorEastAsia" w:hAnsiTheme="minorEastAsia" w:eastAsiaTheme="minorEastAsia" w:cstheme="minorEastAsia"/>
          <w:color w:val="auto"/>
          <w:sz w:val="32"/>
          <w:szCs w:val="32"/>
        </w:rPr>
      </w:pPr>
    </w:p>
    <w:tbl>
      <w:tblPr>
        <w:tblStyle w:val="6"/>
        <w:tblpPr w:leftFromText="180" w:rightFromText="180" w:vertAnchor="text" w:horzAnchor="page" w:tblpX="1213" w:tblpY="215"/>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1"/>
        <w:gridCol w:w="4733"/>
      </w:tblGrid>
      <w:tr w14:paraId="599E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4591" w:type="dxa"/>
            <w:vAlign w:val="center"/>
          </w:tcPr>
          <w:p w14:paraId="5354DECA">
            <w:pPr>
              <w:bidi w:val="0"/>
              <w:ind w:left="0" w:leftChars="0" w:firstLine="0" w:firstLineChars="0"/>
              <w:rPr>
                <w:rFonts w:hint="eastAsia"/>
                <w:lang w:val="en-US" w:eastAsia="zh-CN"/>
              </w:rPr>
            </w:pPr>
            <w:r>
              <w:rPr>
                <w:rFonts w:hint="eastAsia"/>
              </w:rPr>
              <w:t>甲  方</w:t>
            </w:r>
          </w:p>
        </w:tc>
        <w:tc>
          <w:tcPr>
            <w:tcW w:w="4733" w:type="dxa"/>
            <w:vAlign w:val="center"/>
          </w:tcPr>
          <w:p w14:paraId="00FE1385">
            <w:pPr>
              <w:bidi w:val="0"/>
              <w:ind w:left="0" w:leftChars="0" w:firstLine="0" w:firstLineChars="0"/>
              <w:rPr>
                <w:rFonts w:hint="eastAsia"/>
                <w:lang w:val="en-US" w:eastAsia="zh-CN"/>
              </w:rPr>
            </w:pPr>
            <w:r>
              <w:rPr>
                <w:rFonts w:hint="eastAsia"/>
              </w:rPr>
              <w:t>乙  方</w:t>
            </w:r>
          </w:p>
        </w:tc>
      </w:tr>
      <w:tr w14:paraId="0942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4591" w:type="dxa"/>
            <w:vAlign w:val="center"/>
          </w:tcPr>
          <w:p w14:paraId="604AEE1A">
            <w:pPr>
              <w:bidi w:val="0"/>
              <w:ind w:left="0" w:leftChars="0" w:firstLine="0" w:firstLineChars="0"/>
              <w:rPr>
                <w:rFonts w:hint="eastAsia"/>
                <w:lang w:val="en-US" w:eastAsia="zh-CN"/>
              </w:rPr>
            </w:pPr>
            <w:r>
              <w:rPr>
                <w:rFonts w:hint="eastAsia"/>
                <w:lang w:eastAsia="zh-CN"/>
              </w:rPr>
              <w:t>西安市集中办公区综合管理中心</w:t>
            </w:r>
            <w:r>
              <w:rPr>
                <w:rFonts w:hint="eastAsia"/>
              </w:rPr>
              <w:t>（ 盖章）</w:t>
            </w:r>
          </w:p>
        </w:tc>
        <w:tc>
          <w:tcPr>
            <w:tcW w:w="4733" w:type="dxa"/>
            <w:vAlign w:val="center"/>
          </w:tcPr>
          <w:p w14:paraId="1C793809">
            <w:pPr>
              <w:bidi w:val="0"/>
              <w:ind w:left="0" w:leftChars="0" w:firstLine="0" w:firstLineChars="0"/>
              <w:rPr>
                <w:rFonts w:hint="eastAsia"/>
                <w:lang w:val="en-US" w:eastAsia="zh-CN"/>
              </w:rPr>
            </w:pPr>
            <w:r>
              <w:rPr>
                <w:rFonts w:hint="eastAsia"/>
              </w:rPr>
              <w:t>（盖章）</w:t>
            </w:r>
          </w:p>
        </w:tc>
      </w:tr>
      <w:tr w14:paraId="43A6E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91" w:type="dxa"/>
            <w:vAlign w:val="center"/>
          </w:tcPr>
          <w:p w14:paraId="7DC17DF8">
            <w:pPr>
              <w:bidi w:val="0"/>
              <w:ind w:left="0" w:leftChars="0" w:firstLine="0" w:firstLineChars="0"/>
              <w:rPr>
                <w:rFonts w:hint="eastAsia"/>
                <w:lang w:val="en-US" w:eastAsia="zh-CN"/>
              </w:rPr>
            </w:pPr>
            <w:r>
              <w:rPr>
                <w:rFonts w:hint="eastAsia"/>
                <w:lang w:val="en-US" w:eastAsia="zh-CN"/>
              </w:rPr>
              <w:t>住所</w:t>
            </w:r>
            <w:r>
              <w:rPr>
                <w:rFonts w:hint="eastAsia"/>
              </w:rPr>
              <w:t>：</w:t>
            </w:r>
            <w:r>
              <w:rPr>
                <w:rFonts w:hint="eastAsia"/>
                <w:lang w:val="en-US" w:eastAsia="zh-CN"/>
              </w:rPr>
              <w:t>西安市凤城八路109号西安市政府5号楼</w:t>
            </w:r>
          </w:p>
        </w:tc>
        <w:tc>
          <w:tcPr>
            <w:tcW w:w="4733" w:type="dxa"/>
            <w:vAlign w:val="center"/>
          </w:tcPr>
          <w:p w14:paraId="1A51D2BD">
            <w:pPr>
              <w:bidi w:val="0"/>
              <w:ind w:left="0" w:leftChars="0" w:firstLine="0" w:firstLineChars="0"/>
              <w:rPr>
                <w:rFonts w:hint="eastAsia"/>
                <w:lang w:val="en-US" w:eastAsia="zh-CN"/>
              </w:rPr>
            </w:pPr>
            <w:r>
              <w:rPr>
                <w:rFonts w:hint="eastAsia"/>
                <w:lang w:val="en-US" w:eastAsia="zh-CN"/>
              </w:rPr>
              <w:t>住所</w:t>
            </w:r>
            <w:r>
              <w:rPr>
                <w:rFonts w:hint="eastAsia"/>
              </w:rPr>
              <w:t>：</w:t>
            </w:r>
          </w:p>
        </w:tc>
      </w:tr>
      <w:tr w14:paraId="7E24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591" w:type="dxa"/>
            <w:vAlign w:val="center"/>
          </w:tcPr>
          <w:p w14:paraId="79B4ACFE">
            <w:pPr>
              <w:bidi w:val="0"/>
              <w:ind w:left="0" w:leftChars="0"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邮编：710018</w:t>
            </w:r>
          </w:p>
        </w:tc>
        <w:tc>
          <w:tcPr>
            <w:tcW w:w="4733" w:type="dxa"/>
            <w:vAlign w:val="center"/>
          </w:tcPr>
          <w:p w14:paraId="4CA93E9D">
            <w:pPr>
              <w:bidi w:val="0"/>
              <w:ind w:left="0" w:leftChars="0"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邮编：</w:t>
            </w:r>
          </w:p>
        </w:tc>
      </w:tr>
      <w:tr w14:paraId="17FE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4591" w:type="dxa"/>
            <w:vAlign w:val="center"/>
          </w:tcPr>
          <w:p w14:paraId="35BEA1B9">
            <w:pPr>
              <w:bidi w:val="0"/>
              <w:ind w:left="0" w:leftChars="0" w:firstLine="0" w:firstLineChars="0"/>
              <w:rPr>
                <w:rFonts w:hint="eastAsia"/>
                <w:lang w:val="en-US" w:eastAsia="zh-CN"/>
              </w:rPr>
            </w:pPr>
            <w:r>
              <w:rPr>
                <w:rFonts w:hint="eastAsia"/>
              </w:rPr>
              <w:t xml:space="preserve">法定代表人： </w:t>
            </w:r>
          </w:p>
        </w:tc>
        <w:tc>
          <w:tcPr>
            <w:tcW w:w="4733" w:type="dxa"/>
            <w:vAlign w:val="center"/>
          </w:tcPr>
          <w:p w14:paraId="46A43626">
            <w:pPr>
              <w:bidi w:val="0"/>
              <w:ind w:left="0" w:leftChars="0" w:firstLine="0" w:firstLineChars="0"/>
              <w:rPr>
                <w:rFonts w:hint="eastAsia"/>
                <w:lang w:val="en-US" w:eastAsia="zh-CN"/>
              </w:rPr>
            </w:pPr>
            <w:r>
              <w:rPr>
                <w:rFonts w:hint="eastAsia"/>
              </w:rPr>
              <w:t>法定代表人：</w:t>
            </w:r>
          </w:p>
        </w:tc>
      </w:tr>
      <w:tr w14:paraId="0F99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4591" w:type="dxa"/>
            <w:vAlign w:val="center"/>
          </w:tcPr>
          <w:p w14:paraId="4AA43085">
            <w:pPr>
              <w:bidi w:val="0"/>
              <w:ind w:left="0" w:leftChars="0" w:firstLine="0" w:firstLineChars="0"/>
              <w:rPr>
                <w:rFonts w:hint="eastAsia"/>
                <w:lang w:val="en-US" w:eastAsia="zh-CN"/>
              </w:rPr>
            </w:pPr>
            <w:r>
              <w:rPr>
                <w:rFonts w:hint="eastAsia"/>
              </w:rPr>
              <w:t>授权代表（签字）：</w:t>
            </w:r>
          </w:p>
        </w:tc>
        <w:tc>
          <w:tcPr>
            <w:tcW w:w="4733" w:type="dxa"/>
            <w:vAlign w:val="center"/>
          </w:tcPr>
          <w:p w14:paraId="0513B21A">
            <w:pPr>
              <w:bidi w:val="0"/>
              <w:ind w:left="0" w:leftChars="0" w:firstLine="0" w:firstLineChars="0"/>
              <w:rPr>
                <w:rFonts w:hint="eastAsia"/>
                <w:lang w:val="en-US" w:eastAsia="zh-CN"/>
              </w:rPr>
            </w:pPr>
            <w:r>
              <w:rPr>
                <w:rFonts w:hint="eastAsia"/>
              </w:rPr>
              <w:t>授权代表（签字）：</w:t>
            </w:r>
          </w:p>
        </w:tc>
      </w:tr>
      <w:tr w14:paraId="1DE0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4591" w:type="dxa"/>
            <w:vAlign w:val="center"/>
          </w:tcPr>
          <w:p w14:paraId="31FEE5A3">
            <w:pPr>
              <w:bidi w:val="0"/>
              <w:ind w:left="0" w:leftChars="0" w:firstLine="0" w:firstLineChars="0"/>
              <w:rPr>
                <w:rFonts w:hint="eastAsia"/>
                <w:lang w:val="en-US" w:eastAsia="zh-CN"/>
              </w:rPr>
            </w:pPr>
            <w:r>
              <w:rPr>
                <w:rFonts w:hint="eastAsia"/>
              </w:rPr>
              <w:t>电话：</w:t>
            </w:r>
          </w:p>
        </w:tc>
        <w:tc>
          <w:tcPr>
            <w:tcW w:w="4733" w:type="dxa"/>
            <w:vAlign w:val="center"/>
          </w:tcPr>
          <w:p w14:paraId="0D1B8BDA">
            <w:pPr>
              <w:bidi w:val="0"/>
              <w:ind w:left="0" w:leftChars="0" w:firstLine="0" w:firstLineChars="0"/>
              <w:rPr>
                <w:rFonts w:hint="eastAsia"/>
                <w:lang w:val="en-US" w:eastAsia="zh-CN"/>
              </w:rPr>
            </w:pPr>
            <w:r>
              <w:rPr>
                <w:rFonts w:hint="eastAsia"/>
              </w:rPr>
              <w:t>电话：</w:t>
            </w:r>
          </w:p>
        </w:tc>
      </w:tr>
      <w:tr w14:paraId="1E2F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0" w:hRule="atLeast"/>
        </w:trPr>
        <w:tc>
          <w:tcPr>
            <w:tcW w:w="4591" w:type="dxa"/>
            <w:vAlign w:val="center"/>
          </w:tcPr>
          <w:p w14:paraId="791E1BC3">
            <w:pPr>
              <w:bidi w:val="0"/>
              <w:ind w:left="0" w:leftChars="0" w:firstLine="0" w:firstLineChars="0"/>
              <w:rPr>
                <w:rFonts w:hint="eastAsia"/>
                <w:lang w:val="en-US" w:eastAsia="zh-CN"/>
              </w:rPr>
            </w:pPr>
            <w:r>
              <w:rPr>
                <w:rFonts w:hint="eastAsia"/>
              </w:rPr>
              <w:t>传真：</w:t>
            </w:r>
          </w:p>
        </w:tc>
        <w:tc>
          <w:tcPr>
            <w:tcW w:w="4733" w:type="dxa"/>
            <w:vAlign w:val="center"/>
          </w:tcPr>
          <w:p w14:paraId="31DB3F3A">
            <w:pPr>
              <w:bidi w:val="0"/>
              <w:ind w:left="0" w:leftChars="0" w:firstLine="0" w:firstLineChars="0"/>
              <w:rPr>
                <w:rFonts w:hint="eastAsia"/>
                <w:lang w:val="en-US" w:eastAsia="zh-CN"/>
              </w:rPr>
            </w:pPr>
            <w:r>
              <w:rPr>
                <w:rFonts w:hint="eastAsia"/>
              </w:rPr>
              <w:t>传真：</w:t>
            </w:r>
          </w:p>
        </w:tc>
      </w:tr>
      <w:tr w14:paraId="10D3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4591" w:type="dxa"/>
            <w:vAlign w:val="center"/>
          </w:tcPr>
          <w:p w14:paraId="13D15D3F">
            <w:pPr>
              <w:bidi w:val="0"/>
              <w:rPr>
                <w:rFonts w:hint="eastAsia"/>
                <w:lang w:val="en-US" w:eastAsia="zh-CN"/>
              </w:rPr>
            </w:pPr>
          </w:p>
        </w:tc>
        <w:tc>
          <w:tcPr>
            <w:tcW w:w="4733" w:type="dxa"/>
            <w:vAlign w:val="center"/>
          </w:tcPr>
          <w:p w14:paraId="27C8EFE0">
            <w:pPr>
              <w:bidi w:val="0"/>
              <w:ind w:left="0" w:leftChars="0" w:firstLine="0" w:firstLineChars="0"/>
              <w:rPr>
                <w:rFonts w:hint="eastAsia"/>
                <w:lang w:val="en-US" w:eastAsia="zh-CN"/>
              </w:rPr>
            </w:pPr>
            <w:r>
              <w:rPr>
                <w:rFonts w:hint="eastAsia"/>
              </w:rPr>
              <w:t>开户银行：</w:t>
            </w:r>
          </w:p>
        </w:tc>
      </w:tr>
      <w:tr w14:paraId="1659A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4591" w:type="dxa"/>
            <w:vAlign w:val="center"/>
          </w:tcPr>
          <w:p w14:paraId="02AB90E5">
            <w:pPr>
              <w:bidi w:val="0"/>
              <w:rPr>
                <w:rFonts w:hint="eastAsia"/>
                <w:lang w:val="en-US" w:eastAsia="zh-CN"/>
              </w:rPr>
            </w:pPr>
          </w:p>
        </w:tc>
        <w:tc>
          <w:tcPr>
            <w:tcW w:w="4733" w:type="dxa"/>
            <w:vAlign w:val="center"/>
          </w:tcPr>
          <w:p w14:paraId="0D5E9966">
            <w:pPr>
              <w:bidi w:val="0"/>
              <w:ind w:left="0" w:leftChars="0" w:firstLine="0" w:firstLineChars="0"/>
              <w:rPr>
                <w:rFonts w:hint="eastAsia"/>
                <w:lang w:val="en-US" w:eastAsia="zh-CN"/>
              </w:rPr>
            </w:pPr>
            <w:r>
              <w:rPr>
                <w:rFonts w:hint="eastAsia"/>
              </w:rPr>
              <w:t xml:space="preserve">帐号： </w:t>
            </w:r>
          </w:p>
        </w:tc>
      </w:tr>
      <w:tr w14:paraId="355EA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4591" w:type="dxa"/>
            <w:vAlign w:val="center"/>
          </w:tcPr>
          <w:p w14:paraId="267E6046">
            <w:pPr>
              <w:bidi w:val="0"/>
              <w:ind w:left="0" w:leftChars="0" w:firstLine="0" w:firstLineChars="0"/>
              <w:rPr>
                <w:rFonts w:hint="eastAsia"/>
                <w:lang w:val="en-US" w:eastAsia="zh-CN"/>
              </w:rPr>
            </w:pPr>
            <w:r>
              <w:rPr>
                <w:rFonts w:hint="eastAsia"/>
              </w:rPr>
              <w:t>日期：   年   月   日</w:t>
            </w:r>
          </w:p>
        </w:tc>
        <w:tc>
          <w:tcPr>
            <w:tcW w:w="4733" w:type="dxa"/>
            <w:vAlign w:val="center"/>
          </w:tcPr>
          <w:p w14:paraId="5437126E">
            <w:pPr>
              <w:bidi w:val="0"/>
              <w:ind w:left="0" w:leftChars="0" w:firstLine="0" w:firstLineChars="0"/>
              <w:rPr>
                <w:rFonts w:hint="eastAsia"/>
                <w:lang w:val="en-US" w:eastAsia="zh-CN"/>
              </w:rPr>
            </w:pPr>
            <w:r>
              <w:rPr>
                <w:rFonts w:hint="eastAsia"/>
              </w:rPr>
              <w:t xml:space="preserve">日期： </w:t>
            </w:r>
            <w:r>
              <w:rPr>
                <w:rFonts w:hint="eastAsia"/>
                <w:lang w:val="en-US" w:eastAsia="zh-CN"/>
              </w:rPr>
              <w:t xml:space="preserve"> </w:t>
            </w:r>
            <w:r>
              <w:rPr>
                <w:rFonts w:hint="eastAsia"/>
              </w:rPr>
              <w:t xml:space="preserve">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日</w:t>
            </w:r>
          </w:p>
        </w:tc>
      </w:tr>
    </w:tbl>
    <w:p w14:paraId="7CD2E36F">
      <w:pPr>
        <w:rPr>
          <w:rFonts w:hint="eastAsia" w:asciiTheme="minorEastAsia" w:hAnsiTheme="minorEastAsia" w:eastAsiaTheme="minorEastAsia" w:cstheme="minorEastAsia"/>
          <w:color w:val="auto"/>
          <w:sz w:val="32"/>
          <w:szCs w:val="32"/>
        </w:rPr>
      </w:pPr>
    </w:p>
    <w:p w14:paraId="7C3D79B4">
      <w:pPr>
        <w:rPr>
          <w:rFonts w:hint="eastAsia" w:asciiTheme="minorEastAsia" w:hAnsiTheme="minorEastAsia" w:eastAsiaTheme="minorEastAsia" w:cstheme="minorEastAsia"/>
          <w:color w:val="auto"/>
          <w:sz w:val="32"/>
          <w:szCs w:val="32"/>
        </w:rPr>
      </w:pPr>
    </w:p>
    <w:p w14:paraId="6330C929">
      <w:pPr>
        <w:pStyle w:val="10"/>
        <w:tabs>
          <w:tab w:val="left" w:pos="6975"/>
        </w:tabs>
        <w:spacing w:line="440" w:lineRule="exact"/>
        <w:outlineLvl w:val="9"/>
        <w:rPr>
          <w:rFonts w:hint="eastAsia" w:asciiTheme="minorEastAsia" w:hAnsiTheme="minorEastAsia" w:eastAsiaTheme="minorEastAsia" w:cstheme="minorEastAsia"/>
          <w:b/>
          <w:bCs/>
          <w:color w:val="auto"/>
          <w:sz w:val="32"/>
          <w:szCs w:val="32"/>
          <w:lang w:val="zh-TW" w:eastAsia="zh-TW"/>
        </w:rPr>
      </w:pPr>
    </w:p>
    <w:p w14:paraId="3AD15C3F">
      <w:pPr>
        <w:keepNext w:val="0"/>
        <w:keepLines w:val="0"/>
        <w:pageBreakBefore w:val="0"/>
        <w:widowControl/>
        <w:kinsoku w:val="0"/>
        <w:wordWrap/>
        <w:overflowPunct/>
        <w:topLinePunct w:val="0"/>
        <w:autoSpaceDE w:val="0"/>
        <w:autoSpaceDN w:val="0"/>
        <w:bidi w:val="0"/>
        <w:adjustRightInd w:val="0"/>
        <w:snapToGrid w:val="0"/>
        <w:spacing w:before="105" w:line="500" w:lineRule="exact"/>
        <w:ind w:left="0" w:leftChars="0" w:firstLine="0" w:firstLineChars="0"/>
        <w:jc w:val="center"/>
        <w:textAlignment w:val="baseline"/>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32"/>
          <w:szCs w:val="32"/>
        </w:rPr>
        <w:br w:type="column"/>
      </w:r>
      <w:r>
        <w:rPr>
          <w:rFonts w:hint="eastAsia" w:asciiTheme="minorEastAsia" w:hAnsiTheme="minorEastAsia" w:eastAsiaTheme="minorEastAsia" w:cstheme="minorEastAsia"/>
          <w:color w:val="auto"/>
          <w:spacing w:val="-1"/>
          <w:sz w:val="24"/>
          <w:szCs w:val="24"/>
        </w:rPr>
        <w:t>西安市集中办公区综合管理中心房屋租赁考核实施办法</w:t>
      </w:r>
    </w:p>
    <w:p w14:paraId="40BB49B4">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为规范市级机关各集中办公区办公及业务用房租赁活动，实现房屋租赁目标，维护</w:t>
      </w:r>
      <w:r>
        <w:rPr>
          <w:rFonts w:hint="eastAsia" w:asciiTheme="minorEastAsia" w:hAnsiTheme="minorEastAsia" w:eastAsiaTheme="minorEastAsia" w:cstheme="minorEastAsia"/>
          <w:color w:val="auto"/>
          <w:spacing w:val="8"/>
          <w:sz w:val="24"/>
          <w:szCs w:val="24"/>
        </w:rPr>
        <w:t xml:space="preserve"> </w:t>
      </w:r>
      <w:r>
        <w:rPr>
          <w:rFonts w:hint="eastAsia" w:asciiTheme="minorEastAsia" w:hAnsiTheme="minorEastAsia" w:eastAsiaTheme="minorEastAsia" w:cstheme="minorEastAsia"/>
          <w:color w:val="auto"/>
          <w:spacing w:val="-2"/>
          <w:sz w:val="24"/>
          <w:szCs w:val="24"/>
        </w:rPr>
        <w:t>甲乙双方的合法权益，根据《民法典》、《机关事务管理条例》、《西安市市级党政机</w:t>
      </w:r>
      <w:r>
        <w:rPr>
          <w:rFonts w:hint="eastAsia" w:asciiTheme="minorEastAsia" w:hAnsiTheme="minorEastAsia" w:eastAsiaTheme="minorEastAsia" w:cstheme="minorEastAsia"/>
          <w:color w:val="auto"/>
          <w:spacing w:val="11"/>
          <w:sz w:val="24"/>
          <w:szCs w:val="24"/>
        </w:rPr>
        <w:t xml:space="preserve"> </w:t>
      </w:r>
      <w:r>
        <w:rPr>
          <w:rFonts w:hint="eastAsia" w:asciiTheme="minorEastAsia" w:hAnsiTheme="minorEastAsia" w:eastAsiaTheme="minorEastAsia" w:cstheme="minorEastAsia"/>
          <w:color w:val="auto"/>
          <w:spacing w:val="-2"/>
          <w:sz w:val="24"/>
          <w:szCs w:val="24"/>
        </w:rPr>
        <w:t>关办公（业务）用房租用管理暂行规定》，结合各集中办公区房屋租赁实际，制定以下房屋租赁考核办法。</w:t>
      </w:r>
    </w:p>
    <w:p w14:paraId="75FC1690">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一、考核目的</w:t>
      </w:r>
    </w:p>
    <w:p w14:paraId="06CB0DC6">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通过对房屋租赁企业的考核，调动房屋租赁企业的积极性、主动性、创造性，以达 到规范房屋租赁企业行为，促进房屋租赁向规范化、精细化发展，为广大干部职工提供优质高效的服务保障，营造干净、优质、舒适的办公环境。</w:t>
      </w:r>
    </w:p>
    <w:p w14:paraId="66590988">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二、考核项目</w:t>
      </w:r>
    </w:p>
    <w:p w14:paraId="41BED350">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房屋租赁企业资质，租赁房屋区域内房屋主体结构、给排水管道、取暖设施设备、 电力设施设备等相关配套设施设备的维修和保养，消防设施设备配备、维修、维护、管 理，租赁房屋区域内办公家具配备、维修、更换;软件资料收集、分类和管理，以及工作执行力、安全隐患处置、投诉处置等情况。</w:t>
      </w:r>
    </w:p>
    <w:p w14:paraId="69ED4618">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三、考核办法</w:t>
      </w:r>
    </w:p>
    <w:p w14:paraId="22088BDE">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(一)责任单位</w:t>
      </w:r>
    </w:p>
    <w:p w14:paraId="65BF3220">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由西安市集中办公区综合管理中心(以下简称综合管理中心)负责组织考核工作。</w:t>
      </w:r>
    </w:p>
    <w:p w14:paraId="081ADD5A">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(二)考核制度</w:t>
      </w:r>
    </w:p>
    <w:p w14:paraId="3F1FC3B3">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1. 半年考核</w:t>
      </w:r>
    </w:p>
    <w:p w14:paraId="44166BD3">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每半年组织一次考核，对照考核办法及评分标准进行考核,半年考核满分 100 分。 达到服务要求项目，根据对应评分标准得对应分值；未达到服务要求项目不得分，考核 工作负责人填写扣分说明并签字确认。每半年考核情况由考核工作负责人进行汇总并核算出当月最终分值。</w:t>
      </w:r>
    </w:p>
    <w:p w14:paraId="039DC08A">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2.年度考核</w:t>
      </w:r>
    </w:p>
    <w:p w14:paraId="5096F1AC">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根据条款内容采购单位于每年元月 20 日前对上一年度服务保障情况进行考核，考 核评分采取 100 分制，年度考核得分占全年考核分的 50% (服务期不满一年的按实际服务月数计)。</w:t>
      </w:r>
    </w:p>
    <w:p w14:paraId="06D33128">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3.年度综合考评得分计算方法：（半年考核得分+年终考核得分）÷ 2=年度考核得分。 (服务期不满一年的按实际服务月数计)</w:t>
      </w:r>
    </w:p>
    <w:p w14:paraId="0A524D21">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(三)其他</w:t>
      </w:r>
    </w:p>
    <w:p w14:paraId="73EB01F3">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1.考核须保留原始资料(文字、表格、图片、视频)，所有资料均由甲方统一保管，存储时间为一年。</w:t>
      </w:r>
    </w:p>
    <w:p w14:paraId="186D6461">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2.半年综合考核成绩应通知乙方，如有异议，须在 24 小时内书面报甲方，经核实后报送市机关事务管理局分管领导审定。</w:t>
      </w:r>
    </w:p>
    <w:p w14:paraId="0F77D793">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四、考核结果运用</w:t>
      </w:r>
    </w:p>
    <w:p w14:paraId="6EE46994">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(一)半年考核结果运用。由于房屋租赁费每半年支付一次，且在每个服务期开始前 支付租赁费，甲方应在服务期开始前组织人员对乙方进行考核，考核完成后，甲方方应 依据考核扣分情况从乙方租金中扣除罚款金额后（甲方扣除的考核罚款数应为当前服务 期所扣分数乘以 1 分所对应的房屋租赁费金额，每分对应金额为 19265 元，即：年度租 赁费 3853000 元除以 2 再除以 100)，支付乙方租赁费，罚款金额备存。同时，综合管理中心向乙方出具考核罚款扣除收据。</w:t>
      </w:r>
    </w:p>
    <w:p w14:paraId="19E8010D">
      <w:pPr>
        <w:pStyle w:val="4"/>
        <w:keepNext w:val="0"/>
        <w:keepLines w:val="0"/>
        <w:pageBreakBefore w:val="0"/>
        <w:widowControl w:val="0"/>
        <w:kinsoku/>
        <w:wordWrap/>
        <w:overflowPunct/>
        <w:topLinePunct/>
        <w:autoSpaceDE/>
        <w:autoSpaceDN/>
        <w:bidi w:val="0"/>
        <w:adjustRightInd/>
        <w:snapToGrid/>
        <w:spacing w:line="560" w:lineRule="exact"/>
        <w:ind w:left="0" w:leftChars="0" w:firstLine="480" w:firstLineChars="200"/>
        <w:jc w:val="both"/>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zh-CN"/>
        </w:rPr>
        <w:t>连续</w:t>
      </w:r>
      <w:r>
        <w:rPr>
          <w:rFonts w:hint="eastAsia" w:asciiTheme="minorEastAsia" w:hAnsiTheme="minorEastAsia" w:eastAsiaTheme="minorEastAsia" w:cstheme="minorEastAsia"/>
          <w:color w:val="auto"/>
          <w:sz w:val="24"/>
          <w:szCs w:val="24"/>
          <w:lang w:val="en-US" w:eastAsia="zh-CN"/>
        </w:rPr>
        <w:t>两次</w:t>
      </w:r>
      <w:r>
        <w:rPr>
          <w:rFonts w:hint="eastAsia" w:asciiTheme="minorEastAsia" w:hAnsiTheme="minorEastAsia" w:eastAsiaTheme="minorEastAsia" w:cstheme="minorEastAsia"/>
          <w:color w:val="auto"/>
          <w:sz w:val="24"/>
          <w:szCs w:val="24"/>
          <w:lang w:val="zh-CN"/>
        </w:rPr>
        <w:t>考评被评为“</w:t>
      </w:r>
      <w:r>
        <w:rPr>
          <w:rFonts w:hint="eastAsia" w:asciiTheme="minorEastAsia" w:hAnsiTheme="minorEastAsia" w:eastAsiaTheme="minorEastAsia" w:cstheme="minorEastAsia"/>
          <w:color w:val="auto"/>
          <w:sz w:val="24"/>
          <w:szCs w:val="24"/>
          <w:lang w:val="en-US" w:eastAsia="zh-CN"/>
        </w:rPr>
        <w:t>租赁服务标兵单位</w:t>
      </w:r>
      <w:r>
        <w:rPr>
          <w:rFonts w:hint="eastAsia" w:asciiTheme="minorEastAsia" w:hAnsiTheme="minorEastAsia" w:eastAsiaTheme="minorEastAsia" w:cstheme="minorEastAsia"/>
          <w:color w:val="auto"/>
          <w:sz w:val="24"/>
          <w:szCs w:val="24"/>
          <w:lang w:val="zh-CN"/>
        </w:rPr>
        <w:t>”，对该</w:t>
      </w:r>
      <w:r>
        <w:rPr>
          <w:rFonts w:hint="eastAsia" w:asciiTheme="minorEastAsia" w:hAnsiTheme="minorEastAsia" w:eastAsiaTheme="minorEastAsia" w:cstheme="minorEastAsia"/>
          <w:color w:val="auto"/>
          <w:sz w:val="24"/>
          <w:szCs w:val="24"/>
          <w:lang w:val="en-US" w:eastAsia="zh-CN"/>
        </w:rPr>
        <w:t>租赁</w:t>
      </w:r>
      <w:r>
        <w:rPr>
          <w:rFonts w:hint="eastAsia" w:asciiTheme="minorEastAsia" w:hAnsiTheme="minorEastAsia" w:eastAsiaTheme="minorEastAsia" w:cstheme="minorEastAsia"/>
          <w:color w:val="auto"/>
          <w:sz w:val="24"/>
          <w:szCs w:val="24"/>
          <w:lang w:val="zh-CN"/>
        </w:rPr>
        <w:t>服务公司奖励</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zh-CN"/>
        </w:rPr>
        <w:t>000元</w:t>
      </w:r>
      <w:r>
        <w:rPr>
          <w:rFonts w:hint="eastAsia" w:asciiTheme="minorEastAsia" w:hAnsiTheme="minorEastAsia" w:eastAsiaTheme="minorEastAsia" w:cstheme="minorEastAsia"/>
          <w:color w:val="auto"/>
          <w:sz w:val="24"/>
          <w:szCs w:val="24"/>
          <w:lang w:val="en-US" w:eastAsia="zh-CN"/>
        </w:rPr>
        <w:t>。</w:t>
      </w:r>
    </w:p>
    <w:p w14:paraId="14312565">
      <w:pPr>
        <w:pStyle w:val="4"/>
        <w:keepNext w:val="0"/>
        <w:keepLines w:val="0"/>
        <w:pageBreakBefore w:val="0"/>
        <w:widowControl w:val="0"/>
        <w:kinsoku/>
        <w:wordWrap/>
        <w:overflowPunct/>
        <w:topLinePunct/>
        <w:autoSpaceDE/>
        <w:autoSpaceDN/>
        <w:bidi w:val="0"/>
        <w:adjustRightInd/>
        <w:snapToGrid/>
        <w:spacing w:line="560" w:lineRule="exact"/>
        <w:ind w:left="0" w:leftChars="0" w:firstLine="480" w:firstLineChars="200"/>
        <w:jc w:val="both"/>
        <w:textAlignment w:val="baseline"/>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highlight w:val="none"/>
          <w:lang w:val="en-US" w:eastAsia="zh-CN" w:bidi="ar-SA"/>
        </w:rPr>
        <w:t>对连续两次考核排名最后一名的租赁服务企业</w:t>
      </w:r>
      <w:r>
        <w:rPr>
          <w:rFonts w:hint="eastAsia" w:asciiTheme="minorEastAsia" w:hAnsiTheme="minorEastAsia" w:eastAsiaTheme="minorEastAsia" w:cstheme="minorEastAsia"/>
          <w:color w:val="auto"/>
          <w:kern w:val="2"/>
          <w:sz w:val="24"/>
          <w:szCs w:val="24"/>
          <w:highlight w:val="none"/>
          <w:lang w:val="en" w:eastAsia="zh-CN" w:bidi="ar-SA"/>
        </w:rPr>
        <w:t>,</w:t>
      </w:r>
      <w:r>
        <w:rPr>
          <w:rFonts w:hint="eastAsia" w:asciiTheme="minorEastAsia" w:hAnsiTheme="minorEastAsia" w:eastAsiaTheme="minorEastAsia" w:cstheme="minorEastAsia"/>
          <w:color w:val="auto"/>
          <w:sz w:val="24"/>
          <w:szCs w:val="24"/>
          <w:lang w:val="zh-CN"/>
        </w:rPr>
        <w:t>对该</w:t>
      </w:r>
      <w:r>
        <w:rPr>
          <w:rFonts w:hint="eastAsia" w:asciiTheme="minorEastAsia" w:hAnsiTheme="minorEastAsia" w:eastAsiaTheme="minorEastAsia" w:cstheme="minorEastAsia"/>
          <w:color w:val="auto"/>
          <w:sz w:val="24"/>
          <w:szCs w:val="24"/>
          <w:lang w:val="en-US" w:eastAsia="zh-CN"/>
        </w:rPr>
        <w:t>租赁</w:t>
      </w:r>
      <w:r>
        <w:rPr>
          <w:rFonts w:hint="eastAsia" w:asciiTheme="minorEastAsia" w:hAnsiTheme="minorEastAsia" w:eastAsiaTheme="minorEastAsia" w:cstheme="minorEastAsia"/>
          <w:color w:val="auto"/>
          <w:sz w:val="24"/>
          <w:szCs w:val="24"/>
          <w:lang w:val="zh-CN"/>
        </w:rPr>
        <w:t>服务公司处罚</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zh-CN"/>
        </w:rPr>
        <w:t>000元</w:t>
      </w:r>
      <w:r>
        <w:rPr>
          <w:rFonts w:hint="eastAsia" w:asciiTheme="minorEastAsia" w:hAnsiTheme="minorEastAsia" w:eastAsiaTheme="minorEastAsia" w:cstheme="minorEastAsia"/>
          <w:color w:val="auto"/>
          <w:sz w:val="24"/>
          <w:szCs w:val="24"/>
          <w:lang w:val="en-US" w:eastAsia="zh-CN"/>
        </w:rPr>
        <w:t>。</w:t>
      </w:r>
    </w:p>
    <w:p w14:paraId="2FD7B22B">
      <w:pPr>
        <w:pStyle w:val="11"/>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kern w:val="2"/>
          <w:sz w:val="24"/>
          <w:szCs w:val="24"/>
          <w:lang w:val="en-US" w:eastAsia="zh-CN" w:bidi="zh-CN"/>
        </w:rPr>
      </w:pPr>
      <w:r>
        <w:rPr>
          <w:rFonts w:hint="eastAsia" w:asciiTheme="minorEastAsia" w:hAnsiTheme="minorEastAsia" w:eastAsiaTheme="minorEastAsia" w:cstheme="minorEastAsia"/>
          <w:color w:val="auto"/>
          <w:kern w:val="2"/>
          <w:sz w:val="24"/>
          <w:szCs w:val="24"/>
          <w:lang w:val="zh-CN" w:eastAsia="zh-CN" w:bidi="zh-CN"/>
        </w:rPr>
        <w:t>对在</w:t>
      </w:r>
      <w:r>
        <w:rPr>
          <w:rFonts w:hint="eastAsia" w:asciiTheme="minorEastAsia" w:hAnsiTheme="minorEastAsia" w:eastAsiaTheme="minorEastAsia" w:cstheme="minorEastAsia"/>
          <w:color w:val="auto"/>
          <w:kern w:val="2"/>
          <w:sz w:val="24"/>
          <w:szCs w:val="24"/>
          <w:lang w:val="en-US" w:eastAsia="zh-CN" w:bidi="zh-CN"/>
        </w:rPr>
        <w:t>半年</w:t>
      </w:r>
      <w:r>
        <w:rPr>
          <w:rFonts w:hint="eastAsia" w:asciiTheme="minorEastAsia" w:hAnsiTheme="minorEastAsia" w:eastAsiaTheme="minorEastAsia" w:cstheme="minorEastAsia"/>
          <w:color w:val="auto"/>
          <w:kern w:val="2"/>
          <w:sz w:val="24"/>
          <w:szCs w:val="24"/>
          <w:lang w:val="zh-CN" w:eastAsia="zh-CN" w:bidi="zh-CN"/>
        </w:rPr>
        <w:t>考核、年度考核和专项考核中连续或重复出现相同问题的，第二次给予</w:t>
      </w:r>
      <w:r>
        <w:rPr>
          <w:rFonts w:hint="eastAsia" w:asciiTheme="minorEastAsia" w:hAnsiTheme="minorEastAsia" w:eastAsiaTheme="minorEastAsia" w:cstheme="minorEastAsia"/>
          <w:color w:val="auto"/>
          <w:kern w:val="2"/>
          <w:sz w:val="24"/>
          <w:szCs w:val="24"/>
          <w:lang w:val="en-US" w:eastAsia="zh-CN" w:bidi="zh-CN"/>
        </w:rPr>
        <w:t>2倍扣分及2倍现金罚款；第三次由</w:t>
      </w:r>
      <w:r>
        <w:rPr>
          <w:rFonts w:hint="eastAsia" w:asciiTheme="minorEastAsia" w:hAnsiTheme="minorEastAsia" w:eastAsiaTheme="minorEastAsia" w:cstheme="minorEastAsia"/>
          <w:color w:val="auto"/>
          <w:sz w:val="24"/>
          <w:szCs w:val="24"/>
        </w:rPr>
        <w:t>考核小组</w:t>
      </w:r>
      <w:r>
        <w:rPr>
          <w:rFonts w:hint="eastAsia" w:asciiTheme="minorEastAsia" w:hAnsiTheme="minorEastAsia" w:eastAsiaTheme="minorEastAsia" w:cstheme="minorEastAsia"/>
          <w:color w:val="auto"/>
          <w:sz w:val="24"/>
          <w:szCs w:val="24"/>
          <w:lang w:eastAsia="zh-CN"/>
        </w:rPr>
        <w:t>协商</w:t>
      </w:r>
      <w:r>
        <w:rPr>
          <w:rFonts w:hint="eastAsia" w:asciiTheme="minorEastAsia" w:hAnsiTheme="minorEastAsia" w:eastAsiaTheme="minorEastAsia" w:cstheme="minorEastAsia"/>
          <w:color w:val="auto"/>
          <w:sz w:val="24"/>
          <w:szCs w:val="24"/>
          <w:lang w:val="en-US" w:eastAsia="zh-CN"/>
        </w:rPr>
        <w:t>租赁</w:t>
      </w:r>
      <w:r>
        <w:rPr>
          <w:rFonts w:hint="eastAsia" w:asciiTheme="minorEastAsia" w:hAnsiTheme="minorEastAsia" w:eastAsiaTheme="minorEastAsia" w:cstheme="minorEastAsia"/>
          <w:color w:val="auto"/>
          <w:sz w:val="24"/>
          <w:szCs w:val="24"/>
          <w:lang w:eastAsia="zh-CN"/>
        </w:rPr>
        <w:t>服务公司，</w:t>
      </w:r>
      <w:r>
        <w:rPr>
          <w:rFonts w:hint="eastAsia" w:asciiTheme="minorEastAsia" w:hAnsiTheme="minorEastAsia" w:eastAsiaTheme="minorEastAsia" w:cstheme="minorEastAsia"/>
          <w:color w:val="auto"/>
          <w:kern w:val="2"/>
          <w:sz w:val="24"/>
          <w:szCs w:val="24"/>
          <w:lang w:val="en-US" w:eastAsia="zh-CN" w:bidi="zh-CN"/>
        </w:rPr>
        <w:t>视情节严重情况</w:t>
      </w:r>
      <w:r>
        <w:rPr>
          <w:rFonts w:hint="eastAsia" w:asciiTheme="minorEastAsia" w:hAnsiTheme="minorEastAsia" w:eastAsiaTheme="minorEastAsia" w:cstheme="minorEastAsia"/>
          <w:color w:val="auto"/>
          <w:sz w:val="24"/>
          <w:szCs w:val="24"/>
          <w:lang w:eastAsia="zh-CN"/>
        </w:rPr>
        <w:t>对</w:t>
      </w:r>
      <w:r>
        <w:rPr>
          <w:rFonts w:hint="eastAsia" w:asciiTheme="minorEastAsia" w:hAnsiTheme="minorEastAsia" w:eastAsiaTheme="minorEastAsia" w:cstheme="minorEastAsia"/>
          <w:color w:val="auto"/>
          <w:kern w:val="2"/>
          <w:sz w:val="24"/>
          <w:szCs w:val="24"/>
          <w:lang w:val="en-US" w:eastAsia="zh-CN" w:bidi="zh-CN"/>
        </w:rPr>
        <w:t>项目经理进行更换。</w:t>
      </w:r>
    </w:p>
    <w:p w14:paraId="22D00A1E">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（二）年终奖励。发生以下情况之一的，经核实无误，可给予房屋租赁企业奖励，奖励金额从每月考核罚款金额备存中支出，支完为止。</w:t>
      </w:r>
    </w:p>
    <w:p w14:paraId="119281D5">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1.在突发事件应急处置过程中，因房屋租赁企业妥善处置，为服务单位减少损失、降低影响的;</w:t>
      </w:r>
    </w:p>
    <w:p w14:paraId="5851A73E">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2.在房屋租赁企业过程中，因房屋租赁企业创新或加班加点工作，帮助服务对象取得荣誉的;</w:t>
      </w:r>
    </w:p>
    <w:p w14:paraId="7D2E026F">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3.在重大接待任务过程中，因房屋租赁企业高品质服务，受综合管理中心以上领导表彰的。</w:t>
      </w:r>
    </w:p>
    <w:p w14:paraId="20B27754">
      <w:pPr>
        <w:keepNext w:val="0"/>
        <w:keepLines w:val="0"/>
        <w:pageBreakBefore w:val="0"/>
        <w:widowControl/>
        <w:kinsoku w:val="0"/>
        <w:wordWrap/>
        <w:overflowPunct/>
        <w:topLinePunct w:val="0"/>
        <w:autoSpaceDE w:val="0"/>
        <w:autoSpaceDN w:val="0"/>
        <w:bidi w:val="0"/>
        <w:adjustRightInd w:val="0"/>
        <w:snapToGrid w:val="0"/>
        <w:spacing w:before="182" w:line="500" w:lineRule="exact"/>
        <w:ind w:left="13" w:right="10" w:firstLine="479"/>
        <w:jc w:val="both"/>
        <w:textAlignment w:val="baseline"/>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此房屋租赁考核实施补充协议最终解释权在西安市集中办公区综合管理中心，西安 市集中办公区综合管理中心有权根据实际工作需要适时对本《考核办法》及附属《房屋租赁企业考核评分表》进行修订完善。</w:t>
      </w:r>
    </w:p>
    <w:p w14:paraId="0575E18D">
      <w:pPr>
        <w:pStyle w:val="2"/>
        <w:rPr>
          <w:rFonts w:hint="eastAsia" w:asciiTheme="minorEastAsia" w:hAnsiTheme="minorEastAsia" w:eastAsiaTheme="minorEastAsia" w:cstheme="minorEastAsia"/>
          <w:color w:val="auto"/>
          <w:spacing w:val="-2"/>
          <w:sz w:val="32"/>
          <w:szCs w:val="32"/>
        </w:rPr>
      </w:pPr>
    </w:p>
    <w:p w14:paraId="02A8E6FB">
      <w:pPr>
        <w:pStyle w:val="2"/>
        <w:rPr>
          <w:rFonts w:hint="eastAsia" w:asciiTheme="minorEastAsia" w:hAnsiTheme="minorEastAsia" w:eastAsiaTheme="minorEastAsia" w:cstheme="minorEastAsia"/>
          <w:color w:val="auto"/>
          <w:spacing w:val="-2"/>
          <w:sz w:val="32"/>
          <w:szCs w:val="32"/>
        </w:rPr>
      </w:pPr>
    </w:p>
    <w:p w14:paraId="776B1CAC">
      <w:pPr>
        <w:pStyle w:val="2"/>
        <w:rPr>
          <w:rFonts w:hint="eastAsia" w:asciiTheme="minorEastAsia" w:hAnsiTheme="minorEastAsia" w:eastAsiaTheme="minorEastAsia" w:cstheme="minorEastAsia"/>
          <w:color w:val="auto"/>
          <w:spacing w:val="-2"/>
          <w:sz w:val="32"/>
          <w:szCs w:val="32"/>
        </w:rPr>
      </w:pPr>
    </w:p>
    <w:p w14:paraId="0EDA1E2A">
      <w:pPr>
        <w:pStyle w:val="2"/>
        <w:rPr>
          <w:rFonts w:hint="eastAsia" w:asciiTheme="minorEastAsia" w:hAnsiTheme="minorEastAsia" w:eastAsiaTheme="minorEastAsia" w:cstheme="minorEastAsia"/>
          <w:color w:val="auto"/>
          <w:spacing w:val="-2"/>
          <w:sz w:val="32"/>
          <w:szCs w:val="32"/>
        </w:rPr>
      </w:pPr>
    </w:p>
    <w:p w14:paraId="490702CB">
      <w:pPr>
        <w:pStyle w:val="2"/>
        <w:rPr>
          <w:rFonts w:hint="eastAsia" w:asciiTheme="minorEastAsia" w:hAnsiTheme="minorEastAsia" w:eastAsiaTheme="minorEastAsia" w:cstheme="minorEastAsia"/>
          <w:color w:val="auto"/>
          <w:spacing w:val="-2"/>
          <w:sz w:val="32"/>
          <w:szCs w:val="32"/>
        </w:rPr>
      </w:pPr>
    </w:p>
    <w:p w14:paraId="250769E5">
      <w:pPr>
        <w:pStyle w:val="2"/>
        <w:rPr>
          <w:rFonts w:hint="eastAsia" w:asciiTheme="minorEastAsia" w:hAnsiTheme="minorEastAsia" w:eastAsiaTheme="minorEastAsia" w:cstheme="minorEastAsia"/>
          <w:color w:val="auto"/>
          <w:spacing w:val="-2"/>
          <w:sz w:val="32"/>
          <w:szCs w:val="32"/>
        </w:rPr>
      </w:pPr>
    </w:p>
    <w:p w14:paraId="3DC798AD">
      <w:pPr>
        <w:keepNext w:val="0"/>
        <w:keepLines w:val="0"/>
        <w:pageBreakBefore w:val="0"/>
        <w:widowControl/>
        <w:kinsoku w:val="0"/>
        <w:wordWrap/>
        <w:overflowPunct/>
        <w:topLinePunct w:val="0"/>
        <w:autoSpaceDE w:val="0"/>
        <w:autoSpaceDN w:val="0"/>
        <w:bidi w:val="0"/>
        <w:adjustRightInd w:val="0"/>
        <w:snapToGrid w:val="0"/>
        <w:spacing w:before="78" w:line="240" w:lineRule="auto"/>
        <w:ind w:left="0" w:leftChars="0" w:firstLine="0" w:firstLineChars="0"/>
        <w:jc w:val="center"/>
        <w:textAlignment w:val="baseline"/>
        <w:rPr>
          <w:rFonts w:hint="eastAsia" w:asciiTheme="minorEastAsia" w:hAnsiTheme="minorEastAsia" w:eastAsiaTheme="minorEastAsia" w:cstheme="minorEastAsia"/>
          <w:snapToGrid w:val="0"/>
          <w:color w:val="000000"/>
          <w:kern w:val="0"/>
          <w:sz w:val="44"/>
          <w:szCs w:val="44"/>
          <w:lang w:eastAsia="en-US"/>
        </w:rPr>
      </w:pPr>
      <w:r>
        <w:rPr>
          <w:rFonts w:hint="eastAsia" w:asciiTheme="minorEastAsia" w:hAnsiTheme="minorEastAsia" w:eastAsiaTheme="minorEastAsia" w:cstheme="minorEastAsia"/>
          <w:snapToGrid w:val="0"/>
          <w:color w:val="000000"/>
          <w:spacing w:val="-2"/>
          <w:kern w:val="0"/>
          <w:sz w:val="44"/>
          <w:szCs w:val="44"/>
          <w:lang w:eastAsia="en-US"/>
        </w:rPr>
        <w:br w:type="column"/>
      </w:r>
      <w:r>
        <w:rPr>
          <w:rFonts w:hint="eastAsia" w:asciiTheme="minorEastAsia" w:hAnsiTheme="minorEastAsia" w:eastAsiaTheme="minorEastAsia" w:cstheme="minorEastAsia"/>
          <w:snapToGrid w:val="0"/>
          <w:color w:val="000000"/>
          <w:spacing w:val="-2"/>
          <w:kern w:val="0"/>
          <w:sz w:val="44"/>
          <w:szCs w:val="44"/>
          <w:lang w:eastAsia="en-US"/>
        </w:rPr>
        <w:t>西安市集中办公区综合管理中心</w:t>
      </w:r>
    </w:p>
    <w:p w14:paraId="2879A6AE">
      <w:pPr>
        <w:keepNext w:val="0"/>
        <w:keepLines w:val="0"/>
        <w:pageBreakBefore w:val="0"/>
        <w:widowControl/>
        <w:kinsoku w:val="0"/>
        <w:wordWrap/>
        <w:overflowPunct/>
        <w:topLinePunct w:val="0"/>
        <w:autoSpaceDE w:val="0"/>
        <w:autoSpaceDN w:val="0"/>
        <w:bidi w:val="0"/>
        <w:adjustRightInd w:val="0"/>
        <w:snapToGrid w:val="0"/>
        <w:spacing w:before="27" w:line="240" w:lineRule="auto"/>
        <w:ind w:left="0" w:leftChars="0" w:firstLine="0" w:firstLineChars="0"/>
        <w:jc w:val="center"/>
        <w:textAlignment w:val="baseline"/>
        <w:rPr>
          <w:rFonts w:hint="eastAsia" w:asciiTheme="minorEastAsia" w:hAnsiTheme="minorEastAsia" w:eastAsiaTheme="minorEastAsia" w:cstheme="minorEastAsia"/>
          <w:snapToGrid w:val="0"/>
          <w:color w:val="000000"/>
          <w:w w:val="90"/>
          <w:kern w:val="0"/>
          <w:sz w:val="44"/>
          <w:szCs w:val="44"/>
          <w:lang w:eastAsia="en-US"/>
        </w:rPr>
      </w:pPr>
      <w:r>
        <w:rPr>
          <w:rFonts w:hint="eastAsia" w:asciiTheme="minorEastAsia" w:hAnsiTheme="minorEastAsia" w:eastAsiaTheme="minorEastAsia" w:cstheme="minorEastAsia"/>
          <w:snapToGrid w:val="0"/>
          <w:color w:val="000000"/>
          <w:spacing w:val="-2"/>
          <w:w w:val="90"/>
          <w:kern w:val="0"/>
          <w:sz w:val="44"/>
          <w:szCs w:val="44"/>
          <w:lang w:eastAsia="en-US"/>
        </w:rPr>
        <w:t>20</w:t>
      </w:r>
      <w:r>
        <w:rPr>
          <w:rFonts w:hint="eastAsia" w:asciiTheme="minorEastAsia" w:hAnsiTheme="minorEastAsia" w:eastAsiaTheme="minorEastAsia" w:cstheme="minorEastAsia"/>
          <w:snapToGrid w:val="0"/>
          <w:color w:val="000000"/>
          <w:spacing w:val="-2"/>
          <w:w w:val="90"/>
          <w:kern w:val="0"/>
          <w:sz w:val="44"/>
          <w:szCs w:val="44"/>
          <w:lang w:val="en-US" w:eastAsia="zh-CN"/>
        </w:rPr>
        <w:t>25</w:t>
      </w:r>
      <w:r>
        <w:rPr>
          <w:rFonts w:hint="eastAsia" w:asciiTheme="minorEastAsia" w:hAnsiTheme="minorEastAsia" w:eastAsiaTheme="minorEastAsia" w:cstheme="minorEastAsia"/>
          <w:snapToGrid w:val="0"/>
          <w:color w:val="000000"/>
          <w:spacing w:val="-2"/>
          <w:w w:val="90"/>
          <w:kern w:val="0"/>
          <w:sz w:val="44"/>
          <w:szCs w:val="44"/>
          <w:lang w:eastAsia="en-US"/>
        </w:rPr>
        <w:t>年</w:t>
      </w:r>
      <w:r>
        <w:rPr>
          <w:rFonts w:hint="eastAsia" w:asciiTheme="minorEastAsia" w:hAnsiTheme="minorEastAsia" w:eastAsiaTheme="minorEastAsia" w:cstheme="minorEastAsia"/>
          <w:snapToGrid w:val="0"/>
          <w:color w:val="000000"/>
          <w:spacing w:val="-2"/>
          <w:w w:val="90"/>
          <w:kern w:val="0"/>
          <w:sz w:val="44"/>
          <w:szCs w:val="44"/>
          <w:u w:val="single" w:color="auto"/>
          <w:lang w:eastAsia="en-US"/>
        </w:rPr>
        <w:t xml:space="preserve">  </w:t>
      </w:r>
      <w:r>
        <w:rPr>
          <w:rFonts w:hint="eastAsia" w:asciiTheme="minorEastAsia" w:hAnsiTheme="minorEastAsia" w:eastAsiaTheme="minorEastAsia" w:cstheme="minorEastAsia"/>
          <w:snapToGrid w:val="0"/>
          <w:color w:val="000000"/>
          <w:spacing w:val="-2"/>
          <w:w w:val="90"/>
          <w:kern w:val="0"/>
          <w:sz w:val="44"/>
          <w:szCs w:val="44"/>
          <w:u w:val="single" w:color="auto"/>
          <w:lang w:val="en-US" w:eastAsia="zh-CN"/>
        </w:rPr>
        <w:t xml:space="preserve"> </w:t>
      </w:r>
      <w:r>
        <w:rPr>
          <w:rFonts w:hint="eastAsia" w:asciiTheme="minorEastAsia" w:hAnsiTheme="minorEastAsia" w:eastAsiaTheme="minorEastAsia" w:cstheme="minorEastAsia"/>
          <w:snapToGrid w:val="0"/>
          <w:color w:val="000000"/>
          <w:spacing w:val="-2"/>
          <w:w w:val="90"/>
          <w:kern w:val="0"/>
          <w:sz w:val="44"/>
          <w:szCs w:val="44"/>
          <w:u w:val="single" w:color="auto"/>
          <w:lang w:eastAsia="en-US"/>
        </w:rPr>
        <w:t xml:space="preserve">  </w:t>
      </w:r>
      <w:r>
        <w:rPr>
          <w:rFonts w:hint="eastAsia" w:asciiTheme="minorEastAsia" w:hAnsiTheme="minorEastAsia" w:eastAsiaTheme="minorEastAsia" w:cstheme="minorEastAsia"/>
          <w:snapToGrid w:val="0"/>
          <w:color w:val="000000"/>
          <w:spacing w:val="-105"/>
          <w:w w:val="90"/>
          <w:kern w:val="0"/>
          <w:sz w:val="44"/>
          <w:szCs w:val="44"/>
          <w:lang w:eastAsia="en-US"/>
        </w:rPr>
        <w:t xml:space="preserve"> </w:t>
      </w:r>
      <w:r>
        <w:rPr>
          <w:rFonts w:hint="eastAsia" w:asciiTheme="minorEastAsia" w:hAnsiTheme="minorEastAsia" w:eastAsiaTheme="minorEastAsia" w:cstheme="minorEastAsia"/>
          <w:snapToGrid w:val="0"/>
          <w:color w:val="000000"/>
          <w:spacing w:val="-2"/>
          <w:w w:val="90"/>
          <w:kern w:val="0"/>
          <w:sz w:val="44"/>
          <w:szCs w:val="44"/>
          <w:lang w:eastAsia="en-US"/>
        </w:rPr>
        <w:t>月</w:t>
      </w:r>
      <w:r>
        <w:rPr>
          <w:rFonts w:hint="eastAsia" w:asciiTheme="minorEastAsia" w:hAnsiTheme="minorEastAsia" w:eastAsiaTheme="minorEastAsia" w:cstheme="minorEastAsia"/>
          <w:snapToGrid w:val="0"/>
          <w:color w:val="000000"/>
          <w:spacing w:val="-2"/>
          <w:w w:val="90"/>
          <w:kern w:val="0"/>
          <w:sz w:val="44"/>
          <w:szCs w:val="44"/>
          <w:u w:val="single"/>
          <w:lang w:val="en-US" w:eastAsia="zh-CN"/>
        </w:rPr>
        <w:t xml:space="preserve">     </w:t>
      </w:r>
      <w:r>
        <w:rPr>
          <w:rFonts w:hint="eastAsia" w:asciiTheme="minorEastAsia" w:hAnsiTheme="minorEastAsia" w:eastAsiaTheme="minorEastAsia" w:cstheme="minorEastAsia"/>
          <w:snapToGrid w:val="0"/>
          <w:color w:val="000000"/>
          <w:spacing w:val="-110"/>
          <w:w w:val="90"/>
          <w:kern w:val="0"/>
          <w:sz w:val="44"/>
          <w:szCs w:val="44"/>
          <w:lang w:eastAsia="en-US"/>
        </w:rPr>
        <w:t xml:space="preserve"> </w:t>
      </w:r>
      <w:r>
        <w:rPr>
          <w:rFonts w:hint="eastAsia" w:asciiTheme="minorEastAsia" w:hAnsiTheme="minorEastAsia" w:eastAsiaTheme="minorEastAsia" w:cstheme="minorEastAsia"/>
          <w:snapToGrid w:val="0"/>
          <w:color w:val="000000"/>
          <w:spacing w:val="-2"/>
          <w:w w:val="90"/>
          <w:kern w:val="0"/>
          <w:sz w:val="44"/>
          <w:szCs w:val="44"/>
          <w:lang w:eastAsia="en-US"/>
        </w:rPr>
        <w:t>房屋租赁考核评分表</w:t>
      </w:r>
    </w:p>
    <w:p w14:paraId="22AFC092">
      <w:pPr>
        <w:keepNext w:val="0"/>
        <w:keepLines w:val="0"/>
        <w:pageBreakBefore w:val="0"/>
        <w:widowControl/>
        <w:kinsoku w:val="0"/>
        <w:wordWrap/>
        <w:overflowPunct/>
        <w:topLinePunct w:val="0"/>
        <w:autoSpaceDE w:val="0"/>
        <w:autoSpaceDN w:val="0"/>
        <w:bidi w:val="0"/>
        <w:adjustRightInd w:val="0"/>
        <w:snapToGrid w:val="0"/>
        <w:spacing w:before="183" w:line="240" w:lineRule="auto"/>
        <w:ind w:left="122"/>
        <w:jc w:val="left"/>
        <w:textAlignment w:val="baseline"/>
        <w:outlineLvl w:val="9"/>
        <w:rPr>
          <w:rFonts w:hint="eastAsia" w:asciiTheme="minorEastAsia" w:hAnsiTheme="minorEastAsia" w:eastAsiaTheme="minorEastAsia" w:cstheme="minorEastAsia"/>
          <w:snapToGrid w:val="0"/>
          <w:color w:val="000000"/>
          <w:spacing w:val="-1"/>
          <w:kern w:val="0"/>
          <w:sz w:val="28"/>
          <w:szCs w:val="28"/>
          <w:lang w:eastAsia="en-US"/>
        </w:rPr>
      </w:pPr>
      <w:r>
        <w:rPr>
          <w:rFonts w:hint="eastAsia" w:asciiTheme="minorEastAsia" w:hAnsiTheme="minorEastAsia" w:eastAsiaTheme="minorEastAsia" w:cstheme="minorEastAsia"/>
          <w:snapToGrid w:val="0"/>
          <w:color w:val="000000"/>
          <w:kern w:val="0"/>
          <w:sz w:val="28"/>
          <w:szCs w:val="28"/>
          <w:lang w:eastAsia="en-US"/>
        </w:rPr>
        <w:t>考核负责人：</w:t>
      </w:r>
      <w:r>
        <w:rPr>
          <w:rFonts w:hint="eastAsia" w:asciiTheme="minorEastAsia" w:hAnsiTheme="minorEastAsia" w:eastAsiaTheme="minorEastAsia" w:cstheme="minorEastAsia"/>
          <w:snapToGrid w:val="0"/>
          <w:color w:val="000000"/>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1"/>
          <w:kern w:val="0"/>
          <w:sz w:val="28"/>
          <w:szCs w:val="28"/>
          <w:lang w:eastAsia="en-US"/>
        </w:rPr>
        <w:t xml:space="preserve">    </w:t>
      </w:r>
      <w:r>
        <w:rPr>
          <w:rFonts w:hint="eastAsia" w:asciiTheme="minorEastAsia" w:hAnsiTheme="minorEastAsia" w:eastAsiaTheme="minorEastAsia" w:cstheme="minorEastAsia"/>
          <w:snapToGrid w:val="0"/>
          <w:color w:val="000000"/>
          <w:spacing w:val="-1"/>
          <w:kern w:val="0"/>
          <w:sz w:val="28"/>
          <w:szCs w:val="28"/>
          <w:lang w:val="en-US" w:eastAsia="zh-CN"/>
        </w:rPr>
        <w:t xml:space="preserve">   </w:t>
      </w:r>
      <w:r>
        <w:rPr>
          <w:rFonts w:hint="eastAsia" w:asciiTheme="minorEastAsia" w:hAnsiTheme="minorEastAsia" w:eastAsiaTheme="minorEastAsia" w:cstheme="minorEastAsia"/>
          <w:snapToGrid w:val="0"/>
          <w:color w:val="000000"/>
          <w:spacing w:val="-1"/>
          <w:kern w:val="0"/>
          <w:sz w:val="28"/>
          <w:szCs w:val="28"/>
          <w:lang w:eastAsia="en-US"/>
        </w:rPr>
        <w:t>项目经理：</w:t>
      </w:r>
      <w:r>
        <w:rPr>
          <w:rFonts w:hint="eastAsia" w:asciiTheme="minorEastAsia" w:hAnsiTheme="minorEastAsia" w:eastAsiaTheme="minorEastAsia" w:cstheme="minorEastAsia"/>
          <w:snapToGrid w:val="0"/>
          <w:color w:val="000000"/>
          <w:spacing w:val="-1"/>
          <w:kern w:val="0"/>
          <w:sz w:val="28"/>
          <w:szCs w:val="28"/>
          <w:u w:val="single" w:color="auto"/>
          <w:lang w:eastAsia="en-US"/>
        </w:rPr>
        <w:t xml:space="preserve">                 </w:t>
      </w:r>
    </w:p>
    <w:p w14:paraId="5BDFFE3E">
      <w:pPr>
        <w:keepNext w:val="0"/>
        <w:keepLines w:val="0"/>
        <w:pageBreakBefore w:val="0"/>
        <w:widowControl/>
        <w:kinsoku w:val="0"/>
        <w:wordWrap/>
        <w:overflowPunct/>
        <w:topLinePunct w:val="0"/>
        <w:autoSpaceDE w:val="0"/>
        <w:autoSpaceDN w:val="0"/>
        <w:bidi w:val="0"/>
        <w:adjustRightInd w:val="0"/>
        <w:snapToGrid w:val="0"/>
        <w:spacing w:before="183" w:line="240" w:lineRule="auto"/>
        <w:ind w:left="122"/>
        <w:jc w:val="left"/>
        <w:textAlignment w:val="baseline"/>
        <w:outlineLvl w:val="9"/>
        <w:rPr>
          <w:rFonts w:hint="eastAsia" w:asciiTheme="minorEastAsia" w:hAnsiTheme="minorEastAsia" w:eastAsiaTheme="minorEastAsia" w:cstheme="minorEastAsia"/>
          <w:snapToGrid w:val="0"/>
          <w:color w:val="000000"/>
          <w:kern w:val="0"/>
          <w:sz w:val="28"/>
          <w:szCs w:val="28"/>
          <w:lang w:eastAsia="en-US"/>
        </w:rPr>
      </w:pPr>
      <w:r>
        <w:rPr>
          <w:rFonts w:hint="eastAsia" w:asciiTheme="minorEastAsia" w:hAnsiTheme="minorEastAsia" w:eastAsiaTheme="minorEastAsia" w:cstheme="minorEastAsia"/>
          <w:snapToGrid w:val="0"/>
          <w:color w:val="000000"/>
          <w:spacing w:val="-1"/>
          <w:kern w:val="0"/>
          <w:sz w:val="28"/>
          <w:szCs w:val="28"/>
          <w:lang w:eastAsia="en-US"/>
        </w:rPr>
        <w:t>办公区负责人：</w:t>
      </w:r>
      <w:r>
        <w:rPr>
          <w:rFonts w:hint="eastAsia" w:asciiTheme="minorEastAsia" w:hAnsiTheme="minorEastAsia" w:eastAsiaTheme="minorEastAsia" w:cstheme="minorEastAsia"/>
          <w:snapToGrid w:val="0"/>
          <w:color w:val="000000"/>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1"/>
          <w:kern w:val="0"/>
          <w:sz w:val="28"/>
          <w:szCs w:val="28"/>
          <w:lang w:eastAsia="en-US"/>
        </w:rPr>
        <w:t xml:space="preserve">    </w:t>
      </w:r>
      <w:r>
        <w:rPr>
          <w:rFonts w:hint="eastAsia" w:asciiTheme="minorEastAsia" w:hAnsiTheme="minorEastAsia" w:eastAsiaTheme="minorEastAsia" w:cstheme="minorEastAsia"/>
          <w:snapToGrid w:val="0"/>
          <w:color w:val="000000"/>
          <w:spacing w:val="-1"/>
          <w:kern w:val="0"/>
          <w:sz w:val="28"/>
          <w:szCs w:val="28"/>
          <w:lang w:val="en-US" w:eastAsia="zh-CN"/>
        </w:rPr>
        <w:t xml:space="preserve">   </w:t>
      </w:r>
      <w:r>
        <w:rPr>
          <w:rFonts w:hint="eastAsia" w:asciiTheme="minorEastAsia" w:hAnsiTheme="minorEastAsia" w:eastAsiaTheme="minorEastAsia" w:cstheme="minorEastAsia"/>
          <w:snapToGrid w:val="0"/>
          <w:color w:val="000000"/>
          <w:spacing w:val="-1"/>
          <w:kern w:val="0"/>
          <w:sz w:val="28"/>
          <w:szCs w:val="28"/>
          <w:lang w:eastAsia="en-US"/>
        </w:rPr>
        <w:t>考核评分：</w:t>
      </w:r>
      <w:r>
        <w:rPr>
          <w:rFonts w:hint="eastAsia" w:asciiTheme="minorEastAsia" w:hAnsiTheme="minorEastAsia" w:eastAsiaTheme="minorEastAsia" w:cstheme="minorEastAsia"/>
          <w:snapToGrid w:val="0"/>
          <w:color w:val="000000"/>
          <w:spacing w:val="1"/>
          <w:kern w:val="0"/>
          <w:sz w:val="28"/>
          <w:szCs w:val="28"/>
          <w:u w:val="single" w:color="auto"/>
          <w:lang w:eastAsia="en-US"/>
        </w:rPr>
        <w:t xml:space="preserve">   </w:t>
      </w:r>
      <w:r>
        <w:rPr>
          <w:rFonts w:hint="eastAsia" w:asciiTheme="minorEastAsia" w:hAnsiTheme="minorEastAsia" w:eastAsiaTheme="minorEastAsia" w:cstheme="minorEastAsia"/>
          <w:snapToGrid w:val="0"/>
          <w:color w:val="000000"/>
          <w:spacing w:val="1"/>
          <w:kern w:val="0"/>
          <w:sz w:val="28"/>
          <w:szCs w:val="28"/>
          <w:u w:val="single" w:color="auto"/>
          <w:lang w:val="en-US" w:eastAsia="zh-CN"/>
        </w:rPr>
        <w:t xml:space="preserve">    </w:t>
      </w:r>
      <w:r>
        <w:rPr>
          <w:rFonts w:hint="eastAsia" w:asciiTheme="minorEastAsia" w:hAnsiTheme="minorEastAsia" w:eastAsiaTheme="minorEastAsia" w:cstheme="minorEastAsia"/>
          <w:snapToGrid w:val="0"/>
          <w:color w:val="000000"/>
          <w:spacing w:val="1"/>
          <w:kern w:val="0"/>
          <w:sz w:val="28"/>
          <w:szCs w:val="28"/>
          <w:u w:val="single" w:color="auto"/>
          <w:lang w:eastAsia="en-US"/>
        </w:rPr>
        <w:t xml:space="preserve">          </w:t>
      </w:r>
    </w:p>
    <w:p w14:paraId="52EC0105">
      <w:pPr>
        <w:kinsoku w:val="0"/>
        <w:autoSpaceDE w:val="0"/>
        <w:autoSpaceDN w:val="0"/>
        <w:adjustRightInd w:val="0"/>
        <w:snapToGrid w:val="0"/>
        <w:spacing w:before="30" w:line="240" w:lineRule="auto"/>
        <w:jc w:val="left"/>
        <w:textAlignment w:val="baseline"/>
        <w:rPr>
          <w:rFonts w:hint="eastAsia" w:asciiTheme="minorEastAsia" w:hAnsiTheme="minorEastAsia" w:eastAsiaTheme="minorEastAsia" w:cstheme="minorEastAsia"/>
          <w:snapToGrid w:val="0"/>
          <w:color w:val="000000"/>
          <w:kern w:val="0"/>
          <w:sz w:val="21"/>
          <w:szCs w:val="21"/>
          <w:lang w:eastAsia="en-US"/>
        </w:rPr>
      </w:pPr>
    </w:p>
    <w:tbl>
      <w:tblPr>
        <w:tblStyle w:val="12"/>
        <w:tblpPr w:leftFromText="180" w:rightFromText="180" w:vertAnchor="text" w:horzAnchor="page" w:tblpX="1278" w:tblpY="94"/>
        <w:tblOverlap w:val="never"/>
        <w:tblW w:w="929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978"/>
        <w:gridCol w:w="1273"/>
        <w:gridCol w:w="2790"/>
        <w:gridCol w:w="654"/>
        <w:gridCol w:w="1656"/>
        <w:gridCol w:w="1239"/>
      </w:tblGrid>
      <w:tr w14:paraId="7C29A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700" w:type="dxa"/>
            <w:vAlign w:val="center"/>
          </w:tcPr>
          <w:p w14:paraId="25B6F731">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5"/>
                <w:kern w:val="0"/>
                <w:sz w:val="28"/>
                <w:szCs w:val="28"/>
                <w:lang w:val="en-US" w:eastAsia="en-US" w:bidi="ar-SA"/>
              </w:rPr>
              <w:t>序号</w:t>
            </w:r>
          </w:p>
        </w:tc>
        <w:tc>
          <w:tcPr>
            <w:tcW w:w="2251" w:type="dxa"/>
            <w:gridSpan w:val="2"/>
            <w:vAlign w:val="center"/>
          </w:tcPr>
          <w:p w14:paraId="461E2F71">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项目</w:t>
            </w:r>
          </w:p>
        </w:tc>
        <w:tc>
          <w:tcPr>
            <w:tcW w:w="2790" w:type="dxa"/>
            <w:vAlign w:val="center"/>
          </w:tcPr>
          <w:p w14:paraId="2588A4E3">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考核内容</w:t>
            </w:r>
          </w:p>
        </w:tc>
        <w:tc>
          <w:tcPr>
            <w:tcW w:w="654" w:type="dxa"/>
            <w:vAlign w:val="center"/>
          </w:tcPr>
          <w:p w14:paraId="45B97514">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分值</w:t>
            </w:r>
          </w:p>
        </w:tc>
        <w:tc>
          <w:tcPr>
            <w:tcW w:w="1656" w:type="dxa"/>
            <w:vAlign w:val="center"/>
          </w:tcPr>
          <w:p w14:paraId="024445CB">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考核方式</w:t>
            </w:r>
          </w:p>
        </w:tc>
        <w:tc>
          <w:tcPr>
            <w:tcW w:w="1239" w:type="dxa"/>
            <w:vAlign w:val="center"/>
          </w:tcPr>
          <w:p w14:paraId="2BAEA821">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spacing w:val="-3"/>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考核</w:t>
            </w:r>
          </w:p>
          <w:p w14:paraId="748D1E53">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firstLine="0" w:firstLine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3"/>
                <w:kern w:val="0"/>
                <w:sz w:val="28"/>
                <w:szCs w:val="28"/>
                <w:lang w:val="en-US" w:eastAsia="en-US" w:bidi="ar-SA"/>
              </w:rPr>
              <w:t>标准</w:t>
            </w:r>
          </w:p>
        </w:tc>
      </w:tr>
      <w:tr w14:paraId="35911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00" w:type="dxa"/>
            <w:vMerge w:val="restart"/>
            <w:tcBorders>
              <w:bottom w:val="nil"/>
            </w:tcBorders>
            <w:vAlign w:val="center"/>
          </w:tcPr>
          <w:p w14:paraId="2BA2862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p w14:paraId="035A29E6">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1</w:t>
            </w:r>
          </w:p>
        </w:tc>
        <w:tc>
          <w:tcPr>
            <w:tcW w:w="978" w:type="dxa"/>
            <w:vMerge w:val="restart"/>
            <w:tcBorders>
              <w:bottom w:val="nil"/>
            </w:tcBorders>
            <w:vAlign w:val="center"/>
          </w:tcPr>
          <w:p w14:paraId="1E56E95F">
            <w:pPr>
              <w:keepNext w:val="0"/>
              <w:keepLines w:val="0"/>
              <w:pageBreakBefore w:val="0"/>
              <w:widowControl/>
              <w:kinsoku w:val="0"/>
              <w:wordWrap/>
              <w:overflowPunct/>
              <w:topLinePunct w:val="0"/>
              <w:autoSpaceDE w:val="0"/>
              <w:autoSpaceDN w:val="0"/>
              <w:bidi w:val="0"/>
              <w:adjustRightInd w:val="0"/>
              <w:snapToGrid w:val="0"/>
              <w:spacing w:before="201" w:line="240" w:lineRule="exact"/>
              <w:ind w:left="0" w:leftChars="0" w:right="12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4"/>
                <w:kern w:val="0"/>
                <w:sz w:val="24"/>
                <w:szCs w:val="24"/>
                <w:lang w:val="en-US" w:eastAsia="en-US" w:bidi="ar-SA"/>
              </w:rPr>
              <w:t>房屋主</w:t>
            </w:r>
            <w:r>
              <w:rPr>
                <w:rFonts w:hint="eastAsia" w:ascii="仿宋" w:hAnsi="仿宋" w:eastAsia="仿宋" w:cs="仿宋"/>
                <w:snapToGrid w:val="0"/>
                <w:color w:val="000000"/>
                <w:kern w:val="0"/>
                <w:sz w:val="24"/>
                <w:szCs w:val="24"/>
                <w:lang w:val="en-US" w:eastAsia="en-US" w:bidi="ar-SA"/>
              </w:rPr>
              <w:t xml:space="preserve"> </w:t>
            </w:r>
            <w:r>
              <w:rPr>
                <w:rFonts w:hint="eastAsia" w:ascii="仿宋" w:hAnsi="仿宋" w:eastAsia="仿宋" w:cs="仿宋"/>
                <w:snapToGrid w:val="0"/>
                <w:color w:val="000000"/>
                <w:spacing w:val="-4"/>
                <w:kern w:val="0"/>
                <w:sz w:val="24"/>
                <w:szCs w:val="24"/>
                <w:lang w:val="en-US" w:eastAsia="en-US" w:bidi="ar-SA"/>
              </w:rPr>
              <w:t>体结构</w:t>
            </w:r>
          </w:p>
        </w:tc>
        <w:tc>
          <w:tcPr>
            <w:tcW w:w="1273" w:type="dxa"/>
            <w:vAlign w:val="center"/>
          </w:tcPr>
          <w:p w14:paraId="53827DCB">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地面基础</w:t>
            </w:r>
          </w:p>
        </w:tc>
        <w:tc>
          <w:tcPr>
            <w:tcW w:w="2790" w:type="dxa"/>
            <w:vAlign w:val="center"/>
          </w:tcPr>
          <w:p w14:paraId="607F915E">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2"/>
                <w:kern w:val="0"/>
                <w:sz w:val="24"/>
                <w:szCs w:val="24"/>
                <w:lang w:val="en-US" w:eastAsia="en-US" w:bidi="ar-SA"/>
              </w:rPr>
              <w:t>公区、户内地面无损坏</w:t>
            </w:r>
          </w:p>
        </w:tc>
        <w:tc>
          <w:tcPr>
            <w:tcW w:w="654" w:type="dxa"/>
            <w:vAlign w:val="center"/>
          </w:tcPr>
          <w:p w14:paraId="0087E3D9">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8</w:t>
            </w:r>
          </w:p>
        </w:tc>
        <w:tc>
          <w:tcPr>
            <w:tcW w:w="1656" w:type="dxa"/>
            <w:vMerge w:val="restart"/>
            <w:tcBorders>
              <w:bottom w:val="nil"/>
            </w:tcBorders>
            <w:vAlign w:val="center"/>
          </w:tcPr>
          <w:p w14:paraId="5F0B1331">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239" w:type="dxa"/>
            <w:vAlign w:val="center"/>
          </w:tcPr>
          <w:p w14:paraId="343144DC">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15F4B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00" w:type="dxa"/>
            <w:vMerge w:val="continue"/>
            <w:tcBorders>
              <w:top w:val="nil"/>
              <w:bottom w:val="nil"/>
            </w:tcBorders>
            <w:vAlign w:val="center"/>
          </w:tcPr>
          <w:p w14:paraId="205B929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0A2F55A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Align w:val="center"/>
          </w:tcPr>
          <w:p w14:paraId="4C75FB8C">
            <w:pPr>
              <w:keepNext w:val="0"/>
              <w:keepLines w:val="0"/>
              <w:pageBreakBefore w:val="0"/>
              <w:widowControl/>
              <w:kinsoku w:val="0"/>
              <w:wordWrap/>
              <w:overflowPunct/>
              <w:topLinePunct w:val="0"/>
              <w:autoSpaceDE w:val="0"/>
              <w:autoSpaceDN w:val="0"/>
              <w:bidi w:val="0"/>
              <w:adjustRightInd w:val="0"/>
              <w:snapToGrid w:val="0"/>
              <w:spacing w:before="35"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屋面防水</w:t>
            </w:r>
          </w:p>
        </w:tc>
        <w:tc>
          <w:tcPr>
            <w:tcW w:w="2790" w:type="dxa"/>
            <w:vAlign w:val="center"/>
          </w:tcPr>
          <w:p w14:paraId="76124FA4">
            <w:pPr>
              <w:keepNext w:val="0"/>
              <w:keepLines w:val="0"/>
              <w:pageBreakBefore w:val="0"/>
              <w:widowControl/>
              <w:kinsoku w:val="0"/>
              <w:wordWrap/>
              <w:overflowPunct/>
              <w:topLinePunct w:val="0"/>
              <w:autoSpaceDE w:val="0"/>
              <w:autoSpaceDN w:val="0"/>
              <w:bidi w:val="0"/>
              <w:adjustRightInd w:val="0"/>
              <w:snapToGrid w:val="0"/>
              <w:spacing w:before="35"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房屋无漏水情况</w:t>
            </w:r>
          </w:p>
        </w:tc>
        <w:tc>
          <w:tcPr>
            <w:tcW w:w="654" w:type="dxa"/>
            <w:vAlign w:val="center"/>
          </w:tcPr>
          <w:p w14:paraId="647C66DA">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8</w:t>
            </w:r>
          </w:p>
        </w:tc>
        <w:tc>
          <w:tcPr>
            <w:tcW w:w="1656" w:type="dxa"/>
            <w:vMerge w:val="continue"/>
            <w:tcBorders>
              <w:top w:val="nil"/>
              <w:bottom w:val="nil"/>
            </w:tcBorders>
            <w:vAlign w:val="center"/>
          </w:tcPr>
          <w:p w14:paraId="101211B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53A1B3E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35F94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00" w:type="dxa"/>
            <w:vMerge w:val="continue"/>
            <w:tcBorders>
              <w:top w:val="nil"/>
            </w:tcBorders>
            <w:vAlign w:val="center"/>
          </w:tcPr>
          <w:p w14:paraId="4A2F707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tcBorders>
            <w:vAlign w:val="center"/>
          </w:tcPr>
          <w:p w14:paraId="794FDA9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Align w:val="center"/>
          </w:tcPr>
          <w:p w14:paraId="4E7469ED">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4"/>
                <w:kern w:val="0"/>
                <w:sz w:val="24"/>
                <w:szCs w:val="24"/>
                <w:lang w:val="en-US" w:eastAsia="en-US" w:bidi="ar-SA"/>
              </w:rPr>
              <w:t>墙柱梁</w:t>
            </w:r>
          </w:p>
        </w:tc>
        <w:tc>
          <w:tcPr>
            <w:tcW w:w="2790" w:type="dxa"/>
            <w:vAlign w:val="center"/>
          </w:tcPr>
          <w:p w14:paraId="2562F737">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房屋墙面、梁柱无损坏</w:t>
            </w:r>
          </w:p>
        </w:tc>
        <w:tc>
          <w:tcPr>
            <w:tcW w:w="654" w:type="dxa"/>
            <w:vAlign w:val="center"/>
          </w:tcPr>
          <w:p w14:paraId="17C0B193">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8</w:t>
            </w:r>
          </w:p>
        </w:tc>
        <w:tc>
          <w:tcPr>
            <w:tcW w:w="1656" w:type="dxa"/>
            <w:vMerge w:val="continue"/>
            <w:tcBorders>
              <w:top w:val="nil"/>
            </w:tcBorders>
            <w:vAlign w:val="center"/>
          </w:tcPr>
          <w:p w14:paraId="117E8C1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038F564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59062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00" w:type="dxa"/>
            <w:vMerge w:val="restart"/>
            <w:tcBorders>
              <w:bottom w:val="nil"/>
            </w:tcBorders>
            <w:vAlign w:val="center"/>
          </w:tcPr>
          <w:p w14:paraId="6B3F1C68">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978" w:type="dxa"/>
            <w:vMerge w:val="restart"/>
            <w:tcBorders>
              <w:bottom w:val="nil"/>
            </w:tcBorders>
            <w:vAlign w:val="center"/>
          </w:tcPr>
          <w:p w14:paraId="3553DA6A">
            <w:pPr>
              <w:keepNext w:val="0"/>
              <w:keepLines w:val="0"/>
              <w:pageBreakBefore w:val="0"/>
              <w:widowControl/>
              <w:kinsoku w:val="0"/>
              <w:wordWrap/>
              <w:overflowPunct/>
              <w:topLinePunct w:val="0"/>
              <w:autoSpaceDE w:val="0"/>
              <w:autoSpaceDN w:val="0"/>
              <w:bidi w:val="0"/>
              <w:adjustRightInd w:val="0"/>
              <w:snapToGrid w:val="0"/>
              <w:spacing w:before="201" w:line="240" w:lineRule="exact"/>
              <w:ind w:left="0" w:leftChars="0" w:right="12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4"/>
                <w:kern w:val="0"/>
                <w:sz w:val="24"/>
                <w:szCs w:val="24"/>
                <w:lang w:val="en-US" w:eastAsia="en-US" w:bidi="ar-SA"/>
              </w:rPr>
              <w:t>设施设 备管理</w:t>
            </w:r>
          </w:p>
        </w:tc>
        <w:tc>
          <w:tcPr>
            <w:tcW w:w="1273" w:type="dxa"/>
            <w:vMerge w:val="restart"/>
            <w:tcBorders>
              <w:bottom w:val="nil"/>
            </w:tcBorders>
            <w:vAlign w:val="center"/>
          </w:tcPr>
          <w:p w14:paraId="66B0BA90">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both"/>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给排水管路</w:t>
            </w:r>
          </w:p>
        </w:tc>
        <w:tc>
          <w:tcPr>
            <w:tcW w:w="2790" w:type="dxa"/>
            <w:vAlign w:val="center"/>
          </w:tcPr>
          <w:p w14:paraId="4CC6FE82">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给排水管路配备齐全</w:t>
            </w:r>
          </w:p>
        </w:tc>
        <w:tc>
          <w:tcPr>
            <w:tcW w:w="654" w:type="dxa"/>
            <w:vAlign w:val="center"/>
          </w:tcPr>
          <w:p w14:paraId="5AB93572">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3</w:t>
            </w:r>
          </w:p>
        </w:tc>
        <w:tc>
          <w:tcPr>
            <w:tcW w:w="1656" w:type="dxa"/>
            <w:vAlign w:val="center"/>
          </w:tcPr>
          <w:p w14:paraId="6CB1DEBC">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239" w:type="dxa"/>
            <w:vAlign w:val="center"/>
          </w:tcPr>
          <w:p w14:paraId="1CE59D5C">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1560D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00" w:type="dxa"/>
            <w:vMerge w:val="continue"/>
            <w:tcBorders>
              <w:top w:val="nil"/>
              <w:bottom w:val="nil"/>
            </w:tcBorders>
            <w:vAlign w:val="center"/>
          </w:tcPr>
          <w:p w14:paraId="1101609C">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57E70D62">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590629AD">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29212F36">
            <w:pPr>
              <w:keepNext w:val="0"/>
              <w:keepLines w:val="0"/>
              <w:pageBreakBefore w:val="0"/>
              <w:widowControl/>
              <w:kinsoku w:val="0"/>
              <w:wordWrap/>
              <w:overflowPunct/>
              <w:topLinePunct w:val="0"/>
              <w:autoSpaceDE w:val="0"/>
              <w:autoSpaceDN w:val="0"/>
              <w:bidi w:val="0"/>
              <w:adjustRightInd w:val="0"/>
              <w:snapToGrid w:val="0"/>
              <w:spacing w:before="37"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9"/>
                <w:kern w:val="0"/>
                <w:sz w:val="24"/>
                <w:szCs w:val="24"/>
                <w:lang w:val="en-US" w:eastAsia="en-US" w:bidi="ar-SA"/>
              </w:rPr>
              <w:t>图纸齐全</w:t>
            </w:r>
          </w:p>
        </w:tc>
        <w:tc>
          <w:tcPr>
            <w:tcW w:w="654" w:type="dxa"/>
            <w:vAlign w:val="center"/>
          </w:tcPr>
          <w:p w14:paraId="7700BDEC">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restart"/>
            <w:tcBorders>
              <w:bottom w:val="nil"/>
            </w:tcBorders>
            <w:vAlign w:val="center"/>
          </w:tcPr>
          <w:p w14:paraId="170F1D55">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239" w:type="dxa"/>
            <w:vAlign w:val="center"/>
          </w:tcPr>
          <w:p w14:paraId="6FF35FC3">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3B2DA4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5D1CDD14">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76907E28">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7159E7DE">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02BD1ADF">
            <w:pPr>
              <w:keepNext w:val="0"/>
              <w:keepLines w:val="0"/>
              <w:pageBreakBefore w:val="0"/>
              <w:widowControl/>
              <w:kinsoku w:val="0"/>
              <w:wordWrap/>
              <w:overflowPunct/>
              <w:topLinePunct w:val="0"/>
              <w:autoSpaceDE w:val="0"/>
              <w:autoSpaceDN w:val="0"/>
              <w:bidi w:val="0"/>
              <w:adjustRightInd w:val="0"/>
              <w:snapToGrid w:val="0"/>
              <w:spacing w:before="34"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发生故障时，一天之内</w:t>
            </w:r>
            <w:r>
              <w:rPr>
                <w:rFonts w:hint="eastAsia" w:ascii="仿宋" w:hAnsi="仿宋" w:eastAsia="仿宋" w:cs="仿宋"/>
                <w:snapToGrid w:val="0"/>
                <w:color w:val="000000"/>
                <w:kern w:val="0"/>
                <w:sz w:val="24"/>
                <w:szCs w:val="24"/>
                <w:lang w:val="en-US" w:eastAsia="en-US" w:bidi="ar-SA"/>
              </w:rPr>
              <w:t xml:space="preserve"> </w:t>
            </w:r>
            <w:r>
              <w:rPr>
                <w:rFonts w:hint="eastAsia" w:ascii="仿宋" w:hAnsi="仿宋" w:eastAsia="仿宋" w:cs="仿宋"/>
                <w:snapToGrid w:val="0"/>
                <w:color w:val="000000"/>
                <w:spacing w:val="-3"/>
                <w:kern w:val="0"/>
                <w:sz w:val="24"/>
                <w:szCs w:val="24"/>
                <w:lang w:val="en-US" w:eastAsia="en-US" w:bidi="ar-SA"/>
              </w:rPr>
              <w:t>完成维修</w:t>
            </w:r>
          </w:p>
        </w:tc>
        <w:tc>
          <w:tcPr>
            <w:tcW w:w="654" w:type="dxa"/>
            <w:vAlign w:val="center"/>
          </w:tcPr>
          <w:p w14:paraId="568A5015">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bottom w:val="nil"/>
            </w:tcBorders>
            <w:vAlign w:val="center"/>
          </w:tcPr>
          <w:p w14:paraId="59863A2F">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39" w:type="dxa"/>
            <w:vAlign w:val="center"/>
          </w:tcPr>
          <w:p w14:paraId="0E16EFE5">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3DFC3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00" w:type="dxa"/>
            <w:vMerge w:val="continue"/>
            <w:tcBorders>
              <w:top w:val="nil"/>
              <w:bottom w:val="nil"/>
            </w:tcBorders>
            <w:vAlign w:val="center"/>
          </w:tcPr>
          <w:p w14:paraId="4DA6A214">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13617B36">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tcBorders>
            <w:vAlign w:val="center"/>
          </w:tcPr>
          <w:p w14:paraId="55C3FBA2">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54657552">
            <w:pPr>
              <w:keepNext w:val="0"/>
              <w:keepLines w:val="0"/>
              <w:pageBreakBefore w:val="0"/>
              <w:widowControl/>
              <w:kinsoku w:val="0"/>
              <w:wordWrap/>
              <w:overflowPunct/>
              <w:topLinePunct w:val="0"/>
              <w:autoSpaceDE w:val="0"/>
              <w:autoSpaceDN w:val="0"/>
              <w:bidi w:val="0"/>
              <w:adjustRightInd w:val="0"/>
              <w:snapToGrid w:val="0"/>
              <w:spacing w:before="35"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5"/>
                <w:kern w:val="0"/>
                <w:sz w:val="24"/>
                <w:szCs w:val="24"/>
                <w:lang w:val="en-US" w:eastAsia="en-US" w:bidi="ar-SA"/>
              </w:rPr>
              <w:t>日常维保记录详实、准</w:t>
            </w:r>
            <w:r>
              <w:rPr>
                <w:rFonts w:hint="eastAsia" w:ascii="仿宋" w:hAnsi="仿宋" w:eastAsia="仿宋" w:cs="仿宋"/>
                <w:snapToGrid w:val="0"/>
                <w:color w:val="000000"/>
                <w:spacing w:val="2"/>
                <w:kern w:val="0"/>
                <w:sz w:val="24"/>
                <w:szCs w:val="24"/>
                <w:lang w:val="en-US" w:eastAsia="en-US" w:bidi="ar-SA"/>
              </w:rPr>
              <w:t xml:space="preserve"> </w:t>
            </w:r>
            <w:r>
              <w:rPr>
                <w:rFonts w:hint="eastAsia" w:ascii="仿宋" w:hAnsi="仿宋" w:eastAsia="仿宋" w:cs="仿宋"/>
                <w:snapToGrid w:val="0"/>
                <w:color w:val="000000"/>
                <w:kern w:val="0"/>
                <w:sz w:val="24"/>
                <w:szCs w:val="24"/>
                <w:lang w:val="en-US" w:eastAsia="en-US" w:bidi="ar-SA"/>
              </w:rPr>
              <w:t>确</w:t>
            </w:r>
          </w:p>
        </w:tc>
        <w:tc>
          <w:tcPr>
            <w:tcW w:w="654" w:type="dxa"/>
            <w:vAlign w:val="center"/>
          </w:tcPr>
          <w:p w14:paraId="4928E69F">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tcBorders>
            <w:vAlign w:val="center"/>
          </w:tcPr>
          <w:p w14:paraId="0E3A7FBF">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39" w:type="dxa"/>
            <w:vAlign w:val="center"/>
          </w:tcPr>
          <w:p w14:paraId="08650113">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43187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75C2D35C">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111F531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restart"/>
            <w:tcBorders>
              <w:bottom w:val="nil"/>
            </w:tcBorders>
            <w:vAlign w:val="center"/>
          </w:tcPr>
          <w:p w14:paraId="1BB9B657">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取暖设备</w:t>
            </w:r>
          </w:p>
        </w:tc>
        <w:tc>
          <w:tcPr>
            <w:tcW w:w="2790" w:type="dxa"/>
            <w:vAlign w:val="center"/>
          </w:tcPr>
          <w:p w14:paraId="6F71E731">
            <w:pPr>
              <w:keepNext w:val="0"/>
              <w:keepLines w:val="0"/>
              <w:pageBreakBefore w:val="0"/>
              <w:widowControl/>
              <w:kinsoku w:val="0"/>
              <w:wordWrap/>
              <w:overflowPunct/>
              <w:topLinePunct w:val="0"/>
              <w:autoSpaceDE w:val="0"/>
              <w:autoSpaceDN w:val="0"/>
              <w:bidi w:val="0"/>
              <w:adjustRightInd w:val="0"/>
              <w:snapToGrid w:val="0"/>
              <w:spacing w:before="34" w:line="240" w:lineRule="exact"/>
              <w:ind w:left="0" w:leftChars="0" w:right="247"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取暖设施设备配备齐</w:t>
            </w:r>
            <w:r>
              <w:rPr>
                <w:rFonts w:hint="eastAsia" w:ascii="仿宋" w:hAnsi="仿宋" w:eastAsia="仿宋" w:cs="仿宋"/>
                <w:snapToGrid w:val="0"/>
                <w:color w:val="000000"/>
                <w:spacing w:val="4"/>
                <w:kern w:val="0"/>
                <w:sz w:val="24"/>
                <w:szCs w:val="24"/>
                <w:lang w:val="en-US" w:eastAsia="en-US" w:bidi="ar-SA"/>
              </w:rPr>
              <w:t xml:space="preserve"> </w:t>
            </w:r>
            <w:r>
              <w:rPr>
                <w:rFonts w:hint="eastAsia" w:ascii="仿宋" w:hAnsi="仿宋" w:eastAsia="仿宋" w:cs="仿宋"/>
                <w:snapToGrid w:val="0"/>
                <w:color w:val="000000"/>
                <w:kern w:val="0"/>
                <w:sz w:val="24"/>
                <w:szCs w:val="24"/>
                <w:lang w:val="en-US" w:eastAsia="en-US" w:bidi="ar-SA"/>
              </w:rPr>
              <w:t>全</w:t>
            </w:r>
          </w:p>
        </w:tc>
        <w:tc>
          <w:tcPr>
            <w:tcW w:w="654" w:type="dxa"/>
            <w:vAlign w:val="center"/>
          </w:tcPr>
          <w:p w14:paraId="6AD37410">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3</w:t>
            </w:r>
          </w:p>
        </w:tc>
        <w:tc>
          <w:tcPr>
            <w:tcW w:w="1656" w:type="dxa"/>
            <w:vAlign w:val="center"/>
          </w:tcPr>
          <w:p w14:paraId="57078EE7">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239" w:type="dxa"/>
            <w:vAlign w:val="center"/>
          </w:tcPr>
          <w:p w14:paraId="486DAB9B">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043BF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700" w:type="dxa"/>
            <w:vMerge w:val="continue"/>
            <w:tcBorders>
              <w:top w:val="nil"/>
              <w:bottom w:val="nil"/>
            </w:tcBorders>
            <w:vAlign w:val="center"/>
          </w:tcPr>
          <w:p w14:paraId="59B7906D">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2C89AE64">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553957BE">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217F8C83">
            <w:pPr>
              <w:keepNext w:val="0"/>
              <w:keepLines w:val="0"/>
              <w:pageBreakBefore w:val="0"/>
              <w:widowControl/>
              <w:kinsoku w:val="0"/>
              <w:wordWrap/>
              <w:overflowPunct/>
              <w:topLinePunct w:val="0"/>
              <w:autoSpaceDE w:val="0"/>
              <w:autoSpaceDN w:val="0"/>
              <w:bidi w:val="0"/>
              <w:adjustRightInd w:val="0"/>
              <w:snapToGrid w:val="0"/>
              <w:spacing w:before="178"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9"/>
                <w:kern w:val="0"/>
                <w:sz w:val="24"/>
                <w:szCs w:val="24"/>
                <w:lang w:val="en-US" w:eastAsia="en-US" w:bidi="ar-SA"/>
              </w:rPr>
              <w:t>图纸齐全</w:t>
            </w:r>
          </w:p>
        </w:tc>
        <w:tc>
          <w:tcPr>
            <w:tcW w:w="654" w:type="dxa"/>
            <w:vAlign w:val="center"/>
          </w:tcPr>
          <w:p w14:paraId="23BACD7B">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restart"/>
            <w:tcBorders>
              <w:bottom w:val="nil"/>
            </w:tcBorders>
            <w:vAlign w:val="center"/>
          </w:tcPr>
          <w:p w14:paraId="4357E0DF">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239" w:type="dxa"/>
            <w:vAlign w:val="center"/>
          </w:tcPr>
          <w:p w14:paraId="55FAA10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4B4B6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501E6086">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7F1D16FA">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1E98FD58">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0F1FD190">
            <w:pPr>
              <w:keepNext w:val="0"/>
              <w:keepLines w:val="0"/>
              <w:pageBreakBefore w:val="0"/>
              <w:widowControl/>
              <w:kinsoku w:val="0"/>
              <w:wordWrap/>
              <w:overflowPunct/>
              <w:topLinePunct w:val="0"/>
              <w:autoSpaceDE w:val="0"/>
              <w:autoSpaceDN w:val="0"/>
              <w:bidi w:val="0"/>
              <w:adjustRightInd w:val="0"/>
              <w:snapToGrid w:val="0"/>
              <w:spacing w:before="37"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发生故障时，能在一天</w:t>
            </w:r>
            <w:r>
              <w:rPr>
                <w:rFonts w:hint="eastAsia" w:ascii="仿宋" w:hAnsi="仿宋" w:eastAsia="仿宋" w:cs="仿宋"/>
                <w:snapToGrid w:val="0"/>
                <w:color w:val="000000"/>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之内完成维修</w:t>
            </w:r>
          </w:p>
        </w:tc>
        <w:tc>
          <w:tcPr>
            <w:tcW w:w="654" w:type="dxa"/>
            <w:vAlign w:val="center"/>
          </w:tcPr>
          <w:p w14:paraId="051BDF3B">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bottom w:val="nil"/>
            </w:tcBorders>
            <w:vAlign w:val="center"/>
          </w:tcPr>
          <w:p w14:paraId="1FC82EAA">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688759A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4F6AC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4021C32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3D48DFB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tcBorders>
            <w:vAlign w:val="center"/>
          </w:tcPr>
          <w:p w14:paraId="7F520B08">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29E74BC8">
            <w:pPr>
              <w:keepNext w:val="0"/>
              <w:keepLines w:val="0"/>
              <w:pageBreakBefore w:val="0"/>
              <w:widowControl/>
              <w:kinsoku w:val="0"/>
              <w:wordWrap/>
              <w:overflowPunct/>
              <w:topLinePunct w:val="0"/>
              <w:autoSpaceDE w:val="0"/>
              <w:autoSpaceDN w:val="0"/>
              <w:bidi w:val="0"/>
              <w:adjustRightInd w:val="0"/>
              <w:snapToGrid w:val="0"/>
              <w:spacing w:before="37"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5"/>
                <w:kern w:val="0"/>
                <w:sz w:val="24"/>
                <w:szCs w:val="24"/>
                <w:lang w:val="en-US" w:eastAsia="en-US" w:bidi="ar-SA"/>
              </w:rPr>
              <w:t>日常维保记录详实、准</w:t>
            </w:r>
            <w:r>
              <w:rPr>
                <w:rFonts w:hint="eastAsia" w:ascii="仿宋" w:hAnsi="仿宋" w:eastAsia="仿宋" w:cs="仿宋"/>
                <w:snapToGrid w:val="0"/>
                <w:color w:val="000000"/>
                <w:kern w:val="0"/>
                <w:sz w:val="24"/>
                <w:szCs w:val="24"/>
                <w:lang w:val="en-US" w:eastAsia="en-US" w:bidi="ar-SA"/>
              </w:rPr>
              <w:t>确</w:t>
            </w:r>
          </w:p>
        </w:tc>
        <w:tc>
          <w:tcPr>
            <w:tcW w:w="654" w:type="dxa"/>
            <w:vAlign w:val="center"/>
          </w:tcPr>
          <w:p w14:paraId="672C0013">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tcBorders>
            <w:vAlign w:val="center"/>
          </w:tcPr>
          <w:p w14:paraId="43C28E1A">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389FFF08">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48C96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5180724D">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758C732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restart"/>
            <w:tcBorders>
              <w:bottom w:val="nil"/>
            </w:tcBorders>
            <w:vAlign w:val="center"/>
          </w:tcPr>
          <w:p w14:paraId="3A7E4C4A">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电力设施 设备</w:t>
            </w:r>
          </w:p>
        </w:tc>
        <w:tc>
          <w:tcPr>
            <w:tcW w:w="2790" w:type="dxa"/>
            <w:vAlign w:val="center"/>
          </w:tcPr>
          <w:p w14:paraId="422A106D">
            <w:pPr>
              <w:keepNext w:val="0"/>
              <w:keepLines w:val="0"/>
              <w:pageBreakBefore w:val="0"/>
              <w:widowControl/>
              <w:kinsoku w:val="0"/>
              <w:wordWrap/>
              <w:overflowPunct/>
              <w:topLinePunct w:val="0"/>
              <w:autoSpaceDE w:val="0"/>
              <w:autoSpaceDN w:val="0"/>
              <w:bidi w:val="0"/>
              <w:adjustRightInd w:val="0"/>
              <w:snapToGrid w:val="0"/>
              <w:spacing w:before="37" w:line="240" w:lineRule="exact"/>
              <w:ind w:left="0" w:leftChars="0" w:right="247"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5"/>
                <w:kern w:val="0"/>
                <w:sz w:val="24"/>
                <w:szCs w:val="24"/>
                <w:lang w:val="en-US" w:eastAsia="en-US" w:bidi="ar-SA"/>
              </w:rPr>
              <w:t>电力设施设备配备齐</w:t>
            </w:r>
            <w:r>
              <w:rPr>
                <w:rFonts w:hint="eastAsia" w:ascii="仿宋" w:hAnsi="仿宋" w:eastAsia="仿宋" w:cs="仿宋"/>
                <w:snapToGrid w:val="0"/>
                <w:color w:val="000000"/>
                <w:kern w:val="0"/>
                <w:sz w:val="24"/>
                <w:szCs w:val="24"/>
                <w:lang w:val="en-US" w:eastAsia="en-US" w:bidi="ar-SA"/>
              </w:rPr>
              <w:t>全</w:t>
            </w:r>
          </w:p>
        </w:tc>
        <w:tc>
          <w:tcPr>
            <w:tcW w:w="654" w:type="dxa"/>
            <w:vAlign w:val="center"/>
          </w:tcPr>
          <w:p w14:paraId="408378CF">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3</w:t>
            </w:r>
          </w:p>
        </w:tc>
        <w:tc>
          <w:tcPr>
            <w:tcW w:w="1656" w:type="dxa"/>
            <w:vAlign w:val="center"/>
          </w:tcPr>
          <w:p w14:paraId="1AD0DD9C">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239" w:type="dxa"/>
            <w:vAlign w:val="center"/>
          </w:tcPr>
          <w:p w14:paraId="7A84A55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65D8B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700" w:type="dxa"/>
            <w:vMerge w:val="continue"/>
            <w:tcBorders>
              <w:top w:val="nil"/>
              <w:bottom w:val="nil"/>
            </w:tcBorders>
            <w:vAlign w:val="center"/>
          </w:tcPr>
          <w:p w14:paraId="1FD38C3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7F29F2DD">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4747E0D7">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6F8C89C0">
            <w:pPr>
              <w:keepNext w:val="0"/>
              <w:keepLines w:val="0"/>
              <w:pageBreakBefore w:val="0"/>
              <w:widowControl/>
              <w:kinsoku w:val="0"/>
              <w:wordWrap/>
              <w:overflowPunct/>
              <w:topLinePunct w:val="0"/>
              <w:autoSpaceDE w:val="0"/>
              <w:autoSpaceDN w:val="0"/>
              <w:bidi w:val="0"/>
              <w:adjustRightInd w:val="0"/>
              <w:snapToGrid w:val="0"/>
              <w:spacing w:before="246" w:line="240" w:lineRule="exact"/>
              <w:ind w:left="0" w:leftChars="0"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9"/>
                <w:kern w:val="0"/>
                <w:sz w:val="24"/>
                <w:szCs w:val="24"/>
                <w:lang w:val="en-US" w:eastAsia="en-US" w:bidi="ar-SA"/>
              </w:rPr>
              <w:t>图纸齐全</w:t>
            </w:r>
          </w:p>
        </w:tc>
        <w:tc>
          <w:tcPr>
            <w:tcW w:w="654" w:type="dxa"/>
            <w:vAlign w:val="center"/>
          </w:tcPr>
          <w:p w14:paraId="7D797758">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restart"/>
            <w:tcBorders>
              <w:bottom w:val="nil"/>
            </w:tcBorders>
            <w:vAlign w:val="center"/>
          </w:tcPr>
          <w:p w14:paraId="3AE59A84">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239" w:type="dxa"/>
            <w:vAlign w:val="center"/>
          </w:tcPr>
          <w:p w14:paraId="350392F7">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2E8729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717165B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61C73356">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6B560469">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2B910FDA">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发生故障时，能在一天</w:t>
            </w:r>
            <w:r>
              <w:rPr>
                <w:rFonts w:hint="eastAsia" w:ascii="仿宋" w:hAnsi="仿宋" w:eastAsia="仿宋" w:cs="仿宋"/>
                <w:snapToGrid w:val="0"/>
                <w:color w:val="000000"/>
                <w:spacing w:val="-2"/>
                <w:kern w:val="0"/>
                <w:sz w:val="24"/>
                <w:szCs w:val="24"/>
                <w:lang w:val="en-US" w:eastAsia="en-US" w:bidi="ar-SA"/>
              </w:rPr>
              <w:t>之内完成维修</w:t>
            </w:r>
          </w:p>
        </w:tc>
        <w:tc>
          <w:tcPr>
            <w:tcW w:w="654" w:type="dxa"/>
            <w:vAlign w:val="center"/>
          </w:tcPr>
          <w:p w14:paraId="2F8223FA">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bottom w:val="nil"/>
            </w:tcBorders>
            <w:vAlign w:val="center"/>
          </w:tcPr>
          <w:p w14:paraId="5D8991E4">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68C610F8">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5221E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tcBorders>
            <w:vAlign w:val="center"/>
          </w:tcPr>
          <w:p w14:paraId="287D030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tcBorders>
            <w:vAlign w:val="center"/>
          </w:tcPr>
          <w:p w14:paraId="6EECA902">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tcBorders>
            <w:vAlign w:val="center"/>
          </w:tcPr>
          <w:p w14:paraId="7DC494D2">
            <w:pPr>
              <w:keepNext w:val="0"/>
              <w:keepLines w:val="0"/>
              <w:pageBreakBefore w:val="0"/>
              <w:widowControl/>
              <w:kinsoku w:val="0"/>
              <w:wordWrap/>
              <w:overflowPunct/>
              <w:topLinePunct w:val="0"/>
              <w:autoSpaceDE w:val="0"/>
              <w:autoSpaceDN w:val="0"/>
              <w:bidi w:val="0"/>
              <w:adjustRightInd w:val="0"/>
              <w:snapToGrid w:val="0"/>
              <w:spacing w:before="36" w:line="240" w:lineRule="exact"/>
              <w:ind w:left="162"/>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90" w:type="dxa"/>
            <w:vAlign w:val="center"/>
          </w:tcPr>
          <w:p w14:paraId="2A75F24C">
            <w:pPr>
              <w:keepNext w:val="0"/>
              <w:keepLines w:val="0"/>
              <w:pageBreakBefore w:val="0"/>
              <w:widowControl/>
              <w:kinsoku w:val="0"/>
              <w:wordWrap/>
              <w:overflowPunct/>
              <w:topLinePunct w:val="0"/>
              <w:autoSpaceDE w:val="0"/>
              <w:autoSpaceDN w:val="0"/>
              <w:bidi w:val="0"/>
              <w:adjustRightInd w:val="0"/>
              <w:snapToGrid w:val="0"/>
              <w:spacing w:before="39" w:line="240" w:lineRule="exact"/>
              <w:ind w:left="0" w:leftChars="0" w:right="103" w:firstLine="0" w:firstLineChars="0"/>
              <w:jc w:val="both"/>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5"/>
                <w:kern w:val="0"/>
                <w:sz w:val="24"/>
                <w:szCs w:val="24"/>
                <w:lang w:val="en-US" w:eastAsia="en-US" w:bidi="ar-SA"/>
              </w:rPr>
              <w:t>日常维保记录详实、准</w:t>
            </w:r>
            <w:r>
              <w:rPr>
                <w:rFonts w:hint="eastAsia" w:ascii="仿宋" w:hAnsi="仿宋" w:eastAsia="仿宋" w:cs="仿宋"/>
                <w:snapToGrid w:val="0"/>
                <w:color w:val="000000"/>
                <w:spacing w:val="2"/>
                <w:kern w:val="0"/>
                <w:sz w:val="24"/>
                <w:szCs w:val="24"/>
                <w:lang w:val="en-US" w:eastAsia="en-US" w:bidi="ar-SA"/>
              </w:rPr>
              <w:t xml:space="preserve"> </w:t>
            </w:r>
            <w:r>
              <w:rPr>
                <w:rFonts w:hint="eastAsia" w:ascii="仿宋" w:hAnsi="仿宋" w:eastAsia="仿宋" w:cs="仿宋"/>
                <w:snapToGrid w:val="0"/>
                <w:color w:val="000000"/>
                <w:kern w:val="0"/>
                <w:sz w:val="24"/>
                <w:szCs w:val="24"/>
                <w:lang w:val="en-US" w:eastAsia="en-US" w:bidi="ar-SA"/>
              </w:rPr>
              <w:t>确</w:t>
            </w:r>
          </w:p>
        </w:tc>
        <w:tc>
          <w:tcPr>
            <w:tcW w:w="654" w:type="dxa"/>
            <w:vAlign w:val="center"/>
          </w:tcPr>
          <w:p w14:paraId="14ED5750">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tcBorders>
            <w:vAlign w:val="center"/>
          </w:tcPr>
          <w:p w14:paraId="066E7B8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60C1B2FA">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105BE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restart"/>
            <w:tcBorders>
              <w:bottom w:val="nil"/>
            </w:tcBorders>
            <w:vAlign w:val="center"/>
          </w:tcPr>
          <w:p w14:paraId="184D52B6">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p w14:paraId="04E4FDCD">
            <w:pPr>
              <w:keepNext w:val="0"/>
              <w:keepLines w:val="0"/>
              <w:pageBreakBefore w:val="0"/>
              <w:widowControl/>
              <w:kinsoku w:val="0"/>
              <w:wordWrap/>
              <w:overflowPunct/>
              <w:topLinePunct w:val="0"/>
              <w:autoSpaceDE w:val="0"/>
              <w:autoSpaceDN w:val="0"/>
              <w:bidi w:val="0"/>
              <w:adjustRightInd w:val="0"/>
              <w:snapToGrid w:val="0"/>
              <w:spacing w:before="79"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3</w:t>
            </w:r>
          </w:p>
        </w:tc>
        <w:tc>
          <w:tcPr>
            <w:tcW w:w="978" w:type="dxa"/>
            <w:vMerge w:val="restart"/>
            <w:tcBorders>
              <w:bottom w:val="nil"/>
            </w:tcBorders>
            <w:vAlign w:val="center"/>
          </w:tcPr>
          <w:p w14:paraId="76ED9235">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p w14:paraId="12441D24">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right="12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5"/>
                <w:kern w:val="0"/>
                <w:sz w:val="24"/>
                <w:szCs w:val="24"/>
                <w:lang w:val="en-US" w:eastAsia="en-US" w:bidi="ar-SA"/>
              </w:rPr>
              <w:t>消防设</w:t>
            </w:r>
            <w:r>
              <w:rPr>
                <w:rFonts w:hint="eastAsia" w:ascii="仿宋" w:hAnsi="仿宋" w:eastAsia="仿宋" w:cs="仿宋"/>
                <w:snapToGrid w:val="0"/>
                <w:color w:val="000000"/>
                <w:kern w:val="0"/>
                <w:sz w:val="24"/>
                <w:szCs w:val="24"/>
                <w:lang w:val="en-US" w:eastAsia="en-US" w:bidi="ar-SA"/>
              </w:rPr>
              <w:t xml:space="preserve"> </w:t>
            </w:r>
            <w:r>
              <w:rPr>
                <w:rFonts w:hint="eastAsia" w:ascii="仿宋" w:hAnsi="仿宋" w:eastAsia="仿宋" w:cs="仿宋"/>
                <w:snapToGrid w:val="0"/>
                <w:color w:val="000000"/>
                <w:spacing w:val="-3"/>
                <w:kern w:val="0"/>
                <w:sz w:val="24"/>
                <w:szCs w:val="24"/>
                <w:lang w:val="en-US" w:eastAsia="en-US" w:bidi="ar-SA"/>
              </w:rPr>
              <w:t>施设备</w:t>
            </w:r>
          </w:p>
        </w:tc>
        <w:tc>
          <w:tcPr>
            <w:tcW w:w="1273" w:type="dxa"/>
            <w:vMerge w:val="restart"/>
            <w:tcBorders>
              <w:bottom w:val="nil"/>
            </w:tcBorders>
            <w:vAlign w:val="center"/>
          </w:tcPr>
          <w:p w14:paraId="0F1B8036">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自动火灾 报警系统</w:t>
            </w:r>
          </w:p>
        </w:tc>
        <w:tc>
          <w:tcPr>
            <w:tcW w:w="2790" w:type="dxa"/>
            <w:vAlign w:val="center"/>
          </w:tcPr>
          <w:p w14:paraId="3436FF0C">
            <w:pPr>
              <w:bidi w:val="0"/>
              <w:ind w:left="0" w:leftChars="0" w:firstLine="0" w:firstLineChars="0"/>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烟感报警器使用状态</w:t>
            </w:r>
            <w:r>
              <w:rPr>
                <w:rFonts w:hint="eastAsia" w:ascii="仿宋" w:hAnsi="仿宋" w:eastAsia="仿宋" w:cs="仿宋"/>
                <w:lang w:val="en-US" w:eastAsia="en-US"/>
              </w:rPr>
              <w:t>正常</w:t>
            </w:r>
          </w:p>
        </w:tc>
        <w:tc>
          <w:tcPr>
            <w:tcW w:w="654" w:type="dxa"/>
            <w:vAlign w:val="center"/>
          </w:tcPr>
          <w:p w14:paraId="4D9B7F00">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restart"/>
            <w:tcBorders>
              <w:bottom w:val="nil"/>
            </w:tcBorders>
            <w:vAlign w:val="center"/>
          </w:tcPr>
          <w:p w14:paraId="1EBA062A">
            <w:pPr>
              <w:keepNext w:val="0"/>
              <w:keepLines w:val="0"/>
              <w:pageBreakBefore w:val="0"/>
              <w:widowControl/>
              <w:kinsoku w:val="0"/>
              <w:wordWrap/>
              <w:overflowPunct/>
              <w:topLinePunct w:val="0"/>
              <w:autoSpaceDE w:val="0"/>
              <w:autoSpaceDN w:val="0"/>
              <w:bidi w:val="0"/>
              <w:adjustRightInd w:val="0"/>
              <w:snapToGrid w:val="0"/>
              <w:spacing w:before="78"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239" w:type="dxa"/>
            <w:vAlign w:val="center"/>
          </w:tcPr>
          <w:p w14:paraId="1B049B63">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22C2D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700" w:type="dxa"/>
            <w:vMerge w:val="continue"/>
            <w:tcBorders>
              <w:top w:val="nil"/>
              <w:bottom w:val="nil"/>
            </w:tcBorders>
            <w:vAlign w:val="center"/>
          </w:tcPr>
          <w:p w14:paraId="090631CD">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6973F9B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01D63F40">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2790" w:type="dxa"/>
            <w:vAlign w:val="center"/>
          </w:tcPr>
          <w:p w14:paraId="4988B24F">
            <w:pPr>
              <w:bidi w:val="0"/>
              <w:ind w:left="0" w:leftChars="0" w:firstLine="0" w:firstLineChars="0"/>
              <w:rPr>
                <w:rFonts w:hint="eastAsia" w:ascii="仿宋" w:hAnsi="仿宋" w:eastAsia="仿宋" w:cs="仿宋"/>
                <w:lang w:val="en-US" w:eastAsia="en-US"/>
              </w:rPr>
            </w:pPr>
            <w:r>
              <w:rPr>
                <w:rFonts w:hint="eastAsia" w:ascii="仿宋" w:hAnsi="仿宋" w:eastAsia="仿宋" w:cs="仿宋"/>
                <w:lang w:val="en-US" w:eastAsia="en-US"/>
              </w:rPr>
              <w:t>温感报警器使用状态正常</w:t>
            </w:r>
          </w:p>
        </w:tc>
        <w:tc>
          <w:tcPr>
            <w:tcW w:w="654" w:type="dxa"/>
            <w:vAlign w:val="center"/>
          </w:tcPr>
          <w:p w14:paraId="65A66F92">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bottom w:val="nil"/>
            </w:tcBorders>
            <w:vAlign w:val="center"/>
          </w:tcPr>
          <w:p w14:paraId="1C7391FB">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3BA6FC4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28DAE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700" w:type="dxa"/>
            <w:vMerge w:val="continue"/>
            <w:tcBorders>
              <w:top w:val="nil"/>
              <w:bottom w:val="nil"/>
            </w:tcBorders>
            <w:vAlign w:val="center"/>
          </w:tcPr>
          <w:p w14:paraId="7BB752E9">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bottom w:val="nil"/>
            </w:tcBorders>
            <w:vAlign w:val="center"/>
          </w:tcPr>
          <w:p w14:paraId="772DB734">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bottom w:val="nil"/>
            </w:tcBorders>
            <w:vAlign w:val="center"/>
          </w:tcPr>
          <w:p w14:paraId="210CB6DC">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2790" w:type="dxa"/>
            <w:vAlign w:val="center"/>
          </w:tcPr>
          <w:p w14:paraId="274EC9F4">
            <w:pPr>
              <w:bidi w:val="0"/>
              <w:ind w:left="0" w:leftChars="0" w:firstLine="0" w:firstLineChars="0"/>
              <w:rPr>
                <w:rFonts w:hint="eastAsia" w:ascii="仿宋" w:hAnsi="仿宋" w:eastAsia="仿宋" w:cs="仿宋"/>
                <w:lang w:val="en-US" w:eastAsia="en-US"/>
              </w:rPr>
            </w:pPr>
            <w:r>
              <w:rPr>
                <w:rFonts w:hint="eastAsia" w:ascii="仿宋" w:hAnsi="仿宋" w:eastAsia="仿宋" w:cs="仿宋"/>
                <w:lang w:val="en-US" w:eastAsia="en-US"/>
              </w:rPr>
              <w:t>火灾报警器使用状态正常</w:t>
            </w:r>
          </w:p>
        </w:tc>
        <w:tc>
          <w:tcPr>
            <w:tcW w:w="654" w:type="dxa"/>
            <w:vAlign w:val="center"/>
          </w:tcPr>
          <w:p w14:paraId="6F3C62B1">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2</w:t>
            </w:r>
          </w:p>
        </w:tc>
        <w:tc>
          <w:tcPr>
            <w:tcW w:w="1656" w:type="dxa"/>
            <w:vMerge w:val="continue"/>
            <w:tcBorders>
              <w:top w:val="nil"/>
            </w:tcBorders>
            <w:vAlign w:val="center"/>
          </w:tcPr>
          <w:p w14:paraId="6D8C16EE">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39" w:type="dxa"/>
            <w:vAlign w:val="center"/>
          </w:tcPr>
          <w:p w14:paraId="0C14ED66">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r w14:paraId="4EF5A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700" w:type="dxa"/>
            <w:vMerge w:val="continue"/>
            <w:tcBorders>
              <w:top w:val="nil"/>
            </w:tcBorders>
            <w:vAlign w:val="center"/>
          </w:tcPr>
          <w:p w14:paraId="2244EB51">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978" w:type="dxa"/>
            <w:vMerge w:val="continue"/>
            <w:tcBorders>
              <w:top w:val="nil"/>
            </w:tcBorders>
            <w:vAlign w:val="center"/>
          </w:tcPr>
          <w:p w14:paraId="06CB5F22">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1273" w:type="dxa"/>
            <w:vMerge w:val="continue"/>
            <w:tcBorders>
              <w:top w:val="nil"/>
            </w:tcBorders>
            <w:vAlign w:val="center"/>
          </w:tcPr>
          <w:p w14:paraId="38B60D7F">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c>
          <w:tcPr>
            <w:tcW w:w="2790" w:type="dxa"/>
            <w:vAlign w:val="center"/>
          </w:tcPr>
          <w:p w14:paraId="4AE96E5C">
            <w:pPr>
              <w:keepNext w:val="0"/>
              <w:keepLines w:val="0"/>
              <w:pageBreakBefore w:val="0"/>
              <w:widowControl/>
              <w:kinsoku w:val="0"/>
              <w:wordWrap/>
              <w:overflowPunct/>
              <w:topLinePunct w:val="0"/>
              <w:autoSpaceDE w:val="0"/>
              <w:autoSpaceDN w:val="0"/>
              <w:bidi w:val="0"/>
              <w:adjustRightInd w:val="0"/>
              <w:snapToGrid w:val="0"/>
              <w:spacing w:before="41" w:line="240" w:lineRule="exact"/>
              <w:ind w:left="0" w:leftChars="0" w:firstLine="0" w:firstLineChars="0"/>
              <w:jc w:val="both"/>
              <w:textAlignment w:val="baseline"/>
              <w:rPr>
                <w:rFonts w:hint="eastAsia" w:ascii="仿宋" w:hAnsi="仿宋" w:eastAsia="仿宋" w:cs="仿宋"/>
                <w:snapToGrid w:val="0"/>
                <w:color w:val="000000"/>
                <w:spacing w:val="-6"/>
                <w:kern w:val="0"/>
                <w:sz w:val="24"/>
                <w:szCs w:val="24"/>
                <w:lang w:val="en-US" w:eastAsia="en-US" w:bidi="ar-SA"/>
              </w:rPr>
            </w:pPr>
            <w:r>
              <w:rPr>
                <w:rFonts w:hint="eastAsia" w:ascii="仿宋" w:hAnsi="仿宋" w:eastAsia="仿宋" w:cs="仿宋"/>
                <w:snapToGrid w:val="0"/>
                <w:color w:val="000000"/>
                <w:spacing w:val="-6"/>
                <w:kern w:val="0"/>
                <w:sz w:val="24"/>
                <w:szCs w:val="24"/>
                <w:lang w:val="en-US" w:eastAsia="en-US" w:bidi="ar-SA"/>
              </w:rPr>
              <w:t>自动火灾报警系统按</w:t>
            </w:r>
            <w:r>
              <w:rPr>
                <w:rFonts w:hint="eastAsia" w:ascii="仿宋" w:hAnsi="仿宋" w:eastAsia="仿宋" w:cs="仿宋"/>
                <w:snapToGrid w:val="0"/>
                <w:color w:val="000000"/>
                <w:spacing w:val="-2"/>
                <w:kern w:val="0"/>
                <w:sz w:val="24"/>
                <w:szCs w:val="24"/>
                <w:lang w:val="en-US" w:eastAsia="en-US" w:bidi="ar-SA"/>
              </w:rPr>
              <w:t>规定定期进行维保</w:t>
            </w:r>
          </w:p>
        </w:tc>
        <w:tc>
          <w:tcPr>
            <w:tcW w:w="654" w:type="dxa"/>
            <w:vAlign w:val="center"/>
          </w:tcPr>
          <w:p w14:paraId="5D0A6543">
            <w:pPr>
              <w:keepNext w:val="0"/>
              <w:keepLines w:val="0"/>
              <w:pageBreakBefore w:val="0"/>
              <w:widowControl/>
              <w:kinsoku w:val="0"/>
              <w:wordWrap/>
              <w:overflowPunct/>
              <w:topLinePunct w:val="0"/>
              <w:autoSpaceDE w:val="0"/>
              <w:autoSpaceDN w:val="0"/>
              <w:bidi w:val="0"/>
              <w:adjustRightInd w:val="0"/>
              <w:snapToGrid w:val="0"/>
              <w:spacing w:before="74"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3</w:t>
            </w:r>
          </w:p>
        </w:tc>
        <w:tc>
          <w:tcPr>
            <w:tcW w:w="1656" w:type="dxa"/>
            <w:vAlign w:val="center"/>
          </w:tcPr>
          <w:p w14:paraId="1A84404C">
            <w:pPr>
              <w:keepNext w:val="0"/>
              <w:keepLines w:val="0"/>
              <w:pageBreakBefore w:val="0"/>
              <w:widowControl/>
              <w:kinsoku w:val="0"/>
              <w:wordWrap/>
              <w:overflowPunct/>
              <w:topLinePunct w:val="0"/>
              <w:autoSpaceDE w:val="0"/>
              <w:autoSpaceDN w:val="0"/>
              <w:bidi w:val="0"/>
              <w:adjustRightInd w:val="0"/>
              <w:snapToGrid w:val="0"/>
              <w:spacing w:before="41" w:line="240" w:lineRule="exact"/>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239" w:type="dxa"/>
            <w:vAlign w:val="center"/>
          </w:tcPr>
          <w:p w14:paraId="1E5B6255">
            <w:pPr>
              <w:keepNext w:val="0"/>
              <w:keepLines w:val="0"/>
              <w:pageBreakBefore w:val="0"/>
              <w:widowControl/>
              <w:kinsoku w:val="0"/>
              <w:wordWrap/>
              <w:overflowPunct/>
              <w:topLinePunct w:val="0"/>
              <w:autoSpaceDE w:val="0"/>
              <w:autoSpaceDN w:val="0"/>
              <w:bidi w:val="0"/>
              <w:adjustRightInd w:val="0"/>
              <w:snapToGrid w:val="0"/>
              <w:spacing w:line="240" w:lineRule="exact"/>
              <w:jc w:val="center"/>
              <w:textAlignment w:val="baseline"/>
              <w:rPr>
                <w:rFonts w:hint="eastAsia" w:ascii="仿宋" w:hAnsi="仿宋" w:eastAsia="仿宋" w:cs="仿宋"/>
                <w:snapToGrid w:val="0"/>
                <w:color w:val="000000"/>
                <w:kern w:val="0"/>
                <w:sz w:val="21"/>
                <w:szCs w:val="21"/>
                <w:lang w:eastAsia="en-US"/>
              </w:rPr>
            </w:pPr>
          </w:p>
        </w:tc>
      </w:tr>
    </w:tbl>
    <w:p w14:paraId="0BE6191B">
      <w:pPr>
        <w:kinsoku w:val="0"/>
        <w:autoSpaceDE w:val="0"/>
        <w:autoSpaceDN w:val="0"/>
        <w:adjustRightInd w:val="0"/>
        <w:snapToGrid w:val="0"/>
        <w:spacing w:before="29" w:line="240" w:lineRule="auto"/>
        <w:jc w:val="left"/>
        <w:textAlignment w:val="baseline"/>
        <w:rPr>
          <w:rFonts w:hint="eastAsia" w:asciiTheme="minorEastAsia" w:hAnsiTheme="minorEastAsia" w:eastAsiaTheme="minorEastAsia" w:cstheme="minorEastAsia"/>
          <w:snapToGrid w:val="0"/>
          <w:color w:val="000000"/>
          <w:kern w:val="0"/>
          <w:sz w:val="21"/>
          <w:szCs w:val="21"/>
          <w:lang w:eastAsia="en-US"/>
        </w:rPr>
      </w:pPr>
    </w:p>
    <w:tbl>
      <w:tblPr>
        <w:tblStyle w:val="12"/>
        <w:tblpPr w:leftFromText="180" w:rightFromText="180" w:vertAnchor="text" w:horzAnchor="page" w:tblpX="1434" w:tblpY="-38"/>
        <w:tblOverlap w:val="never"/>
        <w:tblW w:w="913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814"/>
        <w:gridCol w:w="1245"/>
        <w:gridCol w:w="2781"/>
        <w:gridCol w:w="684"/>
        <w:gridCol w:w="1847"/>
        <w:gridCol w:w="1063"/>
      </w:tblGrid>
      <w:tr w14:paraId="402449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700" w:type="dxa"/>
            <w:vMerge w:val="restart"/>
            <w:tcBorders>
              <w:top w:val="single" w:color="auto" w:sz="4" w:space="0"/>
              <w:left w:val="single" w:color="auto" w:sz="4" w:space="0"/>
              <w:bottom w:val="nil"/>
            </w:tcBorders>
            <w:vAlign w:val="top"/>
          </w:tcPr>
          <w:p w14:paraId="2A59AA15">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restart"/>
            <w:tcBorders>
              <w:top w:val="single" w:color="auto" w:sz="4" w:space="0"/>
              <w:bottom w:val="nil"/>
            </w:tcBorders>
            <w:vAlign w:val="top"/>
          </w:tcPr>
          <w:p w14:paraId="4EFB3E1C">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restart"/>
            <w:tcBorders>
              <w:top w:val="single" w:color="auto" w:sz="4" w:space="0"/>
            </w:tcBorders>
            <w:vAlign w:val="top"/>
          </w:tcPr>
          <w:p w14:paraId="1EEBFC02">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p w14:paraId="3DAC8B14">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p w14:paraId="36BE7B08">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p w14:paraId="2FB6B161">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消防水灭火系统</w:t>
            </w:r>
          </w:p>
        </w:tc>
        <w:tc>
          <w:tcPr>
            <w:tcW w:w="2781" w:type="dxa"/>
            <w:tcBorders>
              <w:top w:val="single" w:color="auto" w:sz="4" w:space="0"/>
            </w:tcBorders>
            <w:vAlign w:val="center"/>
          </w:tcPr>
          <w:p w14:paraId="5E1D2794">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消防系统使用状态正</w:t>
            </w:r>
            <w:r>
              <w:rPr>
                <w:rFonts w:hint="eastAsia" w:ascii="仿宋" w:hAnsi="仿宋" w:eastAsia="仿宋" w:cs="仿宋"/>
                <w:snapToGrid w:val="0"/>
                <w:color w:val="000000"/>
                <w:kern w:val="0"/>
                <w:sz w:val="24"/>
                <w:szCs w:val="24"/>
                <w:lang w:val="en-US" w:eastAsia="en-US" w:bidi="ar-SA"/>
              </w:rPr>
              <w:t>常</w:t>
            </w:r>
          </w:p>
        </w:tc>
        <w:tc>
          <w:tcPr>
            <w:tcW w:w="684" w:type="dxa"/>
            <w:tcBorders>
              <w:top w:val="single" w:color="auto" w:sz="4" w:space="0"/>
            </w:tcBorders>
            <w:vAlign w:val="center"/>
          </w:tcPr>
          <w:p w14:paraId="5BAAFF3C">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restart"/>
            <w:tcBorders>
              <w:top w:val="single" w:color="auto" w:sz="4" w:space="0"/>
            </w:tcBorders>
            <w:vAlign w:val="top"/>
          </w:tcPr>
          <w:p w14:paraId="2EBF77E9">
            <w:pPr>
              <w:kinsoku w:val="0"/>
              <w:autoSpaceDE w:val="0"/>
              <w:autoSpaceDN w:val="0"/>
              <w:adjustRightInd w:val="0"/>
              <w:snapToGrid w:val="0"/>
              <w:spacing w:line="248" w:lineRule="auto"/>
              <w:jc w:val="center"/>
              <w:textAlignment w:val="baseline"/>
              <w:rPr>
                <w:rFonts w:hint="eastAsia" w:ascii="仿宋" w:hAnsi="仿宋" w:eastAsia="仿宋" w:cs="仿宋"/>
                <w:snapToGrid w:val="0"/>
                <w:color w:val="000000"/>
                <w:kern w:val="0"/>
                <w:sz w:val="21"/>
                <w:szCs w:val="21"/>
                <w:lang w:eastAsia="en-US"/>
              </w:rPr>
            </w:pPr>
          </w:p>
          <w:p w14:paraId="368A50B2">
            <w:pPr>
              <w:kinsoku w:val="0"/>
              <w:autoSpaceDE w:val="0"/>
              <w:autoSpaceDN w:val="0"/>
              <w:adjustRightInd w:val="0"/>
              <w:snapToGrid w:val="0"/>
              <w:spacing w:line="248" w:lineRule="auto"/>
              <w:jc w:val="center"/>
              <w:textAlignment w:val="baseline"/>
              <w:rPr>
                <w:rFonts w:hint="eastAsia" w:ascii="仿宋" w:hAnsi="仿宋" w:eastAsia="仿宋" w:cs="仿宋"/>
                <w:snapToGrid w:val="0"/>
                <w:color w:val="000000"/>
                <w:kern w:val="0"/>
                <w:sz w:val="21"/>
                <w:szCs w:val="21"/>
                <w:lang w:eastAsia="en-US"/>
              </w:rPr>
            </w:pPr>
          </w:p>
          <w:p w14:paraId="6FF2AE15">
            <w:pPr>
              <w:kinsoku w:val="0"/>
              <w:autoSpaceDE w:val="0"/>
              <w:autoSpaceDN w:val="0"/>
              <w:adjustRightInd w:val="0"/>
              <w:snapToGrid w:val="0"/>
              <w:spacing w:line="248" w:lineRule="auto"/>
              <w:jc w:val="center"/>
              <w:textAlignment w:val="baseline"/>
              <w:rPr>
                <w:rFonts w:hint="eastAsia" w:ascii="仿宋" w:hAnsi="仿宋" w:eastAsia="仿宋" w:cs="仿宋"/>
                <w:snapToGrid w:val="0"/>
                <w:color w:val="000000"/>
                <w:kern w:val="0"/>
                <w:sz w:val="21"/>
                <w:szCs w:val="21"/>
                <w:lang w:eastAsia="en-US"/>
              </w:rPr>
            </w:pPr>
          </w:p>
          <w:p w14:paraId="1B6AD840">
            <w:pPr>
              <w:kinsoku w:val="0"/>
              <w:autoSpaceDE w:val="0"/>
              <w:autoSpaceDN w:val="0"/>
              <w:adjustRightInd w:val="0"/>
              <w:snapToGrid w:val="0"/>
              <w:spacing w:before="78"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tcBorders>
              <w:top w:val="single" w:color="auto" w:sz="4" w:space="0"/>
              <w:right w:val="single" w:color="auto" w:sz="4" w:space="0"/>
            </w:tcBorders>
            <w:vAlign w:val="top"/>
          </w:tcPr>
          <w:p w14:paraId="7EAE60F3">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46C98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700" w:type="dxa"/>
            <w:vMerge w:val="continue"/>
            <w:tcBorders>
              <w:top w:val="nil"/>
              <w:left w:val="single" w:color="auto" w:sz="4" w:space="0"/>
              <w:bottom w:val="nil"/>
            </w:tcBorders>
            <w:vAlign w:val="top"/>
          </w:tcPr>
          <w:p w14:paraId="4D0E0810">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472AEDD1">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vAlign w:val="top"/>
          </w:tcPr>
          <w:p w14:paraId="32A0065C">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center"/>
          </w:tcPr>
          <w:p w14:paraId="3B1D303D">
            <w:pPr>
              <w:kinsoku w:val="0"/>
              <w:autoSpaceDE w:val="0"/>
              <w:autoSpaceDN w:val="0"/>
              <w:adjustRightInd w:val="0"/>
              <w:snapToGrid w:val="0"/>
              <w:spacing w:line="183"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消火栓使用状态正常</w:t>
            </w:r>
          </w:p>
        </w:tc>
        <w:tc>
          <w:tcPr>
            <w:tcW w:w="684" w:type="dxa"/>
            <w:vAlign w:val="center"/>
          </w:tcPr>
          <w:p w14:paraId="55531801">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vAlign w:val="top"/>
          </w:tcPr>
          <w:p w14:paraId="325E95F6">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tcBorders>
              <w:right w:val="single" w:color="auto" w:sz="4" w:space="0"/>
            </w:tcBorders>
            <w:vAlign w:val="top"/>
          </w:tcPr>
          <w:p w14:paraId="7D4B0463">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58F99D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700" w:type="dxa"/>
            <w:vMerge w:val="continue"/>
            <w:tcBorders>
              <w:top w:val="nil"/>
              <w:left w:val="single" w:color="auto" w:sz="4" w:space="0"/>
              <w:bottom w:val="single" w:color="auto" w:sz="4" w:space="0"/>
            </w:tcBorders>
            <w:vAlign w:val="top"/>
          </w:tcPr>
          <w:p w14:paraId="0ED157D1">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single" w:color="auto" w:sz="4" w:space="0"/>
            </w:tcBorders>
            <w:vAlign w:val="top"/>
          </w:tcPr>
          <w:p w14:paraId="6CC23FF0">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vAlign w:val="top"/>
          </w:tcPr>
          <w:p w14:paraId="163E8D3F">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tcBorders>
              <w:bottom w:val="single" w:color="auto" w:sz="4" w:space="0"/>
            </w:tcBorders>
            <w:vAlign w:val="center"/>
          </w:tcPr>
          <w:p w14:paraId="2F53A59E">
            <w:pPr>
              <w:kinsoku w:val="0"/>
              <w:autoSpaceDE w:val="0"/>
              <w:autoSpaceDN w:val="0"/>
              <w:adjustRightInd w:val="0"/>
              <w:snapToGrid w:val="0"/>
              <w:spacing w:before="47" w:line="229"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湿式报警阀使用状态</w:t>
            </w:r>
            <w:r>
              <w:rPr>
                <w:rFonts w:hint="eastAsia" w:ascii="仿宋" w:hAnsi="仿宋" w:eastAsia="仿宋" w:cs="仿宋"/>
                <w:snapToGrid w:val="0"/>
                <w:color w:val="000000"/>
                <w:spacing w:val="7"/>
                <w:kern w:val="0"/>
                <w:sz w:val="24"/>
                <w:szCs w:val="24"/>
                <w:lang w:val="en-US" w:eastAsia="en-US" w:bidi="ar-SA"/>
              </w:rPr>
              <w:t xml:space="preserve"> </w:t>
            </w:r>
            <w:r>
              <w:rPr>
                <w:rFonts w:hint="eastAsia" w:ascii="仿宋" w:hAnsi="仿宋" w:eastAsia="仿宋" w:cs="仿宋"/>
                <w:snapToGrid w:val="0"/>
                <w:color w:val="000000"/>
                <w:spacing w:val="-8"/>
                <w:kern w:val="0"/>
                <w:sz w:val="24"/>
                <w:szCs w:val="24"/>
                <w:lang w:val="en-US" w:eastAsia="en-US" w:bidi="ar-SA"/>
              </w:rPr>
              <w:t>正常</w:t>
            </w:r>
          </w:p>
        </w:tc>
        <w:tc>
          <w:tcPr>
            <w:tcW w:w="684" w:type="dxa"/>
            <w:tcBorders>
              <w:bottom w:val="single" w:color="auto" w:sz="4" w:space="0"/>
            </w:tcBorders>
            <w:vAlign w:val="center"/>
          </w:tcPr>
          <w:p w14:paraId="33CCB7C7">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vAlign w:val="top"/>
          </w:tcPr>
          <w:p w14:paraId="0B136856">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tcBorders>
              <w:bottom w:val="single" w:color="auto" w:sz="4" w:space="0"/>
              <w:right w:val="single" w:color="auto" w:sz="4" w:space="0"/>
            </w:tcBorders>
            <w:vAlign w:val="top"/>
          </w:tcPr>
          <w:p w14:paraId="53EB6B6D">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7A0E5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700" w:type="dxa"/>
            <w:vMerge w:val="continue"/>
            <w:tcBorders>
              <w:top w:val="single" w:color="auto" w:sz="4" w:space="0"/>
              <w:left w:val="single" w:color="auto" w:sz="4" w:space="0"/>
              <w:bottom w:val="nil"/>
            </w:tcBorders>
            <w:vAlign w:val="top"/>
          </w:tcPr>
          <w:p w14:paraId="7EDD5F60">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single" w:color="auto" w:sz="4" w:space="0"/>
              <w:bottom w:val="nil"/>
            </w:tcBorders>
            <w:vAlign w:val="top"/>
          </w:tcPr>
          <w:p w14:paraId="1CC36555">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vAlign w:val="top"/>
          </w:tcPr>
          <w:p w14:paraId="528E3DF2">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tcBorders>
              <w:top w:val="single" w:color="auto" w:sz="4" w:space="0"/>
            </w:tcBorders>
            <w:vAlign w:val="center"/>
          </w:tcPr>
          <w:p w14:paraId="1CE95874">
            <w:pPr>
              <w:kinsoku w:val="0"/>
              <w:autoSpaceDE w:val="0"/>
              <w:autoSpaceDN w:val="0"/>
              <w:adjustRightInd w:val="0"/>
              <w:snapToGrid w:val="0"/>
              <w:spacing w:line="215"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
                <w:kern w:val="0"/>
                <w:sz w:val="24"/>
                <w:szCs w:val="24"/>
                <w:lang w:val="en-US" w:eastAsia="en-US" w:bidi="ar-SA"/>
              </w:rPr>
              <w:t>干式报警阀等使用状</w:t>
            </w:r>
            <w:r>
              <w:rPr>
                <w:rFonts w:hint="eastAsia" w:ascii="仿宋" w:hAnsi="仿宋" w:eastAsia="仿宋" w:cs="仿宋"/>
                <w:snapToGrid w:val="0"/>
                <w:color w:val="000000"/>
                <w:kern w:val="0"/>
                <w:sz w:val="24"/>
                <w:szCs w:val="24"/>
                <w:lang w:val="en-US" w:eastAsia="en-US" w:bidi="ar-SA"/>
              </w:rPr>
              <w:t xml:space="preserve"> </w:t>
            </w:r>
            <w:r>
              <w:rPr>
                <w:rFonts w:hint="eastAsia" w:ascii="仿宋" w:hAnsi="仿宋" w:eastAsia="仿宋" w:cs="仿宋"/>
                <w:snapToGrid w:val="0"/>
                <w:color w:val="000000"/>
                <w:spacing w:val="-4"/>
                <w:kern w:val="0"/>
                <w:sz w:val="24"/>
                <w:szCs w:val="24"/>
                <w:lang w:val="en-US" w:eastAsia="en-US" w:bidi="ar-SA"/>
              </w:rPr>
              <w:t>态正常</w:t>
            </w:r>
          </w:p>
        </w:tc>
        <w:tc>
          <w:tcPr>
            <w:tcW w:w="684" w:type="dxa"/>
            <w:tcBorders>
              <w:top w:val="single" w:color="auto" w:sz="4" w:space="0"/>
            </w:tcBorders>
            <w:vAlign w:val="center"/>
          </w:tcPr>
          <w:p w14:paraId="43340429">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vAlign w:val="top"/>
          </w:tcPr>
          <w:p w14:paraId="48C24C83">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tcBorders>
              <w:top w:val="single" w:color="auto" w:sz="4" w:space="0"/>
            </w:tcBorders>
            <w:vAlign w:val="top"/>
          </w:tcPr>
          <w:p w14:paraId="392C1595">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48CA1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43FC5BCE">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485B32AC">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vAlign w:val="top"/>
          </w:tcPr>
          <w:p w14:paraId="11685340">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top"/>
          </w:tcPr>
          <w:p w14:paraId="417E98E1">
            <w:pPr>
              <w:kinsoku w:val="0"/>
              <w:autoSpaceDE w:val="0"/>
              <w:autoSpaceDN w:val="0"/>
              <w:adjustRightInd w:val="0"/>
              <w:snapToGrid w:val="0"/>
              <w:spacing w:before="2" w:line="215"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消防水灭火系统按规</w:t>
            </w:r>
            <w:r>
              <w:rPr>
                <w:rFonts w:hint="eastAsia" w:ascii="仿宋" w:hAnsi="仿宋" w:eastAsia="仿宋" w:cs="仿宋"/>
                <w:snapToGrid w:val="0"/>
                <w:color w:val="000000"/>
                <w:spacing w:val="2"/>
                <w:kern w:val="0"/>
                <w:sz w:val="24"/>
                <w:szCs w:val="24"/>
                <w:lang w:val="en-US" w:eastAsia="en-US" w:bidi="ar-SA"/>
              </w:rPr>
              <w:t xml:space="preserve"> </w:t>
            </w:r>
            <w:r>
              <w:rPr>
                <w:rFonts w:hint="eastAsia" w:ascii="仿宋" w:hAnsi="仿宋" w:eastAsia="仿宋" w:cs="仿宋"/>
                <w:snapToGrid w:val="0"/>
                <w:color w:val="000000"/>
                <w:spacing w:val="-3"/>
                <w:kern w:val="0"/>
                <w:sz w:val="24"/>
                <w:szCs w:val="24"/>
                <w:lang w:val="en-US" w:eastAsia="en-US" w:bidi="ar-SA"/>
              </w:rPr>
              <w:t>定定期进行维保</w:t>
            </w:r>
          </w:p>
        </w:tc>
        <w:tc>
          <w:tcPr>
            <w:tcW w:w="684" w:type="dxa"/>
            <w:vAlign w:val="center"/>
          </w:tcPr>
          <w:p w14:paraId="6C385547">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3</w:t>
            </w:r>
          </w:p>
        </w:tc>
        <w:tc>
          <w:tcPr>
            <w:tcW w:w="1847" w:type="dxa"/>
            <w:vAlign w:val="top"/>
          </w:tcPr>
          <w:p w14:paraId="7FA5387A">
            <w:pPr>
              <w:kinsoku w:val="0"/>
              <w:autoSpaceDE w:val="0"/>
              <w:autoSpaceDN w:val="0"/>
              <w:adjustRightInd w:val="0"/>
              <w:snapToGrid w:val="0"/>
              <w:spacing w:before="119"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063" w:type="dxa"/>
            <w:vAlign w:val="top"/>
          </w:tcPr>
          <w:p w14:paraId="4A970CBC">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7B0BE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00" w:type="dxa"/>
            <w:vMerge w:val="continue"/>
            <w:tcBorders>
              <w:top w:val="nil"/>
              <w:left w:val="single" w:color="auto" w:sz="4" w:space="0"/>
              <w:bottom w:val="nil"/>
            </w:tcBorders>
            <w:vAlign w:val="top"/>
          </w:tcPr>
          <w:p w14:paraId="1DC805F2">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715A236C">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Align w:val="center"/>
          </w:tcPr>
          <w:p w14:paraId="60DD6C5A">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应急照明灯与疏散指灯</w:t>
            </w:r>
          </w:p>
        </w:tc>
        <w:tc>
          <w:tcPr>
            <w:tcW w:w="2781" w:type="dxa"/>
            <w:vAlign w:val="top"/>
          </w:tcPr>
          <w:p w14:paraId="51040B78">
            <w:pPr>
              <w:kinsoku w:val="0"/>
              <w:autoSpaceDE w:val="0"/>
              <w:autoSpaceDN w:val="0"/>
              <w:adjustRightInd w:val="0"/>
              <w:snapToGrid w:val="0"/>
              <w:spacing w:before="1" w:line="224" w:lineRule="auto"/>
              <w:ind w:left="0" w:leftChars="0" w:right="103"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应急照明灯、疏散指灯配备齐全，且使用状态</w:t>
            </w:r>
            <w:r>
              <w:rPr>
                <w:rFonts w:hint="eastAsia" w:ascii="仿宋" w:hAnsi="仿宋" w:eastAsia="仿宋" w:cs="仿宋"/>
                <w:snapToGrid w:val="0"/>
                <w:color w:val="000000"/>
                <w:spacing w:val="-5"/>
                <w:kern w:val="0"/>
                <w:sz w:val="24"/>
                <w:szCs w:val="24"/>
                <w:lang w:val="en-US" w:eastAsia="en-US" w:bidi="ar-SA"/>
              </w:rPr>
              <w:t>正常</w:t>
            </w:r>
          </w:p>
        </w:tc>
        <w:tc>
          <w:tcPr>
            <w:tcW w:w="684" w:type="dxa"/>
            <w:vAlign w:val="center"/>
          </w:tcPr>
          <w:p w14:paraId="7DD6A065">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3</w:t>
            </w:r>
          </w:p>
        </w:tc>
        <w:tc>
          <w:tcPr>
            <w:tcW w:w="1847" w:type="dxa"/>
            <w:vAlign w:val="top"/>
          </w:tcPr>
          <w:p w14:paraId="156A5DF3">
            <w:pPr>
              <w:kinsoku w:val="0"/>
              <w:autoSpaceDE w:val="0"/>
              <w:autoSpaceDN w:val="0"/>
              <w:adjustRightInd w:val="0"/>
              <w:snapToGrid w:val="0"/>
              <w:spacing w:before="277"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78D3FE26">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5D3D5A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51B08C6C">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66738448">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restart"/>
            <w:tcBorders>
              <w:bottom w:val="nil"/>
            </w:tcBorders>
            <w:vAlign w:val="center"/>
          </w:tcPr>
          <w:p w14:paraId="1BEC754F">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灭火器</w:t>
            </w:r>
          </w:p>
        </w:tc>
        <w:tc>
          <w:tcPr>
            <w:tcW w:w="2781" w:type="dxa"/>
            <w:vAlign w:val="top"/>
          </w:tcPr>
          <w:p w14:paraId="74E5DF08">
            <w:pPr>
              <w:kinsoku w:val="0"/>
              <w:autoSpaceDE w:val="0"/>
              <w:autoSpaceDN w:val="0"/>
              <w:adjustRightInd w:val="0"/>
              <w:snapToGrid w:val="0"/>
              <w:spacing w:before="2" w:line="218"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按消防规定配备足够</w:t>
            </w:r>
            <w:r>
              <w:rPr>
                <w:rFonts w:hint="eastAsia" w:ascii="仿宋" w:hAnsi="仿宋" w:eastAsia="仿宋" w:cs="仿宋"/>
                <w:snapToGrid w:val="0"/>
                <w:color w:val="000000"/>
                <w:spacing w:val="5"/>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数量的灭火器</w:t>
            </w:r>
          </w:p>
        </w:tc>
        <w:tc>
          <w:tcPr>
            <w:tcW w:w="684" w:type="dxa"/>
            <w:vAlign w:val="center"/>
          </w:tcPr>
          <w:p w14:paraId="79F727CD">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restart"/>
            <w:tcBorders>
              <w:bottom w:val="nil"/>
            </w:tcBorders>
            <w:vAlign w:val="top"/>
          </w:tcPr>
          <w:p w14:paraId="71A536FB">
            <w:pPr>
              <w:kinsoku w:val="0"/>
              <w:autoSpaceDE w:val="0"/>
              <w:autoSpaceDN w:val="0"/>
              <w:adjustRightInd w:val="0"/>
              <w:snapToGrid w:val="0"/>
              <w:spacing w:line="265" w:lineRule="auto"/>
              <w:jc w:val="center"/>
              <w:textAlignment w:val="baseline"/>
              <w:rPr>
                <w:rFonts w:hint="eastAsia" w:ascii="仿宋" w:hAnsi="仿宋" w:eastAsia="仿宋" w:cs="仿宋"/>
                <w:snapToGrid w:val="0"/>
                <w:color w:val="000000"/>
                <w:kern w:val="0"/>
                <w:sz w:val="21"/>
                <w:szCs w:val="21"/>
                <w:lang w:eastAsia="en-US"/>
              </w:rPr>
            </w:pPr>
          </w:p>
          <w:p w14:paraId="5B81C533">
            <w:pPr>
              <w:kinsoku w:val="0"/>
              <w:autoSpaceDE w:val="0"/>
              <w:autoSpaceDN w:val="0"/>
              <w:adjustRightInd w:val="0"/>
              <w:snapToGrid w:val="0"/>
              <w:spacing w:line="266" w:lineRule="auto"/>
              <w:jc w:val="center"/>
              <w:textAlignment w:val="baseline"/>
              <w:rPr>
                <w:rFonts w:hint="eastAsia" w:ascii="仿宋" w:hAnsi="仿宋" w:eastAsia="仿宋" w:cs="仿宋"/>
                <w:snapToGrid w:val="0"/>
                <w:color w:val="000000"/>
                <w:kern w:val="0"/>
                <w:sz w:val="21"/>
                <w:szCs w:val="21"/>
                <w:lang w:eastAsia="en-US"/>
              </w:rPr>
            </w:pPr>
          </w:p>
          <w:p w14:paraId="386C05EB">
            <w:pPr>
              <w:kinsoku w:val="0"/>
              <w:autoSpaceDE w:val="0"/>
              <w:autoSpaceDN w:val="0"/>
              <w:adjustRightInd w:val="0"/>
              <w:snapToGrid w:val="0"/>
              <w:spacing w:line="266" w:lineRule="auto"/>
              <w:jc w:val="center"/>
              <w:textAlignment w:val="baseline"/>
              <w:rPr>
                <w:rFonts w:hint="eastAsia" w:ascii="仿宋" w:hAnsi="仿宋" w:eastAsia="仿宋" w:cs="仿宋"/>
                <w:snapToGrid w:val="0"/>
                <w:color w:val="000000"/>
                <w:kern w:val="0"/>
                <w:sz w:val="21"/>
                <w:szCs w:val="21"/>
                <w:lang w:eastAsia="en-US"/>
              </w:rPr>
            </w:pPr>
          </w:p>
          <w:p w14:paraId="5E1BDC4A">
            <w:pPr>
              <w:kinsoku w:val="0"/>
              <w:autoSpaceDE w:val="0"/>
              <w:autoSpaceDN w:val="0"/>
              <w:adjustRightInd w:val="0"/>
              <w:snapToGrid w:val="0"/>
              <w:spacing w:line="266" w:lineRule="auto"/>
              <w:jc w:val="center"/>
              <w:textAlignment w:val="baseline"/>
              <w:rPr>
                <w:rFonts w:hint="eastAsia" w:ascii="仿宋" w:hAnsi="仿宋" w:eastAsia="仿宋" w:cs="仿宋"/>
                <w:snapToGrid w:val="0"/>
                <w:color w:val="000000"/>
                <w:kern w:val="0"/>
                <w:sz w:val="21"/>
                <w:szCs w:val="21"/>
                <w:lang w:eastAsia="en-US"/>
              </w:rPr>
            </w:pPr>
          </w:p>
          <w:p w14:paraId="15768D35">
            <w:pPr>
              <w:kinsoku w:val="0"/>
              <w:autoSpaceDE w:val="0"/>
              <w:autoSpaceDN w:val="0"/>
              <w:adjustRightInd w:val="0"/>
              <w:snapToGrid w:val="0"/>
              <w:spacing w:before="78"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2F2443C7">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593B0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700" w:type="dxa"/>
            <w:vMerge w:val="continue"/>
            <w:tcBorders>
              <w:top w:val="nil"/>
              <w:left w:val="single" w:color="auto" w:sz="4" w:space="0"/>
              <w:bottom w:val="nil"/>
            </w:tcBorders>
            <w:vAlign w:val="top"/>
          </w:tcPr>
          <w:p w14:paraId="18EFF31D">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7CF1E28B">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tcBorders>
              <w:top w:val="nil"/>
              <w:bottom w:val="nil"/>
            </w:tcBorders>
            <w:vAlign w:val="top"/>
          </w:tcPr>
          <w:p w14:paraId="683A2211">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top"/>
          </w:tcPr>
          <w:p w14:paraId="455D2732">
            <w:pPr>
              <w:kinsoku w:val="0"/>
              <w:autoSpaceDE w:val="0"/>
              <w:autoSpaceDN w:val="0"/>
              <w:adjustRightInd w:val="0"/>
              <w:snapToGrid w:val="0"/>
              <w:spacing w:line="220"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配备的灭火器使用状</w:t>
            </w:r>
            <w:r>
              <w:rPr>
                <w:rFonts w:hint="eastAsia" w:ascii="仿宋" w:hAnsi="仿宋" w:eastAsia="仿宋" w:cs="仿宋"/>
                <w:snapToGrid w:val="0"/>
                <w:color w:val="000000"/>
                <w:spacing w:val="7"/>
                <w:kern w:val="0"/>
                <w:sz w:val="24"/>
                <w:szCs w:val="24"/>
                <w:lang w:val="en-US" w:eastAsia="en-US" w:bidi="ar-SA"/>
              </w:rPr>
              <w:t xml:space="preserve"> </w:t>
            </w:r>
            <w:r>
              <w:rPr>
                <w:rFonts w:hint="eastAsia" w:ascii="仿宋" w:hAnsi="仿宋" w:eastAsia="仿宋" w:cs="仿宋"/>
                <w:snapToGrid w:val="0"/>
                <w:color w:val="000000"/>
                <w:spacing w:val="-4"/>
                <w:kern w:val="0"/>
                <w:sz w:val="24"/>
                <w:szCs w:val="24"/>
                <w:lang w:val="en-US" w:eastAsia="en-US" w:bidi="ar-SA"/>
              </w:rPr>
              <w:t>态正常</w:t>
            </w:r>
          </w:p>
        </w:tc>
        <w:tc>
          <w:tcPr>
            <w:tcW w:w="684" w:type="dxa"/>
            <w:vAlign w:val="center"/>
          </w:tcPr>
          <w:p w14:paraId="5269CFE6">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tcBorders>
              <w:top w:val="nil"/>
              <w:bottom w:val="nil"/>
            </w:tcBorders>
            <w:vAlign w:val="top"/>
          </w:tcPr>
          <w:p w14:paraId="6AAD5562">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vAlign w:val="top"/>
          </w:tcPr>
          <w:p w14:paraId="357BDB84">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3DB7D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700" w:type="dxa"/>
            <w:vMerge w:val="continue"/>
            <w:tcBorders>
              <w:top w:val="nil"/>
              <w:left w:val="single" w:color="auto" w:sz="4" w:space="0"/>
              <w:bottom w:val="nil"/>
            </w:tcBorders>
            <w:vAlign w:val="top"/>
          </w:tcPr>
          <w:p w14:paraId="33BF6038">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010D848C">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tcBorders>
              <w:top w:val="nil"/>
              <w:bottom w:val="nil"/>
            </w:tcBorders>
            <w:vAlign w:val="top"/>
          </w:tcPr>
          <w:p w14:paraId="56E31D3E">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top"/>
          </w:tcPr>
          <w:p w14:paraId="66523CBD">
            <w:pPr>
              <w:kinsoku w:val="0"/>
              <w:autoSpaceDE w:val="0"/>
              <w:autoSpaceDN w:val="0"/>
              <w:adjustRightInd w:val="0"/>
              <w:snapToGrid w:val="0"/>
              <w:spacing w:before="48" w:line="230"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按照消防规定对灭火</w:t>
            </w:r>
            <w:r>
              <w:rPr>
                <w:rFonts w:hint="eastAsia" w:ascii="仿宋" w:hAnsi="仿宋" w:eastAsia="仿宋" w:cs="仿宋"/>
                <w:snapToGrid w:val="0"/>
                <w:color w:val="000000"/>
                <w:spacing w:val="5"/>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器进行年检</w:t>
            </w:r>
          </w:p>
        </w:tc>
        <w:tc>
          <w:tcPr>
            <w:tcW w:w="684" w:type="dxa"/>
            <w:vAlign w:val="center"/>
          </w:tcPr>
          <w:p w14:paraId="20DC923C">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tcBorders>
              <w:top w:val="nil"/>
              <w:bottom w:val="nil"/>
            </w:tcBorders>
            <w:vAlign w:val="top"/>
          </w:tcPr>
          <w:p w14:paraId="0E7C3DBD">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vAlign w:val="top"/>
          </w:tcPr>
          <w:p w14:paraId="7FB2582F">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561C76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00" w:type="dxa"/>
            <w:vMerge w:val="continue"/>
            <w:tcBorders>
              <w:top w:val="nil"/>
              <w:left w:val="single" w:color="auto" w:sz="4" w:space="0"/>
              <w:bottom w:val="nil"/>
            </w:tcBorders>
            <w:vAlign w:val="top"/>
          </w:tcPr>
          <w:p w14:paraId="3F524460">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4665D7A6">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tcBorders>
              <w:top w:val="nil"/>
              <w:bottom w:val="nil"/>
            </w:tcBorders>
            <w:vAlign w:val="top"/>
          </w:tcPr>
          <w:p w14:paraId="7EDE70E2">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top"/>
          </w:tcPr>
          <w:p w14:paraId="4069CFB4">
            <w:pPr>
              <w:kinsoku w:val="0"/>
              <w:autoSpaceDE w:val="0"/>
              <w:autoSpaceDN w:val="0"/>
              <w:adjustRightInd w:val="0"/>
              <w:snapToGrid w:val="0"/>
              <w:spacing w:before="2" w:line="221"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配电室配备二氧化碳</w:t>
            </w:r>
            <w:r>
              <w:rPr>
                <w:rFonts w:hint="eastAsia" w:ascii="仿宋" w:hAnsi="仿宋" w:eastAsia="仿宋" w:cs="仿宋"/>
                <w:snapToGrid w:val="0"/>
                <w:color w:val="000000"/>
                <w:spacing w:val="7"/>
                <w:kern w:val="0"/>
                <w:sz w:val="24"/>
                <w:szCs w:val="24"/>
                <w:lang w:val="en-US" w:eastAsia="en-US" w:bidi="ar-SA"/>
              </w:rPr>
              <w:t xml:space="preserve"> </w:t>
            </w:r>
            <w:r>
              <w:rPr>
                <w:rFonts w:hint="eastAsia" w:ascii="仿宋" w:hAnsi="仿宋" w:eastAsia="仿宋" w:cs="仿宋"/>
                <w:snapToGrid w:val="0"/>
                <w:color w:val="000000"/>
                <w:spacing w:val="-5"/>
                <w:kern w:val="0"/>
                <w:sz w:val="24"/>
                <w:szCs w:val="24"/>
                <w:lang w:val="en-US" w:eastAsia="en-US" w:bidi="ar-SA"/>
              </w:rPr>
              <w:t>灭火器</w:t>
            </w:r>
          </w:p>
        </w:tc>
        <w:tc>
          <w:tcPr>
            <w:tcW w:w="684" w:type="dxa"/>
            <w:vAlign w:val="center"/>
          </w:tcPr>
          <w:p w14:paraId="4650DF56">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Merge w:val="continue"/>
            <w:tcBorders>
              <w:top w:val="nil"/>
            </w:tcBorders>
            <w:vAlign w:val="top"/>
          </w:tcPr>
          <w:p w14:paraId="6B70C470">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1063" w:type="dxa"/>
            <w:vAlign w:val="top"/>
          </w:tcPr>
          <w:p w14:paraId="0A906BBC">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07EE69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700" w:type="dxa"/>
            <w:vMerge w:val="continue"/>
            <w:tcBorders>
              <w:top w:val="nil"/>
              <w:left w:val="single" w:color="auto" w:sz="4" w:space="0"/>
              <w:bottom w:val="nil"/>
            </w:tcBorders>
            <w:vAlign w:val="top"/>
          </w:tcPr>
          <w:p w14:paraId="6EB00F87">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32720C3B">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Merge w:val="continue"/>
            <w:tcBorders>
              <w:top w:val="nil"/>
            </w:tcBorders>
            <w:vAlign w:val="top"/>
          </w:tcPr>
          <w:p w14:paraId="12BC76BE">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2781" w:type="dxa"/>
            <w:vAlign w:val="top"/>
          </w:tcPr>
          <w:p w14:paraId="5681CF49">
            <w:pPr>
              <w:kinsoku w:val="0"/>
              <w:autoSpaceDE w:val="0"/>
              <w:autoSpaceDN w:val="0"/>
              <w:adjustRightInd w:val="0"/>
              <w:snapToGrid w:val="0"/>
              <w:spacing w:before="73" w:line="230"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灭火器按规定定期进</w:t>
            </w:r>
            <w:r>
              <w:rPr>
                <w:rFonts w:hint="eastAsia" w:ascii="仿宋" w:hAnsi="仿宋" w:eastAsia="仿宋" w:cs="仿宋"/>
                <w:snapToGrid w:val="0"/>
                <w:color w:val="000000"/>
                <w:spacing w:val="3"/>
                <w:kern w:val="0"/>
                <w:sz w:val="24"/>
                <w:szCs w:val="24"/>
                <w:lang w:val="en-US" w:eastAsia="en-US" w:bidi="ar-SA"/>
              </w:rPr>
              <w:t xml:space="preserve"> </w:t>
            </w:r>
            <w:r>
              <w:rPr>
                <w:rFonts w:hint="eastAsia" w:ascii="仿宋" w:hAnsi="仿宋" w:eastAsia="仿宋" w:cs="仿宋"/>
                <w:snapToGrid w:val="0"/>
                <w:color w:val="000000"/>
                <w:spacing w:val="-5"/>
                <w:kern w:val="0"/>
                <w:sz w:val="24"/>
                <w:szCs w:val="24"/>
                <w:lang w:val="en-US" w:eastAsia="en-US" w:bidi="ar-SA"/>
              </w:rPr>
              <w:t>行维保</w:t>
            </w:r>
          </w:p>
        </w:tc>
        <w:tc>
          <w:tcPr>
            <w:tcW w:w="684" w:type="dxa"/>
            <w:vAlign w:val="center"/>
          </w:tcPr>
          <w:p w14:paraId="16AD3561">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3</w:t>
            </w:r>
          </w:p>
        </w:tc>
        <w:tc>
          <w:tcPr>
            <w:tcW w:w="1847" w:type="dxa"/>
            <w:vAlign w:val="top"/>
          </w:tcPr>
          <w:p w14:paraId="44A3474E">
            <w:pPr>
              <w:kinsoku w:val="0"/>
              <w:autoSpaceDE w:val="0"/>
              <w:autoSpaceDN w:val="0"/>
              <w:adjustRightInd w:val="0"/>
              <w:snapToGrid w:val="0"/>
              <w:spacing w:before="229"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查看登记记录</w:t>
            </w:r>
          </w:p>
        </w:tc>
        <w:tc>
          <w:tcPr>
            <w:tcW w:w="1063" w:type="dxa"/>
            <w:vAlign w:val="top"/>
          </w:tcPr>
          <w:p w14:paraId="103C3F1C">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6A7F7B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700" w:type="dxa"/>
            <w:vMerge w:val="continue"/>
            <w:tcBorders>
              <w:top w:val="nil"/>
              <w:left w:val="single" w:color="auto" w:sz="4" w:space="0"/>
              <w:bottom w:val="nil"/>
            </w:tcBorders>
            <w:vAlign w:val="top"/>
          </w:tcPr>
          <w:p w14:paraId="3B8D6F86">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bottom w:val="nil"/>
            </w:tcBorders>
            <w:vAlign w:val="top"/>
          </w:tcPr>
          <w:p w14:paraId="0D933545">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Align w:val="center"/>
          </w:tcPr>
          <w:p w14:paraId="302398A6">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防排烟系统</w:t>
            </w:r>
          </w:p>
        </w:tc>
        <w:tc>
          <w:tcPr>
            <w:tcW w:w="2781" w:type="dxa"/>
            <w:vAlign w:val="top"/>
          </w:tcPr>
          <w:p w14:paraId="670B3581">
            <w:pPr>
              <w:kinsoku w:val="0"/>
              <w:autoSpaceDE w:val="0"/>
              <w:autoSpaceDN w:val="0"/>
              <w:adjustRightInd w:val="0"/>
              <w:snapToGrid w:val="0"/>
              <w:spacing w:before="1" w:line="225"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防排烟系统使用状态</w:t>
            </w:r>
            <w:r>
              <w:rPr>
                <w:rFonts w:hint="eastAsia" w:ascii="仿宋" w:hAnsi="仿宋" w:eastAsia="仿宋" w:cs="仿宋"/>
                <w:snapToGrid w:val="0"/>
                <w:color w:val="000000"/>
                <w:spacing w:val="1"/>
                <w:kern w:val="0"/>
                <w:sz w:val="24"/>
                <w:szCs w:val="24"/>
                <w:lang w:val="en-US" w:eastAsia="en-US" w:bidi="ar-SA"/>
              </w:rPr>
              <w:t xml:space="preserve"> </w:t>
            </w:r>
            <w:r>
              <w:rPr>
                <w:rFonts w:hint="eastAsia" w:ascii="仿宋" w:hAnsi="仿宋" w:eastAsia="仿宋" w:cs="仿宋"/>
                <w:snapToGrid w:val="0"/>
                <w:color w:val="000000"/>
                <w:spacing w:val="-8"/>
                <w:kern w:val="0"/>
                <w:sz w:val="24"/>
                <w:szCs w:val="24"/>
                <w:lang w:val="en-US" w:eastAsia="en-US" w:bidi="ar-SA"/>
              </w:rPr>
              <w:t>正常</w:t>
            </w:r>
          </w:p>
        </w:tc>
        <w:tc>
          <w:tcPr>
            <w:tcW w:w="684" w:type="dxa"/>
            <w:vAlign w:val="center"/>
          </w:tcPr>
          <w:p w14:paraId="0C316F5E">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3</w:t>
            </w:r>
          </w:p>
        </w:tc>
        <w:tc>
          <w:tcPr>
            <w:tcW w:w="1847" w:type="dxa"/>
            <w:vAlign w:val="top"/>
          </w:tcPr>
          <w:p w14:paraId="6AFF3A34">
            <w:pPr>
              <w:kinsoku w:val="0"/>
              <w:autoSpaceDE w:val="0"/>
              <w:autoSpaceDN w:val="0"/>
              <w:adjustRightInd w:val="0"/>
              <w:snapToGrid w:val="0"/>
              <w:spacing w:before="144"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6DEB8DEF">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13FA7E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0" w:hRule="atLeast"/>
        </w:trPr>
        <w:tc>
          <w:tcPr>
            <w:tcW w:w="700" w:type="dxa"/>
            <w:vMerge w:val="continue"/>
            <w:tcBorders>
              <w:top w:val="nil"/>
              <w:left w:val="single" w:color="auto" w:sz="4" w:space="0"/>
            </w:tcBorders>
            <w:vAlign w:val="top"/>
          </w:tcPr>
          <w:p w14:paraId="4FAD7AC9">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tcBorders>
            <w:vAlign w:val="top"/>
          </w:tcPr>
          <w:p w14:paraId="4F5B7E15">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Align w:val="center"/>
          </w:tcPr>
          <w:p w14:paraId="5270B600">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其他附属 设施</w:t>
            </w:r>
          </w:p>
        </w:tc>
        <w:tc>
          <w:tcPr>
            <w:tcW w:w="2781" w:type="dxa"/>
            <w:vAlign w:val="top"/>
          </w:tcPr>
          <w:p w14:paraId="6091E788">
            <w:pPr>
              <w:kinsoku w:val="0"/>
              <w:autoSpaceDE w:val="0"/>
              <w:autoSpaceDN w:val="0"/>
              <w:adjustRightInd w:val="0"/>
              <w:snapToGrid w:val="0"/>
              <w:spacing w:before="1" w:line="230" w:lineRule="auto"/>
              <w:ind w:left="0" w:leftChars="0" w:right="22"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2"/>
                <w:kern w:val="0"/>
                <w:sz w:val="24"/>
                <w:szCs w:val="24"/>
                <w:lang w:val="en-US" w:eastAsia="en-US" w:bidi="ar-SA"/>
              </w:rPr>
              <w:t xml:space="preserve">水泵、阀门、防火卷帘 </w:t>
            </w:r>
            <w:r>
              <w:rPr>
                <w:rFonts w:hint="eastAsia" w:ascii="仿宋" w:hAnsi="仿宋" w:eastAsia="仿宋" w:cs="仿宋"/>
                <w:snapToGrid w:val="0"/>
                <w:color w:val="000000"/>
                <w:spacing w:val="-25"/>
                <w:kern w:val="0"/>
                <w:sz w:val="24"/>
                <w:szCs w:val="24"/>
                <w:lang w:val="en-US" w:eastAsia="en-US" w:bidi="ar-SA"/>
              </w:rPr>
              <w:t>门、防火门，疏散通道、</w:t>
            </w:r>
            <w:r>
              <w:rPr>
                <w:rFonts w:hint="eastAsia" w:ascii="仿宋" w:hAnsi="仿宋" w:eastAsia="仿宋" w:cs="仿宋"/>
                <w:snapToGrid w:val="0"/>
                <w:color w:val="000000"/>
                <w:spacing w:val="8"/>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应急通道等</w:t>
            </w:r>
          </w:p>
        </w:tc>
        <w:tc>
          <w:tcPr>
            <w:tcW w:w="684" w:type="dxa"/>
            <w:vAlign w:val="center"/>
          </w:tcPr>
          <w:p w14:paraId="5742A3F7">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Align w:val="top"/>
          </w:tcPr>
          <w:p w14:paraId="5651AC37">
            <w:pPr>
              <w:kinsoku w:val="0"/>
              <w:autoSpaceDE w:val="0"/>
              <w:autoSpaceDN w:val="0"/>
              <w:adjustRightInd w:val="0"/>
              <w:snapToGrid w:val="0"/>
              <w:spacing w:before="301"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4F35069B">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53B88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700" w:type="dxa"/>
            <w:vMerge w:val="restart"/>
            <w:tcBorders>
              <w:bottom w:val="nil"/>
            </w:tcBorders>
            <w:vAlign w:val="center"/>
          </w:tcPr>
          <w:p w14:paraId="5D120908">
            <w:pPr>
              <w:keepNext w:val="0"/>
              <w:keepLines w:val="0"/>
              <w:pageBreakBefore w:val="0"/>
              <w:widowControl/>
              <w:kinsoku w:val="0"/>
              <w:wordWrap/>
              <w:overflowPunct/>
              <w:topLinePunct w:val="0"/>
              <w:autoSpaceDE w:val="0"/>
              <w:autoSpaceDN w:val="0"/>
              <w:bidi w:val="0"/>
              <w:adjustRightInd w:val="0"/>
              <w:snapToGrid w:val="0"/>
              <w:spacing w:before="201" w:line="240" w:lineRule="exact"/>
              <w:ind w:left="0" w:leftChars="0" w:right="127" w:firstLine="0" w:firstLineChars="0"/>
              <w:jc w:val="center"/>
              <w:textAlignment w:val="baseline"/>
              <w:rPr>
                <w:rFonts w:hint="eastAsia" w:ascii="仿宋" w:hAnsi="仿宋" w:eastAsia="仿宋" w:cs="仿宋"/>
                <w:snapToGrid w:val="0"/>
                <w:color w:val="000000"/>
                <w:spacing w:val="-4"/>
                <w:kern w:val="0"/>
                <w:sz w:val="24"/>
                <w:szCs w:val="24"/>
                <w:lang w:val="en-US" w:eastAsia="en-US" w:bidi="ar-SA"/>
              </w:rPr>
            </w:pPr>
            <w:r>
              <w:rPr>
                <w:rFonts w:hint="eastAsia" w:ascii="仿宋" w:hAnsi="仿宋" w:eastAsia="仿宋" w:cs="仿宋"/>
                <w:snapToGrid w:val="0"/>
                <w:color w:val="000000"/>
                <w:spacing w:val="-4"/>
                <w:kern w:val="0"/>
                <w:sz w:val="24"/>
                <w:szCs w:val="24"/>
                <w:lang w:val="en-US" w:eastAsia="en-US" w:bidi="ar-SA"/>
              </w:rPr>
              <w:t>4</w:t>
            </w:r>
          </w:p>
        </w:tc>
        <w:tc>
          <w:tcPr>
            <w:tcW w:w="814" w:type="dxa"/>
            <w:vMerge w:val="restart"/>
            <w:tcBorders>
              <w:bottom w:val="nil"/>
            </w:tcBorders>
            <w:vAlign w:val="center"/>
          </w:tcPr>
          <w:p w14:paraId="5D3FDB32">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装饰</w:t>
            </w:r>
          </w:p>
          <w:p w14:paraId="2AA580B6">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装修</w:t>
            </w:r>
          </w:p>
        </w:tc>
        <w:tc>
          <w:tcPr>
            <w:tcW w:w="1245" w:type="dxa"/>
            <w:vAlign w:val="center"/>
          </w:tcPr>
          <w:p w14:paraId="653ABF2A">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装修设计</w:t>
            </w:r>
          </w:p>
        </w:tc>
        <w:tc>
          <w:tcPr>
            <w:tcW w:w="2781" w:type="dxa"/>
            <w:vAlign w:val="top"/>
          </w:tcPr>
          <w:p w14:paraId="4F59BF65">
            <w:pPr>
              <w:kinsoku w:val="0"/>
              <w:autoSpaceDE w:val="0"/>
              <w:autoSpaceDN w:val="0"/>
              <w:adjustRightInd w:val="0"/>
              <w:snapToGrid w:val="0"/>
              <w:spacing w:before="103" w:line="229" w:lineRule="auto"/>
              <w:ind w:left="0" w:leftChars="0" w:right="247"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按照入住单位要求进</w:t>
            </w:r>
            <w:r>
              <w:rPr>
                <w:rFonts w:hint="eastAsia" w:ascii="仿宋" w:hAnsi="仿宋" w:eastAsia="仿宋" w:cs="仿宋"/>
                <w:snapToGrid w:val="0"/>
                <w:color w:val="000000"/>
                <w:spacing w:val="5"/>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行装修设计、施工</w:t>
            </w:r>
          </w:p>
        </w:tc>
        <w:tc>
          <w:tcPr>
            <w:tcW w:w="684" w:type="dxa"/>
            <w:vAlign w:val="center"/>
          </w:tcPr>
          <w:p w14:paraId="1EA09F35">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Align w:val="top"/>
          </w:tcPr>
          <w:p w14:paraId="20832D33">
            <w:pPr>
              <w:kinsoku w:val="0"/>
              <w:autoSpaceDE w:val="0"/>
              <w:autoSpaceDN w:val="0"/>
              <w:adjustRightInd w:val="0"/>
              <w:snapToGrid w:val="0"/>
              <w:spacing w:before="258"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0E87ECF7">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2F144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6" w:hRule="atLeast"/>
        </w:trPr>
        <w:tc>
          <w:tcPr>
            <w:tcW w:w="700" w:type="dxa"/>
            <w:vMerge w:val="continue"/>
            <w:tcBorders>
              <w:top w:val="nil"/>
            </w:tcBorders>
            <w:vAlign w:val="center"/>
          </w:tcPr>
          <w:p w14:paraId="7053E465">
            <w:pPr>
              <w:kinsoku w:val="0"/>
              <w:autoSpaceDE w:val="0"/>
              <w:autoSpaceDN w:val="0"/>
              <w:adjustRightInd w:val="0"/>
              <w:snapToGrid w:val="0"/>
              <w:spacing w:line="240" w:lineRule="auto"/>
              <w:jc w:val="center"/>
              <w:textAlignment w:val="baseline"/>
              <w:rPr>
                <w:rFonts w:hint="eastAsia" w:ascii="仿宋" w:hAnsi="仿宋" w:eastAsia="仿宋" w:cs="仿宋"/>
                <w:snapToGrid w:val="0"/>
                <w:color w:val="000000"/>
                <w:kern w:val="0"/>
                <w:sz w:val="21"/>
                <w:szCs w:val="21"/>
                <w:lang w:eastAsia="en-US"/>
              </w:rPr>
            </w:pPr>
          </w:p>
        </w:tc>
        <w:tc>
          <w:tcPr>
            <w:tcW w:w="814" w:type="dxa"/>
            <w:vMerge w:val="continue"/>
            <w:tcBorders>
              <w:top w:val="nil"/>
            </w:tcBorders>
            <w:vAlign w:val="center"/>
          </w:tcPr>
          <w:p w14:paraId="2C16F1F4">
            <w:pPr>
              <w:keepNext w:val="0"/>
              <w:keepLines w:val="0"/>
              <w:pageBreakBefore w:val="0"/>
              <w:widowControl/>
              <w:kinsoku w:val="0"/>
              <w:wordWrap/>
              <w:overflowPunct/>
              <w:topLinePunct w:val="0"/>
              <w:autoSpaceDE w:val="0"/>
              <w:autoSpaceDN w:val="0"/>
              <w:bidi w:val="0"/>
              <w:adjustRightInd w:val="0"/>
              <w:snapToGrid w:val="0"/>
              <w:spacing w:before="36" w:line="240" w:lineRule="exact"/>
              <w:jc w:val="center"/>
              <w:textAlignment w:val="baseline"/>
              <w:rPr>
                <w:rFonts w:hint="eastAsia" w:ascii="仿宋" w:hAnsi="仿宋" w:eastAsia="仿宋" w:cs="仿宋"/>
                <w:snapToGrid w:val="0"/>
                <w:color w:val="000000"/>
                <w:spacing w:val="-3"/>
                <w:kern w:val="0"/>
                <w:sz w:val="24"/>
                <w:szCs w:val="24"/>
                <w:lang w:val="en-US" w:eastAsia="en-US" w:bidi="ar-SA"/>
              </w:rPr>
            </w:pPr>
          </w:p>
        </w:tc>
        <w:tc>
          <w:tcPr>
            <w:tcW w:w="1245" w:type="dxa"/>
            <w:vAlign w:val="center"/>
          </w:tcPr>
          <w:p w14:paraId="56950CFA">
            <w:pPr>
              <w:keepNext w:val="0"/>
              <w:keepLines w:val="0"/>
              <w:pageBreakBefore w:val="0"/>
              <w:widowControl/>
              <w:kinsoku w:val="0"/>
              <w:wordWrap/>
              <w:overflowPunct/>
              <w:topLinePunct w:val="0"/>
              <w:autoSpaceDE w:val="0"/>
              <w:autoSpaceDN w:val="0"/>
              <w:bidi w:val="0"/>
              <w:adjustRightInd w:val="0"/>
              <w:snapToGrid w:val="0"/>
              <w:spacing w:before="36" w:line="240" w:lineRule="exact"/>
              <w:ind w:left="0" w:leftChars="0" w:firstLine="0" w:firstLineChars="0"/>
              <w:jc w:val="center"/>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装修质量</w:t>
            </w:r>
          </w:p>
        </w:tc>
        <w:tc>
          <w:tcPr>
            <w:tcW w:w="2781" w:type="dxa"/>
            <w:vAlign w:val="center"/>
          </w:tcPr>
          <w:p w14:paraId="17F95CE7">
            <w:pPr>
              <w:kinsoku w:val="0"/>
              <w:autoSpaceDE w:val="0"/>
              <w:autoSpaceDN w:val="0"/>
              <w:adjustRightInd w:val="0"/>
              <w:snapToGrid w:val="0"/>
              <w:spacing w:before="78" w:line="230" w:lineRule="auto"/>
              <w:ind w:left="0" w:leftChars="0" w:right="103"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1"/>
                <w:kern w:val="0"/>
                <w:sz w:val="24"/>
                <w:szCs w:val="24"/>
                <w:lang w:val="en-US" w:eastAsia="en-US" w:bidi="ar-SA"/>
              </w:rPr>
              <w:t>装修质量良好、使用材</w:t>
            </w:r>
            <w:r>
              <w:rPr>
                <w:rFonts w:hint="eastAsia" w:ascii="仿宋" w:hAnsi="仿宋" w:eastAsia="仿宋" w:cs="仿宋"/>
                <w:snapToGrid w:val="0"/>
                <w:color w:val="000000"/>
                <w:spacing w:val="3"/>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料符合相关规定</w:t>
            </w:r>
          </w:p>
        </w:tc>
        <w:tc>
          <w:tcPr>
            <w:tcW w:w="684" w:type="dxa"/>
            <w:vAlign w:val="center"/>
          </w:tcPr>
          <w:p w14:paraId="50C01908">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Align w:val="top"/>
          </w:tcPr>
          <w:p w14:paraId="410AB9BF">
            <w:pPr>
              <w:kinsoku w:val="0"/>
              <w:autoSpaceDE w:val="0"/>
              <w:autoSpaceDN w:val="0"/>
              <w:adjustRightInd w:val="0"/>
              <w:snapToGrid w:val="0"/>
              <w:spacing w:before="24"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现场考核、查</w:t>
            </w:r>
            <w:r>
              <w:rPr>
                <w:rFonts w:hint="eastAsia" w:ascii="仿宋" w:hAnsi="仿宋" w:eastAsia="仿宋" w:cs="仿宋"/>
                <w:snapToGrid w:val="0"/>
                <w:color w:val="000000"/>
                <w:spacing w:val="-2"/>
                <w:kern w:val="0"/>
                <w:sz w:val="24"/>
                <w:szCs w:val="24"/>
                <w:lang w:val="en-US" w:eastAsia="en-US" w:bidi="ar-SA"/>
              </w:rPr>
              <w:t>看</w:t>
            </w:r>
            <w:r>
              <w:rPr>
                <w:rFonts w:hint="eastAsia" w:ascii="仿宋" w:hAnsi="仿宋" w:eastAsia="仿宋" w:cs="仿宋"/>
                <w:snapToGrid w:val="0"/>
                <w:color w:val="000000"/>
                <w:spacing w:val="-2"/>
                <w:kern w:val="0"/>
                <w:sz w:val="24"/>
                <w:szCs w:val="24"/>
                <w:lang w:val="en-US" w:eastAsia="zh-CN" w:bidi="ar-SA"/>
              </w:rPr>
              <w:t>相关</w:t>
            </w:r>
            <w:r>
              <w:rPr>
                <w:rFonts w:hint="eastAsia" w:ascii="仿宋" w:hAnsi="仿宋" w:eastAsia="仿宋" w:cs="仿宋"/>
                <w:snapToGrid w:val="0"/>
                <w:color w:val="000000"/>
                <w:spacing w:val="-2"/>
                <w:kern w:val="0"/>
                <w:sz w:val="24"/>
                <w:szCs w:val="24"/>
                <w:lang w:val="en-US" w:eastAsia="en-US" w:bidi="ar-SA"/>
              </w:rPr>
              <w:t>质检报告</w:t>
            </w:r>
            <w:r>
              <w:rPr>
                <w:rFonts w:hint="eastAsia" w:ascii="仿宋" w:hAnsi="仿宋" w:eastAsia="仿宋" w:cs="仿宋"/>
                <w:snapToGrid w:val="0"/>
                <w:color w:val="000000"/>
                <w:spacing w:val="-3"/>
                <w:kern w:val="0"/>
                <w:sz w:val="24"/>
                <w:szCs w:val="24"/>
                <w:lang w:val="en-US" w:eastAsia="en-US" w:bidi="ar-SA"/>
              </w:rPr>
              <w:t>及合格证</w:t>
            </w:r>
          </w:p>
        </w:tc>
        <w:tc>
          <w:tcPr>
            <w:tcW w:w="1063" w:type="dxa"/>
            <w:vAlign w:val="top"/>
          </w:tcPr>
          <w:p w14:paraId="26E01AC8">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7DDA3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00" w:type="dxa"/>
            <w:vAlign w:val="center"/>
          </w:tcPr>
          <w:p w14:paraId="3FE710F9">
            <w:pPr>
              <w:kinsoku w:val="0"/>
              <w:autoSpaceDE w:val="0"/>
              <w:autoSpaceDN w:val="0"/>
              <w:adjustRightInd w:val="0"/>
              <w:snapToGrid w:val="0"/>
              <w:spacing w:before="78" w:line="182"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5</w:t>
            </w:r>
          </w:p>
        </w:tc>
        <w:tc>
          <w:tcPr>
            <w:tcW w:w="2059" w:type="dxa"/>
            <w:gridSpan w:val="2"/>
            <w:vAlign w:val="center"/>
          </w:tcPr>
          <w:p w14:paraId="099130D1">
            <w:pPr>
              <w:keepNext w:val="0"/>
              <w:keepLines w:val="0"/>
              <w:pageBreakBefore w:val="0"/>
              <w:widowControl/>
              <w:kinsoku w:val="0"/>
              <w:wordWrap/>
              <w:overflowPunct/>
              <w:topLinePunct w:val="0"/>
              <w:autoSpaceDE w:val="0"/>
              <w:autoSpaceDN w:val="0"/>
              <w:bidi w:val="0"/>
              <w:adjustRightInd w:val="0"/>
              <w:snapToGrid w:val="0"/>
              <w:spacing w:before="36" w:line="240" w:lineRule="exact"/>
              <w:jc w:val="both"/>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家具配备</w:t>
            </w:r>
          </w:p>
        </w:tc>
        <w:tc>
          <w:tcPr>
            <w:tcW w:w="2781" w:type="dxa"/>
            <w:vAlign w:val="center"/>
          </w:tcPr>
          <w:p w14:paraId="1485C2EE">
            <w:pPr>
              <w:kinsoku w:val="0"/>
              <w:autoSpaceDE w:val="0"/>
              <w:autoSpaceDN w:val="0"/>
              <w:adjustRightInd w:val="0"/>
              <w:snapToGrid w:val="0"/>
              <w:spacing w:before="33"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按照入住单位需求配</w:t>
            </w:r>
            <w:r>
              <w:rPr>
                <w:rFonts w:hint="eastAsia" w:ascii="仿宋" w:hAnsi="仿宋" w:eastAsia="仿宋" w:cs="仿宋"/>
                <w:snapToGrid w:val="0"/>
                <w:color w:val="000000"/>
                <w:spacing w:val="-11"/>
                <w:kern w:val="0"/>
                <w:sz w:val="24"/>
                <w:szCs w:val="24"/>
                <w:lang w:val="en-US" w:eastAsia="en-US" w:bidi="ar-SA"/>
              </w:rPr>
              <w:t>备家具，并能及时对损</w:t>
            </w:r>
            <w:r>
              <w:rPr>
                <w:rFonts w:hint="eastAsia" w:ascii="仿宋" w:hAnsi="仿宋" w:eastAsia="仿宋" w:cs="仿宋"/>
                <w:snapToGrid w:val="0"/>
                <w:color w:val="000000"/>
                <w:spacing w:val="-2"/>
                <w:kern w:val="0"/>
                <w:sz w:val="24"/>
                <w:szCs w:val="24"/>
                <w:lang w:val="en-US" w:eastAsia="en-US" w:bidi="ar-SA"/>
              </w:rPr>
              <w:t>坏家具进行维修</w:t>
            </w:r>
          </w:p>
        </w:tc>
        <w:tc>
          <w:tcPr>
            <w:tcW w:w="684" w:type="dxa"/>
            <w:vAlign w:val="center"/>
          </w:tcPr>
          <w:p w14:paraId="022D46E0">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2</w:t>
            </w:r>
          </w:p>
        </w:tc>
        <w:tc>
          <w:tcPr>
            <w:tcW w:w="1847" w:type="dxa"/>
            <w:vAlign w:val="top"/>
          </w:tcPr>
          <w:p w14:paraId="2DED70E5">
            <w:pPr>
              <w:kinsoku w:val="0"/>
              <w:autoSpaceDE w:val="0"/>
              <w:autoSpaceDN w:val="0"/>
              <w:adjustRightInd w:val="0"/>
              <w:snapToGrid w:val="0"/>
              <w:spacing w:before="186" w:line="230" w:lineRule="auto"/>
              <w:ind w:left="0" w:leftChars="0" w:right="104"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现场考核、查看维修记录</w:t>
            </w:r>
          </w:p>
        </w:tc>
        <w:tc>
          <w:tcPr>
            <w:tcW w:w="1063" w:type="dxa"/>
            <w:vAlign w:val="top"/>
          </w:tcPr>
          <w:p w14:paraId="4D3BA5F6">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69809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700" w:type="dxa"/>
            <w:vAlign w:val="center"/>
          </w:tcPr>
          <w:p w14:paraId="200183E3">
            <w:pPr>
              <w:kinsoku w:val="0"/>
              <w:autoSpaceDE w:val="0"/>
              <w:autoSpaceDN w:val="0"/>
              <w:adjustRightInd w:val="0"/>
              <w:snapToGrid w:val="0"/>
              <w:spacing w:before="231" w:line="183"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kern w:val="0"/>
                <w:sz w:val="24"/>
                <w:szCs w:val="24"/>
                <w:lang w:val="en-US" w:eastAsia="en-US" w:bidi="ar-SA"/>
              </w:rPr>
              <w:t>6</w:t>
            </w:r>
          </w:p>
        </w:tc>
        <w:tc>
          <w:tcPr>
            <w:tcW w:w="2059" w:type="dxa"/>
            <w:gridSpan w:val="2"/>
            <w:vAlign w:val="center"/>
          </w:tcPr>
          <w:p w14:paraId="7D4966A2">
            <w:pPr>
              <w:keepNext w:val="0"/>
              <w:keepLines w:val="0"/>
              <w:pageBreakBefore w:val="0"/>
              <w:widowControl/>
              <w:kinsoku w:val="0"/>
              <w:wordWrap/>
              <w:overflowPunct/>
              <w:topLinePunct w:val="0"/>
              <w:autoSpaceDE w:val="0"/>
              <w:autoSpaceDN w:val="0"/>
              <w:bidi w:val="0"/>
              <w:adjustRightInd w:val="0"/>
              <w:snapToGrid w:val="0"/>
              <w:spacing w:before="36" w:line="240" w:lineRule="exact"/>
              <w:jc w:val="both"/>
              <w:textAlignment w:val="baseline"/>
              <w:rPr>
                <w:rFonts w:hint="eastAsia" w:ascii="仿宋" w:hAnsi="仿宋" w:eastAsia="仿宋" w:cs="仿宋"/>
                <w:snapToGrid w:val="0"/>
                <w:color w:val="000000"/>
                <w:spacing w:val="-3"/>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照明设施</w:t>
            </w:r>
          </w:p>
        </w:tc>
        <w:tc>
          <w:tcPr>
            <w:tcW w:w="2781" w:type="dxa"/>
            <w:vAlign w:val="center"/>
          </w:tcPr>
          <w:p w14:paraId="531C09DD">
            <w:pPr>
              <w:kinsoku w:val="0"/>
              <w:autoSpaceDE w:val="0"/>
              <w:autoSpaceDN w:val="0"/>
              <w:adjustRightInd w:val="0"/>
              <w:snapToGrid w:val="0"/>
              <w:spacing w:before="36" w:line="224" w:lineRule="auto"/>
              <w:ind w:left="0" w:leftChars="0" w:right="175"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租赁区内照明设施完</w:t>
            </w:r>
            <w:r>
              <w:rPr>
                <w:rFonts w:hint="eastAsia" w:ascii="仿宋" w:hAnsi="仿宋" w:eastAsia="仿宋" w:cs="仿宋"/>
                <w:snapToGrid w:val="0"/>
                <w:color w:val="000000"/>
                <w:spacing w:val="5"/>
                <w:kern w:val="0"/>
                <w:sz w:val="24"/>
                <w:szCs w:val="24"/>
                <w:lang w:val="en-US" w:eastAsia="en-US" w:bidi="ar-SA"/>
              </w:rPr>
              <w:t xml:space="preserve"> </w:t>
            </w:r>
            <w:r>
              <w:rPr>
                <w:rFonts w:hint="eastAsia" w:ascii="仿宋" w:hAnsi="仿宋" w:eastAsia="仿宋" w:cs="仿宋"/>
                <w:snapToGrid w:val="0"/>
                <w:color w:val="000000"/>
                <w:spacing w:val="-3"/>
                <w:kern w:val="0"/>
                <w:sz w:val="24"/>
                <w:szCs w:val="24"/>
                <w:lang w:val="en-US" w:eastAsia="en-US" w:bidi="ar-SA"/>
              </w:rPr>
              <w:t>好率不低于</w:t>
            </w:r>
            <w:r>
              <w:rPr>
                <w:rFonts w:hint="eastAsia" w:ascii="仿宋" w:hAnsi="仿宋" w:eastAsia="仿宋" w:cs="仿宋"/>
                <w:snapToGrid w:val="0"/>
                <w:color w:val="000000"/>
                <w:spacing w:val="-47"/>
                <w:kern w:val="0"/>
                <w:sz w:val="24"/>
                <w:szCs w:val="24"/>
                <w:lang w:val="en-US" w:eastAsia="en-US" w:bidi="ar-SA"/>
              </w:rPr>
              <w:t xml:space="preserve"> </w:t>
            </w:r>
            <w:r>
              <w:rPr>
                <w:rFonts w:hint="eastAsia" w:ascii="仿宋" w:hAnsi="仿宋" w:eastAsia="仿宋" w:cs="仿宋"/>
                <w:snapToGrid w:val="0"/>
                <w:color w:val="000000"/>
                <w:spacing w:val="-3"/>
                <w:kern w:val="0"/>
                <w:sz w:val="24"/>
                <w:szCs w:val="24"/>
                <w:lang w:val="en-US" w:eastAsia="en-US" w:bidi="ar-SA"/>
              </w:rPr>
              <w:t>95%</w:t>
            </w:r>
          </w:p>
        </w:tc>
        <w:tc>
          <w:tcPr>
            <w:tcW w:w="684" w:type="dxa"/>
            <w:vAlign w:val="center"/>
          </w:tcPr>
          <w:p w14:paraId="6389B29D">
            <w:pPr>
              <w:kinsoku w:val="0"/>
              <w:autoSpaceDE w:val="0"/>
              <w:autoSpaceDN w:val="0"/>
              <w:adjustRightInd w:val="0"/>
              <w:snapToGrid w:val="0"/>
              <w:spacing w:before="37" w:line="230" w:lineRule="auto"/>
              <w:ind w:left="0" w:leftChars="0" w:right="247" w:firstLine="0" w:firstLineChars="0"/>
              <w:jc w:val="center"/>
              <w:textAlignment w:val="baseline"/>
              <w:rPr>
                <w:rFonts w:hint="eastAsia" w:ascii="仿宋" w:hAnsi="仿宋" w:eastAsia="仿宋" w:cs="仿宋"/>
                <w:snapToGrid w:val="0"/>
                <w:color w:val="000000"/>
                <w:spacing w:val="-2"/>
                <w:kern w:val="0"/>
                <w:sz w:val="24"/>
                <w:szCs w:val="24"/>
                <w:lang w:val="en-US" w:eastAsia="en-US" w:bidi="ar-SA"/>
              </w:rPr>
            </w:pPr>
            <w:r>
              <w:rPr>
                <w:rFonts w:hint="eastAsia" w:ascii="仿宋" w:hAnsi="仿宋" w:eastAsia="仿宋" w:cs="仿宋"/>
                <w:snapToGrid w:val="0"/>
                <w:color w:val="000000"/>
                <w:spacing w:val="-2"/>
                <w:kern w:val="0"/>
                <w:sz w:val="24"/>
                <w:szCs w:val="24"/>
                <w:lang w:val="en-US" w:eastAsia="en-US" w:bidi="ar-SA"/>
              </w:rPr>
              <w:t>4</w:t>
            </w:r>
          </w:p>
        </w:tc>
        <w:tc>
          <w:tcPr>
            <w:tcW w:w="1847" w:type="dxa"/>
            <w:vAlign w:val="top"/>
          </w:tcPr>
          <w:p w14:paraId="3FE86686">
            <w:pPr>
              <w:kinsoku w:val="0"/>
              <w:autoSpaceDE w:val="0"/>
              <w:autoSpaceDN w:val="0"/>
              <w:adjustRightInd w:val="0"/>
              <w:snapToGrid w:val="0"/>
              <w:spacing w:before="194" w:line="219" w:lineRule="auto"/>
              <w:ind w:left="0" w:lef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现场考核</w:t>
            </w:r>
          </w:p>
        </w:tc>
        <w:tc>
          <w:tcPr>
            <w:tcW w:w="1063" w:type="dxa"/>
            <w:vAlign w:val="top"/>
          </w:tcPr>
          <w:p w14:paraId="10C481D0">
            <w:pPr>
              <w:kinsoku w:val="0"/>
              <w:autoSpaceDE w:val="0"/>
              <w:autoSpaceDN w:val="0"/>
              <w:adjustRightInd w:val="0"/>
              <w:snapToGrid w:val="0"/>
              <w:spacing w:line="240" w:lineRule="auto"/>
              <w:jc w:val="left"/>
              <w:textAlignment w:val="baseline"/>
              <w:rPr>
                <w:rFonts w:hint="eastAsia" w:ascii="仿宋" w:hAnsi="仿宋" w:eastAsia="仿宋" w:cs="仿宋"/>
                <w:snapToGrid w:val="0"/>
                <w:color w:val="000000"/>
                <w:kern w:val="0"/>
                <w:sz w:val="21"/>
                <w:szCs w:val="21"/>
                <w:lang w:eastAsia="en-US"/>
              </w:rPr>
            </w:pPr>
          </w:p>
        </w:tc>
      </w:tr>
      <w:tr w14:paraId="77FE2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759" w:type="dxa"/>
            <w:gridSpan w:val="3"/>
            <w:vAlign w:val="center"/>
          </w:tcPr>
          <w:p w14:paraId="1EF5EDA2">
            <w:pPr>
              <w:kinsoku w:val="0"/>
              <w:autoSpaceDE w:val="0"/>
              <w:autoSpaceDN w:val="0"/>
              <w:adjustRightInd w:val="0"/>
              <w:snapToGrid w:val="0"/>
              <w:spacing w:before="194" w:line="219" w:lineRule="auto"/>
              <w:jc w:val="center"/>
              <w:textAlignment w:val="baseline"/>
              <w:rPr>
                <w:rFonts w:hint="eastAsia" w:ascii="仿宋" w:hAnsi="仿宋" w:eastAsia="仿宋" w:cs="仿宋"/>
                <w:snapToGrid w:val="0"/>
                <w:color w:val="000000"/>
                <w:spacing w:val="-11"/>
                <w:kern w:val="0"/>
                <w:sz w:val="24"/>
                <w:szCs w:val="24"/>
                <w:lang w:val="en-US" w:eastAsia="zh-CN" w:bidi="ar-SA"/>
              </w:rPr>
            </w:pPr>
            <w:r>
              <w:rPr>
                <w:rFonts w:hint="eastAsia" w:ascii="仿宋" w:hAnsi="仿宋" w:eastAsia="仿宋" w:cs="仿宋"/>
                <w:snapToGrid w:val="0"/>
                <w:color w:val="000000"/>
                <w:spacing w:val="-11"/>
                <w:kern w:val="0"/>
                <w:sz w:val="24"/>
                <w:szCs w:val="24"/>
                <w:lang w:val="en-US" w:eastAsia="zh-CN" w:bidi="ar-SA"/>
              </w:rPr>
              <w:t>备  注</w:t>
            </w:r>
          </w:p>
        </w:tc>
        <w:tc>
          <w:tcPr>
            <w:tcW w:w="6375" w:type="dxa"/>
            <w:gridSpan w:val="4"/>
            <w:vAlign w:val="top"/>
          </w:tcPr>
          <w:p w14:paraId="75F93B7E">
            <w:pPr>
              <w:keepNext w:val="0"/>
              <w:keepLines w:val="0"/>
              <w:pageBreakBefore w:val="0"/>
              <w:widowControl/>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仿宋" w:hAnsi="仿宋" w:eastAsia="仿宋" w:cs="仿宋"/>
                <w:snapToGrid w:val="0"/>
                <w:color w:val="000000"/>
                <w:spacing w:val="-11"/>
                <w:kern w:val="0"/>
                <w:sz w:val="24"/>
                <w:szCs w:val="24"/>
                <w:lang w:val="en-US" w:eastAsia="zh-CN" w:bidi="ar-SA"/>
              </w:rPr>
            </w:pPr>
            <w:r>
              <w:rPr>
                <w:rFonts w:hint="eastAsia" w:ascii="仿宋" w:hAnsi="仿宋" w:eastAsia="仿宋" w:cs="仿宋"/>
                <w:snapToGrid w:val="0"/>
                <w:color w:val="000000"/>
                <w:spacing w:val="-11"/>
                <w:kern w:val="0"/>
                <w:sz w:val="24"/>
                <w:szCs w:val="24"/>
                <w:lang w:val="en-US" w:eastAsia="en-US" w:bidi="ar-SA"/>
              </w:rPr>
              <w:t>每次</w:t>
            </w:r>
            <w:r>
              <w:rPr>
                <w:rFonts w:hint="eastAsia" w:ascii="仿宋" w:hAnsi="仿宋" w:eastAsia="仿宋" w:cs="仿宋"/>
                <w:snapToGrid w:val="0"/>
                <w:color w:val="000000"/>
                <w:spacing w:val="-11"/>
                <w:kern w:val="0"/>
                <w:sz w:val="24"/>
                <w:szCs w:val="24"/>
                <w:lang w:val="en-US" w:eastAsia="zh-CN" w:bidi="ar-SA"/>
              </w:rPr>
              <w:t>考核，</w:t>
            </w:r>
            <w:r>
              <w:rPr>
                <w:rFonts w:hint="eastAsia" w:ascii="仿宋" w:hAnsi="仿宋" w:eastAsia="仿宋" w:cs="仿宋"/>
                <w:snapToGrid w:val="0"/>
                <w:color w:val="000000"/>
                <w:spacing w:val="-11"/>
                <w:kern w:val="0"/>
                <w:sz w:val="24"/>
                <w:szCs w:val="24"/>
                <w:lang w:val="en-US" w:eastAsia="en-US" w:bidi="ar-SA"/>
              </w:rPr>
              <w:t>考核得分</w:t>
            </w:r>
            <w:r>
              <w:rPr>
                <w:rFonts w:hint="eastAsia" w:ascii="仿宋" w:hAnsi="仿宋" w:eastAsia="仿宋" w:cs="仿宋"/>
                <w:snapToGrid w:val="0"/>
                <w:color w:val="000000"/>
                <w:spacing w:val="-11"/>
                <w:kern w:val="0"/>
                <w:sz w:val="24"/>
                <w:szCs w:val="24"/>
                <w:lang w:val="en-US" w:eastAsia="zh-CN" w:bidi="ar-SA"/>
              </w:rPr>
              <w:t>＞</w:t>
            </w:r>
            <w:r>
              <w:rPr>
                <w:rFonts w:hint="eastAsia" w:ascii="仿宋" w:hAnsi="仿宋" w:eastAsia="仿宋" w:cs="仿宋"/>
                <w:snapToGrid w:val="0"/>
                <w:color w:val="000000"/>
                <w:spacing w:val="-11"/>
                <w:kern w:val="0"/>
                <w:sz w:val="24"/>
                <w:szCs w:val="24"/>
                <w:lang w:val="en-US" w:eastAsia="en-US" w:bidi="ar-SA"/>
              </w:rPr>
              <w:t>95分时</w:t>
            </w:r>
            <w:r>
              <w:rPr>
                <w:rFonts w:hint="eastAsia" w:ascii="仿宋" w:hAnsi="仿宋" w:eastAsia="仿宋" w:cs="仿宋"/>
                <w:snapToGrid w:val="0"/>
                <w:color w:val="000000"/>
                <w:spacing w:val="-11"/>
                <w:kern w:val="0"/>
                <w:sz w:val="24"/>
                <w:szCs w:val="24"/>
                <w:lang w:val="en-US" w:eastAsia="zh-CN" w:bidi="ar-SA"/>
              </w:rPr>
              <w:t>，免于经济处罚，但</w:t>
            </w:r>
            <w:r>
              <w:rPr>
                <w:rFonts w:hint="eastAsia" w:ascii="仿宋" w:hAnsi="仿宋" w:eastAsia="仿宋" w:cs="仿宋"/>
                <w:snapToGrid w:val="0"/>
                <w:color w:val="000000"/>
                <w:spacing w:val="-11"/>
                <w:kern w:val="0"/>
                <w:sz w:val="24"/>
                <w:szCs w:val="24"/>
                <w:lang w:val="en-US" w:eastAsia="en-US" w:bidi="ar-SA"/>
              </w:rPr>
              <w:t>乙方</w:t>
            </w:r>
            <w:r>
              <w:rPr>
                <w:rFonts w:hint="eastAsia" w:ascii="仿宋" w:hAnsi="仿宋" w:eastAsia="仿宋" w:cs="仿宋"/>
                <w:snapToGrid w:val="0"/>
                <w:color w:val="000000"/>
                <w:spacing w:val="-11"/>
                <w:kern w:val="0"/>
                <w:sz w:val="24"/>
                <w:szCs w:val="24"/>
                <w:lang w:val="en-US" w:eastAsia="zh-CN" w:bidi="ar-SA"/>
              </w:rPr>
              <w:t>须按照</w:t>
            </w:r>
            <w:r>
              <w:rPr>
                <w:rFonts w:hint="eastAsia" w:ascii="仿宋" w:hAnsi="仿宋" w:eastAsia="仿宋" w:cs="仿宋"/>
                <w:snapToGrid w:val="0"/>
                <w:color w:val="000000"/>
                <w:spacing w:val="-11"/>
                <w:kern w:val="0"/>
                <w:sz w:val="24"/>
                <w:szCs w:val="24"/>
                <w:lang w:val="en-US" w:eastAsia="en-US" w:bidi="ar-SA"/>
              </w:rPr>
              <w:t>甲方要求对扣分项相应内容进行限时整改</w:t>
            </w:r>
            <w:r>
              <w:rPr>
                <w:rFonts w:hint="eastAsia" w:ascii="仿宋" w:hAnsi="仿宋" w:eastAsia="仿宋" w:cs="仿宋"/>
                <w:snapToGrid w:val="0"/>
                <w:color w:val="000000"/>
                <w:spacing w:val="-11"/>
                <w:kern w:val="0"/>
                <w:sz w:val="24"/>
                <w:szCs w:val="24"/>
                <w:lang w:val="en-US" w:eastAsia="zh-CN" w:bidi="ar-SA"/>
              </w:rPr>
              <w:t>；</w:t>
            </w:r>
            <w:r>
              <w:rPr>
                <w:rFonts w:hint="eastAsia" w:ascii="仿宋" w:hAnsi="仿宋" w:eastAsia="仿宋" w:cs="仿宋"/>
                <w:snapToGrid w:val="0"/>
                <w:color w:val="000000"/>
                <w:spacing w:val="-11"/>
                <w:kern w:val="0"/>
                <w:sz w:val="24"/>
                <w:szCs w:val="24"/>
                <w:lang w:val="en-US" w:eastAsia="en-US" w:bidi="ar-SA"/>
              </w:rPr>
              <w:t>考核得分</w:t>
            </w:r>
            <w:r>
              <w:rPr>
                <w:rFonts w:hint="eastAsia" w:ascii="仿宋" w:hAnsi="仿宋" w:eastAsia="仿宋" w:cs="仿宋"/>
                <w:snapToGrid w:val="0"/>
                <w:color w:val="000000"/>
                <w:spacing w:val="-11"/>
                <w:kern w:val="0"/>
                <w:sz w:val="24"/>
                <w:szCs w:val="24"/>
                <w:lang w:val="en-US" w:eastAsia="zh-CN" w:bidi="ar-SA"/>
              </w:rPr>
              <w:t>≤</w:t>
            </w:r>
            <w:r>
              <w:rPr>
                <w:rFonts w:hint="eastAsia" w:ascii="仿宋" w:hAnsi="仿宋" w:eastAsia="仿宋" w:cs="仿宋"/>
                <w:snapToGrid w:val="0"/>
                <w:color w:val="000000"/>
                <w:spacing w:val="-11"/>
                <w:kern w:val="0"/>
                <w:sz w:val="24"/>
                <w:szCs w:val="24"/>
                <w:lang w:val="en-US" w:eastAsia="en-US" w:bidi="ar-SA"/>
              </w:rPr>
              <w:t>95分时，甲方将在要求乙方对扣分项相应内容进行限时整改的同时，依据</w:t>
            </w:r>
            <w:r>
              <w:rPr>
                <w:rFonts w:hint="eastAsia" w:ascii="仿宋" w:hAnsi="仿宋" w:eastAsia="仿宋" w:cs="仿宋"/>
                <w:snapToGrid w:val="0"/>
                <w:color w:val="000000"/>
                <w:spacing w:val="-11"/>
                <w:kern w:val="0"/>
                <w:sz w:val="24"/>
                <w:szCs w:val="24"/>
                <w:lang w:val="en-US" w:eastAsia="zh-CN" w:bidi="ar-SA"/>
              </w:rPr>
              <w:t>合同</w:t>
            </w:r>
            <w:r>
              <w:rPr>
                <w:rFonts w:hint="eastAsia" w:ascii="仿宋" w:hAnsi="仿宋" w:eastAsia="仿宋" w:cs="仿宋"/>
                <w:snapToGrid w:val="0"/>
                <w:color w:val="000000"/>
                <w:spacing w:val="-11"/>
                <w:kern w:val="0"/>
                <w:sz w:val="24"/>
                <w:szCs w:val="24"/>
                <w:lang w:val="en-US" w:eastAsia="en-US" w:bidi="ar-SA"/>
              </w:rPr>
              <w:t>每分对应金额，对乙方进行经济处罚</w:t>
            </w:r>
            <w:r>
              <w:rPr>
                <w:rFonts w:hint="eastAsia" w:ascii="仿宋" w:hAnsi="仿宋" w:eastAsia="仿宋" w:cs="仿宋"/>
                <w:snapToGrid w:val="0"/>
                <w:color w:val="000000"/>
                <w:spacing w:val="-11"/>
                <w:kern w:val="0"/>
                <w:sz w:val="24"/>
                <w:szCs w:val="24"/>
                <w:lang w:val="en-US" w:eastAsia="zh-CN" w:bidi="ar-SA"/>
              </w:rPr>
              <w:t>。</w:t>
            </w:r>
          </w:p>
        </w:tc>
      </w:tr>
    </w:tbl>
    <w:p w14:paraId="5D74560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849F3"/>
    <w:rsid w:val="2C625DFB"/>
    <w:rsid w:val="44EE6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Times New Roman" w:hAnsi="Times New Roman" w:eastAsia="宋体" w:cs="Times New Roman"/>
    </w:rPr>
  </w:style>
  <w:style w:type="paragraph" w:styleId="3">
    <w:name w:val="Body Text Indent"/>
    <w:basedOn w:val="1"/>
    <w:qFormat/>
    <w:uiPriority w:val="0"/>
    <w:pPr>
      <w:ind w:firstLine="630"/>
    </w:pPr>
    <w:rPr>
      <w:rFonts w:ascii="Times New Roman" w:hAnsi="Times New Roman" w:eastAsia="宋体" w:cs="Times New Roman"/>
      <w:sz w:val="32"/>
      <w:szCs w:val="20"/>
    </w:rPr>
  </w:style>
  <w:style w:type="paragraph" w:styleId="4">
    <w:name w:val="Body Text"/>
    <w:basedOn w:val="1"/>
    <w:next w:val="1"/>
    <w:semiHidden/>
    <w:qFormat/>
    <w:uiPriority w:val="0"/>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w:basedOn w:val="1"/>
    <w:next w:val="1"/>
    <w:qFormat/>
    <w:uiPriority w:val="0"/>
    <w:pPr>
      <w:wordWrap w:val="0"/>
    </w:pPr>
  </w:style>
  <w:style w:type="character" w:customStyle="1" w:styleId="9">
    <w:name w:val="NormalCharacter"/>
    <w:qFormat/>
    <w:uiPriority w:val="0"/>
    <w:rPr>
      <w:rFonts w:ascii="Times New Roman" w:hAnsi="Times New Roman" w:eastAsia="宋体" w:cs="Calibri"/>
      <w:kern w:val="2"/>
      <w:sz w:val="24"/>
      <w:szCs w:val="21"/>
      <w:lang w:val="en-US" w:eastAsia="zh-CN" w:bidi="ar-SA"/>
    </w:rPr>
  </w:style>
  <w:style w:type="paragraph" w:customStyle="1" w:styleId="10">
    <w:name w:val="正文 A"/>
    <w:qFormat/>
    <w:uiPriority w:val="0"/>
    <w:pPr>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1">
    <w:name w:val="_Style 3"/>
    <w:next w:val="1"/>
    <w:qFormat/>
    <w:uiPriority w:val="0"/>
    <w:pPr>
      <w:wordWrap w:val="0"/>
    </w:pPr>
    <w:rPr>
      <w:rFonts w:ascii="Calibri" w:hAnsi="Calibri" w:eastAsia="宋体" w:cs="Times New Roman"/>
      <w:sz w:val="32"/>
      <w:lang w:val="en-US" w:eastAsia="zh-CN" w:bidi="ar-SA"/>
    </w:rPr>
  </w:style>
  <w:style w:type="table" w:customStyle="1" w:styleId="1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740</Words>
  <Characters>759</Characters>
  <Lines>0</Lines>
  <Paragraphs>0</Paragraphs>
  <TotalTime>0</TotalTime>
  <ScaleCrop>false</ScaleCrop>
  <LinksUpToDate>false</LinksUpToDate>
  <CharactersWithSpaces>762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2024-11-13T00:56:00Z</dcterms:created>
  <dc:creator>Administrator</dc:creator>
  <cp:lastModifiedBy>WPS_1688094311</cp:lastModifiedBy>
  <dcterms:modified xsi:type="dcterms:W3CDTF">2025-10-15T06:58:10Z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F99837663DBF452DA169D1CB25CD8AB1_12</vt:lpwstr>
  </property>
  <property fmtid="{D5CDD505-2E9C-101B-9397-08002B2CF9AE}" pid="4" name="KSOTemplateDocerSaveRecord">
    <vt:lpwstr>eyJoZGlkIjoiMDYwZTAyZWU4NTFhZDQxMzE1MDI2M2ZmOWY4YWZlZDYiLCJ1c2VySWQiOiIxNTEwMDk3NzkxIn0=</vt:lpwstr>
  </property>
</Properties>
</file>