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版本号：2025-HXCT-10920251016001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西安市城市地下管网及设施安全能力提升巡查项目（1+5方案中实施项目）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2025-HXCT-109</w:t>
      </w:r>
      <w:r>
        <w:br/>
      </w:r>
      <w:r>
        <w:br/>
      </w:r>
      <w:r>
        <w:br/>
      </w:r>
    </w:p>
    <w:p>
      <w:pPr>
        <w:pStyle w:val="null3"/>
        <w:jc w:val="center"/>
        <w:outlineLvl w:val="2"/>
      </w:pPr>
      <w:r>
        <w:rPr>
          <w:rFonts w:ascii="仿宋_GB2312" w:hAnsi="仿宋_GB2312" w:cs="仿宋_GB2312" w:eastAsia="仿宋_GB2312"/>
          <w:sz w:val="28"/>
          <w:b/>
        </w:rPr>
        <w:t>西安市水务局（本级）</w:t>
      </w:r>
    </w:p>
    <w:p>
      <w:pPr>
        <w:pStyle w:val="null3"/>
        <w:jc w:val="center"/>
        <w:outlineLvl w:val="2"/>
      </w:pPr>
      <w:r>
        <w:rPr>
          <w:rFonts w:ascii="仿宋_GB2312" w:hAnsi="仿宋_GB2312" w:cs="仿宋_GB2312" w:eastAsia="仿宋_GB2312"/>
          <w:sz w:val="28"/>
          <w:b/>
        </w:rPr>
        <w:t>华夏城投项目管理有限公司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华夏城投项目管理有限公司</w:t>
      </w:r>
      <w:r>
        <w:rPr>
          <w:rFonts w:ascii="仿宋_GB2312" w:hAnsi="仿宋_GB2312" w:cs="仿宋_GB2312" w:eastAsia="仿宋_GB2312"/>
        </w:rPr>
        <w:t>（以下简称“代理机构”）受</w:t>
      </w:r>
      <w:r>
        <w:rPr>
          <w:rFonts w:ascii="仿宋_GB2312" w:hAnsi="仿宋_GB2312" w:cs="仿宋_GB2312" w:eastAsia="仿宋_GB2312"/>
        </w:rPr>
        <w:t>西安市水务局（本级）</w:t>
      </w:r>
      <w:r>
        <w:rPr>
          <w:rFonts w:ascii="仿宋_GB2312" w:hAnsi="仿宋_GB2312" w:cs="仿宋_GB2312" w:eastAsia="仿宋_GB2312"/>
        </w:rPr>
        <w:t>委托，拟对</w:t>
      </w:r>
      <w:r>
        <w:rPr>
          <w:rFonts w:ascii="仿宋_GB2312" w:hAnsi="仿宋_GB2312" w:cs="仿宋_GB2312" w:eastAsia="仿宋_GB2312"/>
        </w:rPr>
        <w:t>西安市城市地下管网及设施安全能力提升巡查项目（1+5方案中实施项目）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2025-HXCT-109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西安市城市地下管网及设施安全能力提升巡查项目（1+5方案中实施项目）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采取“行政+技术”的工作方式，为开展全市城市地下管网及设施安全能力提升行动提供支持；</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采购包1（西安市城市地下管网及设施安全能力提升巡查项目（1+5方案中实施项目））：属于专门面向中小企业采购。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为合法注册的法人、其他组织或自然人，具有独立承担民事责任的能力，提供营业执照（或事业法人证）、组织机构代码证、税务登记证或统一社会信用代码的营业执照等证明文件，申请人为自然人的提供身份证；</w:t>
      </w:r>
    </w:p>
    <w:p>
      <w:pPr>
        <w:pStyle w:val="null3"/>
      </w:pPr>
      <w:r>
        <w:rPr>
          <w:rFonts w:ascii="仿宋_GB2312" w:hAnsi="仿宋_GB2312" w:cs="仿宋_GB2312" w:eastAsia="仿宋_GB2312"/>
        </w:rPr>
        <w:t>2、法定代表人或授权委托人：供应商应授权合法的人员参加投标全过程，其中法定代表人直接参加投标的，须出具法定代表人身份证明及身份证，并与营业执照上信息一致。法定代表人授权代表参加投标的，须出具法定代表人授权书及授权代表身份证；</w:t>
      </w:r>
    </w:p>
    <w:p>
      <w:pPr>
        <w:pStyle w:val="null3"/>
      </w:pPr>
      <w:r>
        <w:rPr>
          <w:rFonts w:ascii="仿宋_GB2312" w:hAnsi="仿宋_GB2312" w:cs="仿宋_GB2312" w:eastAsia="仿宋_GB2312"/>
        </w:rPr>
        <w:t>3、企业信誉：供应商不得为“信用中国” 网站（www.creditchina.gov.cn）中列入失信被执行人和重大税收违失信主体的供应商，不得为中国政府采购网（www.ccgp.gov.cn）政府采购严重违法失信行为记录名单中被财政部门禁止参加政府采购活动的供应商（以当天查询结果为准）；</w:t>
      </w:r>
    </w:p>
    <w:p>
      <w:pPr>
        <w:pStyle w:val="null3"/>
      </w:pPr>
      <w:r>
        <w:rPr>
          <w:rFonts w:ascii="仿宋_GB2312" w:hAnsi="仿宋_GB2312" w:cs="仿宋_GB2312" w:eastAsia="仿宋_GB2312"/>
        </w:rPr>
        <w:t>4、其他要求：①财务状况报告：提供2023年度或2024年度的经审计的财务报告（至少包括资产负债表和利润表，成立时间至提交响应文件截止时间不足一年的可提供成立后任意时段的资产负债表），或开标前六个月内其基本存款账户开户银行出具的资信证明； ②税收缴纳证明：提供投标人自开标前一年内至少一个月已缴纳的纳税证明或完税证明；依法免税的应提供相关文件证明； ③社会保障资金缴纳证明：提供投标人自开标前一年内至少一个月的社会保险参保缴费情况证明，依法不需要缴纳社会保障资金的单位应提供相关证明材料； ④具有履行合同所必需的设备和专业技术能力的承诺； ⑤提供参加本次政府采购活动前三年内在经营活动中没有重大违法记录的书面声明。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西安市水务局（本级）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西安市水务局（本级）经办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13468628276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华夏城投项目管理有限公司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陕西省西安市未央区西安经济技术开发区凤城七路长和国际D座26层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13324506304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代理服务费收费标准：1、以成交金额为基数，参照国家计委颁布《招标代理服务收费管理暂行 办法》(计价格[2002]1980号)和国家发展和改革委员会办公厅颁发的《关于招标代理服务收费有关问题的通知》(发改办价格[2003]857号)文件规定执行。 2、招标代理服务费由成交供应商支付，在领取《成交通知书》前，由成交供应商一次性支付给华夏城投项目管理有限公司。 3、招标代理服务费缴纳账户： 开户名称：华夏城投项目管理有限公司 开户银行：中国工商银行股份有限公司延安南关支行 账号：2609080309024803489 转账事由：项目编号＋代理服务费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西安市水务局（本级）</w:t>
      </w:r>
      <w:r>
        <w:rPr>
          <w:rFonts w:ascii="仿宋_GB2312" w:hAnsi="仿宋_GB2312" w:cs="仿宋_GB2312" w:eastAsia="仿宋_GB2312"/>
        </w:rPr>
        <w:t>和</w:t>
      </w:r>
      <w:r>
        <w:rPr>
          <w:rFonts w:ascii="仿宋_GB2312" w:hAnsi="仿宋_GB2312" w:cs="仿宋_GB2312" w:eastAsia="仿宋_GB2312"/>
        </w:rPr>
        <w:t>华夏城投项目管理有限公司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西安市水务局（本级）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华夏城投项目管理有限公司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西安市水务局（本级）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华夏城投项目管理有限公司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按合同要求、按标准完成</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联系人：王震</w:t>
      </w:r>
    </w:p>
    <w:p>
      <w:pPr>
        <w:pStyle w:val="null3"/>
      </w:pPr>
      <w:r>
        <w:rPr>
          <w:rFonts w:ascii="仿宋_GB2312" w:hAnsi="仿宋_GB2312" w:cs="仿宋_GB2312" w:eastAsia="仿宋_GB2312"/>
        </w:rPr>
        <w:t>联系电话：13324506304</w:t>
      </w:r>
    </w:p>
    <w:p>
      <w:pPr>
        <w:pStyle w:val="null3"/>
      </w:pPr>
      <w:r>
        <w:rPr>
          <w:rFonts w:ascii="仿宋_GB2312" w:hAnsi="仿宋_GB2312" w:cs="仿宋_GB2312" w:eastAsia="仿宋_GB2312"/>
        </w:rPr>
        <w:t>地址： 陕西省西安市未央区西安经济技术开发区凤城七路长和国际D座26层</w:t>
      </w:r>
    </w:p>
    <w:p>
      <w:pPr>
        <w:pStyle w:val="null3"/>
      </w:pPr>
      <w:r>
        <w:rPr>
          <w:rFonts w:ascii="仿宋_GB2312" w:hAnsi="仿宋_GB2312" w:cs="仿宋_GB2312" w:eastAsia="仿宋_GB2312"/>
        </w:rPr>
        <w:t>邮编：710018</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采取“行政+技术”的工作方式，为开展全市城市地下管网及设施安全能力提升行动提供支持；</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1,850,000.00</w:t>
      </w:r>
    </w:p>
    <w:p>
      <w:pPr>
        <w:pStyle w:val="null3"/>
      </w:pPr>
      <w:r>
        <w:rPr>
          <w:rFonts w:ascii="仿宋_GB2312" w:hAnsi="仿宋_GB2312" w:cs="仿宋_GB2312" w:eastAsia="仿宋_GB2312"/>
        </w:rPr>
        <w:t>采购包最高限价（元）: 1,850,000.00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采取“行政+技术”的工作方式，为开展全市城市地下管网及设施安全能力提升行动提供支持。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标的名称：采取“行政+技术”的工作方式，为开展全市城市地下管网及设施安全能力提升行动提供支持。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采取</w:t>
            </w:r>
            <w:r>
              <w:rPr>
                <w:rFonts w:ascii="仿宋_GB2312" w:hAnsi="仿宋_GB2312" w:cs="仿宋_GB2312" w:eastAsia="仿宋_GB2312"/>
                <w:sz w:val="21"/>
              </w:rPr>
              <w:t>“行政</w:t>
            </w:r>
            <w:r>
              <w:rPr>
                <w:rFonts w:ascii="仿宋_GB2312" w:hAnsi="仿宋_GB2312" w:cs="仿宋_GB2312" w:eastAsia="仿宋_GB2312"/>
                <w:sz w:val="21"/>
              </w:rPr>
              <w:t>+</w:t>
            </w:r>
            <w:r>
              <w:rPr>
                <w:rFonts w:ascii="仿宋_GB2312" w:hAnsi="仿宋_GB2312" w:cs="仿宋_GB2312" w:eastAsia="仿宋_GB2312"/>
                <w:sz w:val="21"/>
              </w:rPr>
              <w:t>技术”的工作方式，为开展全市城市地下管网及设施安全能力提升行动提供支持；</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截止2026年底</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服务期结束后，成交人在服务地点提交验收申请。2.采购人收到验收申请后组织验收，验收时成交人应无条件予以配合并提供验收所需的全部资料，若成交人不配合或者未按合同要求提供服务的，采购人将拒绝验收。3.验收依据：磋商文件、响应文件、合同文本、国内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合同签订后，支付资金100万元</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54.00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通过市水务局验收，支付合同尾款。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46.00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1.按照《中华人民共和国民法典》中的相关条款执行。 2.成交人未按合同要求提供货物与服务或货物与服务质量不能满足技术要求，且在规定时间内未使采购人满意的，采购人有权终止合同，同时报请监管部门对其违约行为进行追究。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合同未尽事宜，经双方协商可签订补充协议，所签订的补充协议与本合同具有同等的法律效力， 补充协议的生效应符合本合同的有关规定。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为合法注册的法人、其他组织或自然人，具有独立承担民事责任的能力，提供营业执照（或事业法人证）、组织机构代码证、税务登记证或统一社会信用代码的营业执照等证明文件，申请人为自然人的提供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法定代表人或授权委托人</w:t>
            </w:r>
          </w:p>
        </w:tc>
        <w:tc>
          <w:tcPr>
            <w:tcW w:type="dxa" w:w="3322"/>
          </w:tcPr>
          <w:p>
            <w:pPr>
              <w:pStyle w:val="null3"/>
            </w:pPr>
            <w:r>
              <w:rPr>
                <w:rFonts w:ascii="仿宋_GB2312" w:hAnsi="仿宋_GB2312" w:cs="仿宋_GB2312" w:eastAsia="仿宋_GB2312"/>
              </w:rPr>
              <w:t>供应商应授权合法的人员参加投标全过程，其中法定代表人直接参加投标的，须出具法定代表人身份证明及身份证，并与营业执照上信息一致。法定代表人授权代表参加投标的，须出具法定代表人授权书及授权代表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企业信誉</w:t>
            </w:r>
          </w:p>
        </w:tc>
        <w:tc>
          <w:tcPr>
            <w:tcW w:type="dxa" w:w="3322"/>
          </w:tcPr>
          <w:p>
            <w:pPr>
              <w:pStyle w:val="null3"/>
            </w:pPr>
            <w:r>
              <w:rPr>
                <w:rFonts w:ascii="仿宋_GB2312" w:hAnsi="仿宋_GB2312" w:cs="仿宋_GB2312" w:eastAsia="仿宋_GB2312"/>
              </w:rPr>
              <w:t>供应商不得为“信用中国” 网站（www.creditchina.gov.cn）中列入失信被执行人和重大税收违失信主体的供应商，不得为中国政府采购网（www.ccgp.gov.cn）政府采购严重违法失信行为记录名单中被财政部门禁止参加政府采购活动的供应商（以当天查询结果为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①财务状况报告：提供2023年度或2024年度的经审计的财务报告（至少包括资产负债表和利润表，成立时间至提交响应文件截止时间不足一年的可提供成立后任意时段的资产负债表），或开标前六个月内其基本存款账户开户银行出具的资信证明； ②税收缴纳证明：提供投标人自开标前一年内至少一个月已缴纳的纳税证明或完税证明；依法免税的应提供相关文件证明； ③社会保障资金缴纳证明：提供投标人自开标前一年内至少一个月的社会保险参保缴费情况证明，依法不需要缴纳社会保障资金的单位应提供相关证明材料； ④具有履行合同所必需的设备和专业技术能力的承诺； ⑤提供参加本次政府采购活动前三年内在经营活动中没有重大违法记录的书面声明。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响应文件的签字、盖章:投标文件上法定代表人或其委托代理人的签字齐全并加盖单位章;响应文件应逐页加盖单位公章，且公章清晰可见;2.响应文件格式:应符合磋商文件要求;3.报价唯一:只能有一个有效报价，不得提交选择性报价，且报价不超过采购预算。</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完整性审查</w:t>
            </w:r>
          </w:p>
        </w:tc>
        <w:tc>
          <w:tcPr>
            <w:tcW w:type="dxa" w:w="3322"/>
          </w:tcPr>
          <w:p>
            <w:pPr>
              <w:pStyle w:val="null3"/>
            </w:pPr>
            <w:r>
              <w:rPr>
                <w:rFonts w:ascii="仿宋_GB2312" w:hAnsi="仿宋_GB2312" w:cs="仿宋_GB2312" w:eastAsia="仿宋_GB2312"/>
              </w:rPr>
              <w:t>1.对响应文件响应程度:要求全面响应，不能有任何采购人不能接受的附加条件;2.服务时间:应满足磋商文件要求;3.服务地点：采购人指定点;4.有效期:应满足磋商文件要求。</w:t>
            </w:r>
          </w:p>
        </w:tc>
        <w:tc>
          <w:tcPr>
            <w:tcW w:type="dxa" w:w="1661"/>
          </w:tcPr>
          <w:p>
            <w:pPr>
              <w:pStyle w:val="null3"/>
            </w:pPr>
            <w:r>
              <w:rPr>
                <w:rFonts w:ascii="仿宋_GB2312" w:hAnsi="仿宋_GB2312" w:cs="仿宋_GB2312" w:eastAsia="仿宋_GB2312"/>
              </w:rPr>
              <w:t>响应文件封面 服务内容及服务邀请应答表 中小企业声明函 商务应答表 服务方案 标的清单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项目总体需求理解</w:t>
            </w:r>
          </w:p>
        </w:tc>
        <w:tc>
          <w:tcPr>
            <w:tcW w:type="dxa" w:w="2492"/>
          </w:tcPr>
          <w:p>
            <w:pPr>
              <w:pStyle w:val="null3"/>
            </w:pPr>
            <w:r>
              <w:rPr>
                <w:rFonts w:ascii="仿宋_GB2312" w:hAnsi="仿宋_GB2312" w:cs="仿宋_GB2312" w:eastAsia="仿宋_GB2312"/>
              </w:rPr>
              <w:t>对项目背景以及项目工作目标的总体理解与认识的评比（0-15分） 1、对项目背景以及项目工作目标的认识与理解准确、全面、详细、针对性强得15分； 2、对项目背景以及项目工作目标的认识与理解基本准确，不全面、针对性一般9分； 3、对项目背景以及项目工作目标的认识与理解简单，无针对性得3分。 4、未提供不得分。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供应商根据自身对本次采购需求的解读，提供项目的整体服务方案，结合相关技术支持材料，按其响应程度，自主排序赋分： 1、工作思路清晰，工作计划科学合理，服务方案编写规范，逻辑完整；技术服务内容细致全面，方案针对性强，贴合采购人需求，得35分； 2、工作思路较清晰，工作计划合理，服务方案编写完整；具有可实施性，得26分； 3、工作思路简单，工作计划普遍，服务方案编写能力一般；技术支持服务内容未涵盖完全，方案针对性不强，得10分。 4、工作思路混乱，工作计划不合理，服务方案编写能力差；技术支持服务内容有重大缺漏，方案无针对性，得0分。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重难点分析及合理化建议</w:t>
            </w:r>
          </w:p>
        </w:tc>
        <w:tc>
          <w:tcPr>
            <w:tcW w:type="dxa" w:w="2492"/>
          </w:tcPr>
          <w:p>
            <w:pPr>
              <w:pStyle w:val="null3"/>
            </w:pPr>
            <w:r>
              <w:rPr>
                <w:rFonts w:ascii="仿宋_GB2312" w:hAnsi="仿宋_GB2312" w:cs="仿宋_GB2312" w:eastAsia="仿宋_GB2312"/>
              </w:rPr>
              <w:t>采用的解决方案和合理化建议，按其响应程度，进行赋分。 分析及建议的可行性及针对性强，科学合理得15分；分析及建议的可行性及针对性基本满足项目需求，得9分；分析及建议的可行性及针对性差，得3分；未提供不得分。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依据磋商响应文件所提供的针对本项目的相关服务承诺（包含人员到位承诺、服务响应时间及其他实质性承诺），从其承诺内容及承诺是否可行等方面，按其响应程度，自主排序赋分。 承诺内容全面，可行性强，得15分；承诺内容基本全面，可行性基本满足项目需求，得9分；承诺内容简单，承诺可行性差，得3分；未提供不得分。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 似 业 绩</w:t>
            </w:r>
          </w:p>
        </w:tc>
        <w:tc>
          <w:tcPr>
            <w:tcW w:type="dxa" w:w="2492"/>
          </w:tcPr>
          <w:p>
            <w:pPr>
              <w:pStyle w:val="null3"/>
            </w:pPr>
            <w:r>
              <w:rPr>
                <w:rFonts w:ascii="仿宋_GB2312" w:hAnsi="仿宋_GB2312" w:cs="仿宋_GB2312" w:eastAsia="仿宋_GB2312"/>
              </w:rPr>
              <w:t>提供自2020年10月1日以来类似项目的业绩证明文件，每提供一份业绩证明文件，得2分，满分10分。（注：业绩证明文件须是供应商已完成的类似项目，以合同或中标通知书为准，评审时以响应文件中提供的合同复印件并加盖公章为依据）。未提供或不按要求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满足磋商文件要求且最终投标价格最低的投标报价为评审基准价，其价格分为满分 。其他投标人的价格分统一按照下列公式计算： 投标报价得分=（评标基准价/投标报价） ×价格权值×100。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