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版本号：0702-2541SXO6000420251016001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燃气安全宣传活动服务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0702-2541SXO60004</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中机国际招标有限公司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中机国际招标有限公司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燃气安全宣传活动服务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0702-2541SXO60004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燃气安全宣传活动服务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为切实提升市民风险防范意识和应急能力，营造“人人讲安全、个个会应急”的社会氛围，拟进行燃气安全宣传活动，具体详见磋商文件。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采购包1（燃气安全宣传活动服务）：属于专门面向中小企业采购。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029-86787268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中机国际招标有限公司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北京市丰台区西营街1号院通用时代中心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代理服务费收费标准：参照国家计委颁发的《招标代理服务收费管理暂行办法》(计价格[2002]1980号)规定的招标代理服务收费标准下浮23%计算收取。 户名：中机国际招标有限公司 开户行：中国银行北京西城支行 账号：3233 6606 6071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中机国际招标有限公司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中机国际招标有限公司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中机国际招标有限公司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中机国际招标有限公司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中机国际招标有限公司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中机国际招标有限公司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联系人：黄粤</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地址：北京市丰台区西营街1号院通用时代中心</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为切实提升市民风险防范意识和应急能力，营造“人人讲安全、个个会应急”的社会氛围，拟进行燃气安全宣传活动，具体详见磋商文件。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燃气安全宣传活动服务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标的名称：燃气安全宣传活动服务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一、宣传背景</w:t>
            </w:r>
          </w:p>
          <w:p>
            <w:pPr>
              <w:pStyle w:val="null3"/>
              <w:ind w:firstLine="400"/>
              <w:jc w:val="both"/>
            </w:pPr>
            <w:r>
              <w:rPr>
                <w:rFonts w:ascii="仿宋_GB2312" w:hAnsi="仿宋_GB2312" w:cs="仿宋_GB2312" w:eastAsia="仿宋_GB2312"/>
                <w:sz w:val="20"/>
              </w:rPr>
              <w:t>燃气作为一种广泛使用的能源，与市民生活息息相关。然而，因燃气使用不当引发的安全事故时有发生，给人民生命财产造成严重损失。为提升西安市民燃气安全意识，普及燃气安全知识，特制定此燃气宣传方案。</w:t>
            </w:r>
          </w:p>
          <w:p>
            <w:pPr>
              <w:pStyle w:val="null3"/>
              <w:ind w:firstLine="400"/>
              <w:jc w:val="both"/>
            </w:pPr>
            <w:r>
              <w:rPr>
                <w:rFonts w:ascii="仿宋_GB2312" w:hAnsi="仿宋_GB2312" w:cs="仿宋_GB2312" w:eastAsia="仿宋_GB2312"/>
                <w:sz w:val="20"/>
              </w:rPr>
              <w:t>二、宣传目标</w:t>
            </w:r>
          </w:p>
          <w:p>
            <w:pPr>
              <w:pStyle w:val="null3"/>
              <w:ind w:firstLine="400"/>
              <w:jc w:val="both"/>
            </w:pPr>
            <w:r>
              <w:rPr>
                <w:rFonts w:ascii="仿宋_GB2312" w:hAnsi="仿宋_GB2312" w:cs="仿宋_GB2312" w:eastAsia="仿宋_GB2312"/>
                <w:sz w:val="20"/>
              </w:rPr>
              <w:t>1. 增强西安市民对燃气安全重要性的认识，提高安全意识。</w:t>
            </w:r>
          </w:p>
          <w:p>
            <w:pPr>
              <w:pStyle w:val="null3"/>
              <w:ind w:firstLine="400"/>
              <w:jc w:val="both"/>
            </w:pPr>
            <w:r>
              <w:rPr>
                <w:rFonts w:ascii="仿宋_GB2312" w:hAnsi="仿宋_GB2312" w:cs="仿宋_GB2312" w:eastAsia="仿宋_GB2312"/>
                <w:sz w:val="20"/>
              </w:rPr>
              <w:t>2. 普及燃气基础知识、安全使用方法、泄漏应急处理等知识，减少因操作不当引发的安全事故。</w:t>
            </w:r>
          </w:p>
          <w:p>
            <w:pPr>
              <w:pStyle w:val="null3"/>
              <w:ind w:firstLine="400"/>
              <w:jc w:val="both"/>
            </w:pPr>
            <w:r>
              <w:rPr>
                <w:rFonts w:ascii="仿宋_GB2312" w:hAnsi="仿宋_GB2312" w:cs="仿宋_GB2312" w:eastAsia="仿宋_GB2312"/>
                <w:sz w:val="20"/>
              </w:rPr>
              <w:t>三、宣传对象</w:t>
            </w:r>
          </w:p>
          <w:p>
            <w:pPr>
              <w:pStyle w:val="null3"/>
              <w:ind w:firstLine="400"/>
              <w:jc w:val="both"/>
            </w:pPr>
            <w:r>
              <w:rPr>
                <w:rFonts w:ascii="仿宋_GB2312" w:hAnsi="仿宋_GB2312" w:cs="仿宋_GB2312" w:eastAsia="仿宋_GB2312"/>
                <w:sz w:val="20"/>
              </w:rPr>
              <w:t>全体西安市民，重点关注老旧小区居民、老年人、餐饮商户等燃气安全事故高发群体。</w:t>
            </w:r>
          </w:p>
          <w:p>
            <w:pPr>
              <w:pStyle w:val="null3"/>
              <w:ind w:firstLine="400"/>
              <w:jc w:val="both"/>
            </w:pPr>
            <w:r>
              <w:rPr>
                <w:rFonts w:ascii="仿宋_GB2312" w:hAnsi="仿宋_GB2312" w:cs="仿宋_GB2312" w:eastAsia="仿宋_GB2312"/>
                <w:sz w:val="20"/>
              </w:rPr>
              <w:t>四、宣传时间</w:t>
            </w:r>
          </w:p>
          <w:p>
            <w:pPr>
              <w:pStyle w:val="null3"/>
              <w:ind w:firstLine="400"/>
            </w:pPr>
            <w:r>
              <w:rPr>
                <w:rFonts w:ascii="仿宋_GB2312" w:hAnsi="仿宋_GB2312" w:cs="仿宋_GB2312" w:eastAsia="仿宋_GB2312"/>
              </w:rPr>
              <w:t>自合同签订之日起</w:t>
            </w:r>
            <w:r>
              <w:rPr>
                <w:rFonts w:ascii="仿宋_GB2312" w:hAnsi="仿宋_GB2312" w:cs="仿宋_GB2312" w:eastAsia="仿宋_GB2312"/>
              </w:rPr>
              <w:t>至</w:t>
            </w:r>
            <w:r>
              <w:rPr>
                <w:rFonts w:ascii="仿宋_GB2312" w:hAnsi="仿宋_GB2312" w:cs="仿宋_GB2312" w:eastAsia="仿宋_GB2312"/>
              </w:rPr>
              <w:t>2026年3月</w:t>
            </w:r>
          </w:p>
          <w:p>
            <w:pPr>
              <w:pStyle w:val="null3"/>
              <w:ind w:firstLine="400"/>
              <w:jc w:val="both"/>
            </w:pPr>
            <w:r>
              <w:rPr>
                <w:rFonts w:ascii="仿宋_GB2312" w:hAnsi="仿宋_GB2312" w:cs="仿宋_GB2312" w:eastAsia="仿宋_GB2312"/>
                <w:sz w:val="20"/>
              </w:rPr>
              <w:t>五、采购内容及需求</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详细要求</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投放平台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绩效指标交付物</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信息推广</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一分半左右，不少次于</w:t>
                  </w:r>
                  <w:r>
                    <w:rPr>
                      <w:rFonts w:ascii="仿宋_GB2312" w:hAnsi="仿宋_GB2312" w:cs="仿宋_GB2312" w:eastAsia="仿宋_GB2312"/>
                      <w:sz w:val="20"/>
                    </w:rPr>
                    <w:t>10次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电视新闻频道、主流新闻客户端以及新媒体账号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全网传播量不少于</w:t>
                  </w:r>
                  <w:r>
                    <w:rPr>
                      <w:rFonts w:ascii="仿宋_GB2312" w:hAnsi="仿宋_GB2312" w:cs="仿宋_GB2312" w:eastAsia="仿宋_GB2312"/>
                      <w:sz w:val="20"/>
                    </w:rPr>
                    <w:t>100万</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专题宣传</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每期</w:t>
                  </w:r>
                  <w:r>
                    <w:rPr>
                      <w:rFonts w:ascii="仿宋_GB2312" w:hAnsi="仿宋_GB2312" w:cs="仿宋_GB2312" w:eastAsia="仿宋_GB2312"/>
                      <w:sz w:val="20"/>
                    </w:rPr>
                    <w:t>8分钟，共三次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电视新闻频道、主流新闻客户端以及新媒体账号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全网传播量不少于</w:t>
                  </w:r>
                  <w:r>
                    <w:rPr>
                      <w:rFonts w:ascii="仿宋_GB2312" w:hAnsi="仿宋_GB2312" w:cs="仿宋_GB2312" w:eastAsia="仿宋_GB2312"/>
                      <w:sz w:val="20"/>
                    </w:rPr>
                    <w:t>100万</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公益广告（</w:t>
                  </w: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制作</w:t>
                  </w:r>
                  <w:r>
                    <w:rPr>
                      <w:rFonts w:ascii="仿宋_GB2312" w:hAnsi="仿宋_GB2312" w:cs="仿宋_GB2312" w:eastAsia="仿宋_GB2312"/>
                      <w:sz w:val="20"/>
                    </w:rPr>
                    <w:t>30秒公益广告视频，并在主流媒体推送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电视新闻频道、主流新闻客户端以及新媒体账号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全网传播量不少于</w:t>
                  </w:r>
                  <w:r>
                    <w:rPr>
                      <w:rFonts w:ascii="仿宋_GB2312" w:hAnsi="仿宋_GB2312" w:cs="仿宋_GB2312" w:eastAsia="仿宋_GB2312"/>
                      <w:sz w:val="20"/>
                    </w:rPr>
                    <w:t>100万</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公益广告（</w:t>
                  </w: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制作</w:t>
                  </w:r>
                  <w:r>
                    <w:rPr>
                      <w:rFonts w:ascii="仿宋_GB2312" w:hAnsi="仿宋_GB2312" w:cs="仿宋_GB2312" w:eastAsia="仿宋_GB2312"/>
                      <w:sz w:val="20"/>
                    </w:rPr>
                    <w:t>60秒公益广告视频，并在主流媒体推送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电视新闻频道、主流新闻客户端以及新媒体账号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全网传播量不少于</w:t>
                  </w:r>
                  <w:r>
                    <w:rPr>
                      <w:rFonts w:ascii="仿宋_GB2312" w:hAnsi="仿宋_GB2312" w:cs="仿宋_GB2312" w:eastAsia="仿宋_GB2312"/>
                      <w:sz w:val="20"/>
                    </w:rPr>
                    <w:t>100万</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公益短信推送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撰写燃气安全知识要点及宣传口号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手机短信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总推送量不少于</w:t>
                  </w:r>
                  <w:r>
                    <w:rPr>
                      <w:rFonts w:ascii="仿宋_GB2312" w:hAnsi="仿宋_GB2312" w:cs="仿宋_GB2312" w:eastAsia="仿宋_GB2312"/>
                      <w:sz w:val="20"/>
                    </w:rPr>
                    <w:t>100万条</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户外燃气安全宣传活动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在大型广场开展宣传活动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活动内容包括：燃气安全知识宣讲、安全知识问答互动、宣传手册发放等。</w:t>
                  </w:r>
                </w:p>
                <w:p>
                  <w:pPr>
                    <w:pStyle w:val="null3"/>
                    <w:ind w:firstLine="400"/>
                    <w:jc w:val="center"/>
                  </w:pPr>
                </w:p>
              </w:tc>
            </w:tr>
          </w:tbl>
          <w:p>
            <w:pPr>
              <w:pStyle w:val="null3"/>
              <w:jc w:val="both"/>
            </w:pPr>
            <w:r>
              <w:rPr>
                <w:rFonts w:ascii="仿宋_GB2312" w:hAnsi="仿宋_GB2312" w:cs="仿宋_GB2312" w:eastAsia="仿宋_GB2312"/>
                <w:sz w:val="20"/>
              </w:rPr>
              <w:t>制作与推广要求：</w:t>
            </w:r>
          </w:p>
          <w:p>
            <w:pPr>
              <w:pStyle w:val="null3"/>
              <w:ind w:firstLine="400"/>
              <w:jc w:val="both"/>
            </w:pPr>
            <w:r>
              <w:rPr>
                <w:rFonts w:ascii="仿宋_GB2312" w:hAnsi="仿宋_GB2312" w:cs="仿宋_GB2312" w:eastAsia="仿宋_GB2312"/>
                <w:sz w:val="20"/>
              </w:rPr>
              <w:t>（一）制作要求：</w:t>
            </w:r>
          </w:p>
          <w:p>
            <w:pPr>
              <w:pStyle w:val="null3"/>
              <w:ind w:firstLine="400"/>
              <w:jc w:val="both"/>
            </w:pPr>
            <w:r>
              <w:rPr>
                <w:rFonts w:ascii="仿宋_GB2312" w:hAnsi="仿宋_GB2312" w:cs="仿宋_GB2312" w:eastAsia="仿宋_GB2312"/>
                <w:sz w:val="20"/>
              </w:rPr>
              <w:t>1.视频短片：需内容准确、画面精良、叙事清晰，具有强烈的感染力和传播性。</w:t>
            </w:r>
          </w:p>
          <w:p>
            <w:pPr>
              <w:pStyle w:val="null3"/>
              <w:ind w:firstLine="400"/>
              <w:jc w:val="both"/>
            </w:pPr>
            <w:r>
              <w:rPr>
                <w:rFonts w:ascii="仿宋_GB2312" w:hAnsi="仿宋_GB2312" w:cs="仿宋_GB2312" w:eastAsia="仿宋_GB2312"/>
                <w:sz w:val="20"/>
              </w:rPr>
              <w:t>2.公益广告：需创意新颖、主题突出，能快速吸引用户注意力并传递核心信息。</w:t>
            </w:r>
          </w:p>
          <w:p>
            <w:pPr>
              <w:pStyle w:val="null3"/>
              <w:ind w:firstLine="400"/>
              <w:jc w:val="both"/>
            </w:pPr>
            <w:r>
              <w:rPr>
                <w:rFonts w:ascii="仿宋_GB2312" w:hAnsi="仿宋_GB2312" w:cs="仿宋_GB2312" w:eastAsia="仿宋_GB2312"/>
                <w:sz w:val="20"/>
              </w:rPr>
              <w:t>3.推送内容：需文字需精炼、准确、朗朗上口，无歧义。</w:t>
            </w:r>
          </w:p>
          <w:p>
            <w:pPr>
              <w:pStyle w:val="null3"/>
              <w:ind w:firstLine="400"/>
              <w:jc w:val="both"/>
            </w:pPr>
            <w:r>
              <w:rPr>
                <w:rFonts w:ascii="仿宋_GB2312" w:hAnsi="仿宋_GB2312" w:cs="仿宋_GB2312" w:eastAsia="仿宋_GB2312"/>
                <w:sz w:val="20"/>
              </w:rPr>
              <w:t>4.宣传活动：需在大型广场，活动内容须健康、积极向上、热闹精彩；宣传手册印制须样式精美、内容准确无误。</w:t>
            </w:r>
          </w:p>
          <w:p>
            <w:pPr>
              <w:pStyle w:val="null3"/>
              <w:ind w:firstLine="400"/>
              <w:jc w:val="both"/>
            </w:pPr>
            <w:r>
              <w:rPr>
                <w:rFonts w:ascii="仿宋_GB2312" w:hAnsi="仿宋_GB2312" w:cs="仿宋_GB2312" w:eastAsia="仿宋_GB2312"/>
                <w:sz w:val="20"/>
              </w:rPr>
              <w:t>5.所有内容需符合国家相关法律法规及宣传纪律。</w:t>
            </w:r>
          </w:p>
          <w:p>
            <w:pPr>
              <w:pStyle w:val="null3"/>
              <w:ind w:firstLine="400"/>
              <w:jc w:val="both"/>
            </w:pPr>
            <w:r>
              <w:rPr>
                <w:rFonts w:ascii="仿宋_GB2312" w:hAnsi="仿宋_GB2312" w:cs="仿宋_GB2312" w:eastAsia="仿宋_GB2312"/>
                <w:sz w:val="20"/>
              </w:rPr>
              <w:t>（二）推广要求：</w:t>
            </w:r>
          </w:p>
          <w:p>
            <w:pPr>
              <w:pStyle w:val="null3"/>
              <w:ind w:firstLine="400"/>
              <w:jc w:val="both"/>
            </w:pPr>
            <w:r>
              <w:rPr>
                <w:rFonts w:ascii="仿宋_GB2312" w:hAnsi="仿宋_GB2312" w:cs="仿宋_GB2312" w:eastAsia="仿宋_GB2312"/>
                <w:sz w:val="20"/>
              </w:rPr>
              <w:t>1.供应商需拥有完善的媒体投放渠道和执行能力，确保约定的投放渠道、位置、频次、时长和覆盖人群。</w:t>
            </w:r>
          </w:p>
          <w:p>
            <w:pPr>
              <w:pStyle w:val="null3"/>
              <w:ind w:firstLine="400"/>
              <w:jc w:val="both"/>
            </w:pPr>
            <w:r>
              <w:rPr>
                <w:rFonts w:ascii="仿宋_GB2312" w:hAnsi="仿宋_GB2312" w:cs="仿宋_GB2312" w:eastAsia="仿宋_GB2312"/>
                <w:sz w:val="20"/>
              </w:rPr>
              <w:t>2.针对短视频推广，需制定详细的话题营销方案，并利用多种手段（如网络达人合作、信息流广告等）确保达成约定的传播声量。</w:t>
            </w:r>
          </w:p>
          <w:p>
            <w:pPr>
              <w:pStyle w:val="null3"/>
              <w:ind w:firstLine="400"/>
              <w:jc w:val="both"/>
            </w:pPr>
            <w:r>
              <w:rPr>
                <w:rFonts w:ascii="仿宋_GB2312" w:hAnsi="仿宋_GB2312" w:cs="仿宋_GB2312" w:eastAsia="仿宋_GB2312"/>
                <w:sz w:val="20"/>
              </w:rPr>
              <w:t>3.提供所有投放活动的详细媒体排期表及实质性的投放证明（如监播报告、后台数据截图、第三方监测报告等）。</w:t>
            </w:r>
          </w:p>
          <w:p>
            <w:pPr>
              <w:pStyle w:val="null3"/>
              <w:ind w:firstLine="400"/>
              <w:jc w:val="both"/>
            </w:pPr>
            <w:r>
              <w:rPr>
                <w:rFonts w:ascii="仿宋_GB2312" w:hAnsi="仿宋_GB2312" w:cs="仿宋_GB2312" w:eastAsia="仿宋_GB2312"/>
                <w:sz w:val="20"/>
              </w:rPr>
              <w:t>七、预算控制</w:t>
            </w:r>
          </w:p>
          <w:p>
            <w:pPr>
              <w:pStyle w:val="null3"/>
              <w:ind w:firstLine="400"/>
              <w:jc w:val="both"/>
            </w:pPr>
            <w:r>
              <w:rPr>
                <w:rFonts w:ascii="仿宋_GB2312" w:hAnsi="仿宋_GB2312" w:cs="仿宋_GB2312" w:eastAsia="仿宋_GB2312"/>
                <w:sz w:val="20"/>
              </w:rPr>
              <w:t>本项目报价应包含但不限于以下所有费用：</w:t>
            </w:r>
          </w:p>
          <w:p>
            <w:pPr>
              <w:pStyle w:val="null3"/>
              <w:ind w:firstLine="400"/>
              <w:jc w:val="both"/>
            </w:pPr>
            <w:r>
              <w:rPr>
                <w:rFonts w:ascii="仿宋_GB2312" w:hAnsi="仿宋_GB2312" w:cs="仿宋_GB2312" w:eastAsia="仿宋_GB2312"/>
                <w:sz w:val="20"/>
              </w:rPr>
              <w:t>1.视频部分：策划、创意、脚本、拍摄、剪辑、包装、演员、音乐、版权等制作费用，以及短视频平台的投放推广、话题运营费用。</w:t>
            </w:r>
          </w:p>
          <w:p>
            <w:pPr>
              <w:pStyle w:val="null3"/>
              <w:ind w:firstLine="400"/>
              <w:jc w:val="both"/>
            </w:pPr>
            <w:r>
              <w:rPr>
                <w:rFonts w:ascii="仿宋_GB2312" w:hAnsi="仿宋_GB2312" w:cs="仿宋_GB2312" w:eastAsia="仿宋_GB2312"/>
                <w:sz w:val="20"/>
              </w:rPr>
              <w:t>2.活动部分：场地租赁、设施设备、宣传手册印制、礼品采购。</w:t>
            </w:r>
          </w:p>
          <w:p>
            <w:pPr>
              <w:pStyle w:val="null3"/>
              <w:ind w:firstLine="400"/>
              <w:jc w:val="both"/>
            </w:pPr>
            <w:r>
              <w:rPr>
                <w:rFonts w:ascii="仿宋_GB2312" w:hAnsi="仿宋_GB2312" w:cs="仿宋_GB2312" w:eastAsia="仿宋_GB2312"/>
                <w:sz w:val="20"/>
              </w:rPr>
              <w:t>3.推送部分：内容撰写及通道使用（短信、微信等）费用。</w:t>
            </w:r>
          </w:p>
          <w:p>
            <w:pPr>
              <w:pStyle w:val="null3"/>
              <w:jc w:val="both"/>
            </w:pPr>
            <w:r>
              <w:rPr>
                <w:rFonts w:ascii="仿宋_GB2312" w:hAnsi="仿宋_GB2312" w:cs="仿宋_GB2312" w:eastAsia="仿宋_GB2312"/>
                <w:sz w:val="20"/>
              </w:rPr>
              <w:t>其他：监测评估费、税费、管理费等所有为完成本项目所需费用。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自合同签订之日起至2026年3月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专家费用由乙方承担），进行最终验收，验收时乙方应派人员参加，共同对验收结果进行确认，并承担相关责任。验收合格后，填写政府采购项目履约验收单（一式伍份）以及项目完成报告作为对服务的最终认可。 （二）乙方应向甲方提交服务实施过程中的所有资料，以便甲方日后管理和维护。 （三）验收依据： 1、竞争性磋商文件、响应文件、澄清表（函）；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项目完全交付并经甲方验收全部通过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 同时，政府采购监管部门有权依据《政府采购法》及相关法律法规对乙方的违法行为进行相应的处罚。 （三）在本合同履行过程中，双方因违约或造成对方经济、社会效益等损失的应当赔偿。 （四）乙方提供的服务未达到采购需求，按照总价款15%赔偿违约金，并按照合同的内容赔偿甲方损失。 （五）未经甲方同意，乙方不得擅自将本合同服务转包第三方承担。 解决争议的方法： （一）本合同在履行过程中发生的争议，由甲、乙双方当事人协商解决，协商不成的按下列第 1 种方式解决： 1、提交西安仲裁委员会仲裁； 2、依法向甲方所在地人民法院起诉。 （二）本条款为独立条款，本合同的无效、变更、解除和终止均不影响本条款的效力。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⑤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商务、服务、技术条款偏离表.docx 标的清单 报价表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商务、服务、技术条款偏离表.docx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针对本项目理解深度及定位分析</w:t>
            </w:r>
          </w:p>
        </w:tc>
        <w:tc>
          <w:tcPr>
            <w:tcW w:type="dxa" w:w="2492"/>
          </w:tcPr>
          <w:p>
            <w:pPr>
              <w:pStyle w:val="null3"/>
            </w:pPr>
            <w:r>
              <w:rPr>
                <w:rFonts w:ascii="仿宋_GB2312" w:hAnsi="仿宋_GB2312" w:cs="仿宋_GB2312" w:eastAsia="仿宋_GB2312"/>
              </w:rPr>
              <w:t>1、评审内容 结合项目采购需求及实际情况，对项目的认知及目标、前期调研、后期定位分析等进行分析。2、赋分标准 （1）对项目背景、工作内容和要求、分析评价方法等理解准确、全面，分析到位，得15分；（2）对项目背景、工作内容和要求、分析评价方法等理解较准确、分析较全面，得12分；（3）对项目背景、工作内容和要求、分析评价方法等理解基本准确、分析基本全面，得9分；（4）对项目背景、工作内容和要求、分析评价方法等理解不够准确，分析简单，得6分；（5）对项目背景、工作内容和要求、分析评价方法等，理解存在较大偏差，得3分； 未提供或其他得0分。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针对本项目的整体服务方案</w:t>
            </w:r>
          </w:p>
        </w:tc>
        <w:tc>
          <w:tcPr>
            <w:tcW w:type="dxa" w:w="2492"/>
          </w:tcPr>
          <w:p>
            <w:pPr>
              <w:pStyle w:val="null3"/>
            </w:pPr>
            <w:r>
              <w:rPr>
                <w:rFonts w:ascii="仿宋_GB2312" w:hAnsi="仿宋_GB2312" w:cs="仿宋_GB2312" w:eastAsia="仿宋_GB2312"/>
              </w:rPr>
              <w:t>1、评审内容 结合本项目的实际情况，提供针对本项目的服务方案（包括但不限于活动策划方案、宣传物料设计方案、视频策划方案等）2、赋分标准 （1）有完整的服务方案及措施，方案具体可行，针对性强，得15分；（2）有较完整的服务方案及措施，方案比较可行，针对性较强，得12分；（3）服务方案及措施基本完整，措施一般，针对性一般，得9分；（4）有服务方案，保证措施不够全面，可行性一般，针对性不强，得6分；（5）服务方案及措施笼统简单，针对性差，得3分； 未提供或其他得0分。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针对本项目的质量保障措施和质量管理制度</w:t>
            </w:r>
          </w:p>
        </w:tc>
        <w:tc>
          <w:tcPr>
            <w:tcW w:type="dxa" w:w="2492"/>
          </w:tcPr>
          <w:p>
            <w:pPr>
              <w:pStyle w:val="null3"/>
            </w:pPr>
            <w:r>
              <w:rPr>
                <w:rFonts w:ascii="仿宋_GB2312" w:hAnsi="仿宋_GB2312" w:cs="仿宋_GB2312" w:eastAsia="仿宋_GB2312"/>
              </w:rPr>
              <w:t>1、评审内容 供应商有针对本项目的质量保障措施，健全严格的质量管理制度，建立了比较完善的工作程序制度和管理体系。 2、赋分标准 （1）质量保障措施完善，管理制度科学合理、完全满足项目需求，得10分； （2）质量保障措施较为完善，管理制度科学合理，满足项目需求，得8分； （3）质量保障措施较为完善，管理制度基本科学合理，基本满足项目需求得6分； （4）质量保障措施基本完善，管理制度基本合理，基本满足项目需求得4分； （5）质量保障措施不太完善，管理制度不够科学合理，不太满足项目需求得2分。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针对本项目的应急方案</w:t>
            </w:r>
          </w:p>
        </w:tc>
        <w:tc>
          <w:tcPr>
            <w:tcW w:type="dxa" w:w="2492"/>
          </w:tcPr>
          <w:p>
            <w:pPr>
              <w:pStyle w:val="null3"/>
            </w:pPr>
            <w:r>
              <w:rPr>
                <w:rFonts w:ascii="仿宋_GB2312" w:hAnsi="仿宋_GB2312" w:cs="仿宋_GB2312" w:eastAsia="仿宋_GB2312"/>
              </w:rPr>
              <w:t>1、评审内容 根据各供应商针对本项目提供的应急方案，包括①快速响应时间及调动人员的数量；②合理的处理方案； 方案完整度高、可实施性强、科学合理、具有完善的针对本项目的应急方案。 2、赋分标准 （1）方案内容科学合理、可操作性强、方案内容齐全、完全满足项目需求，得10分； （2）方案内容可行且科学合理可操作性较强、方案内容较齐全，满足项目需求，得8分； （3）方案内容较科学合理有一定的操作性、方案内容较齐全，基本满足项目需求得6分； （4）方案内容可行性一般，方案内容基本合理，得4分； （5）方案内容欠缺、缺乏科学性合理性、可操作性较差，得2分。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针对本项目的服务团队</w:t>
            </w:r>
          </w:p>
        </w:tc>
        <w:tc>
          <w:tcPr>
            <w:tcW w:type="dxa" w:w="2492"/>
          </w:tcPr>
          <w:p>
            <w:pPr>
              <w:pStyle w:val="null3"/>
            </w:pPr>
            <w:r>
              <w:rPr>
                <w:rFonts w:ascii="仿宋_GB2312" w:hAnsi="仿宋_GB2312" w:cs="仿宋_GB2312" w:eastAsia="仿宋_GB2312"/>
              </w:rPr>
              <w:t>1、评审内容 结合项目采购需求，提供人员配备方案及管理方案，包括但不限于策划人员、实施人员、视频制作人员、活动保障人员等人员配备 2、赋分标准 （1）配备方案科学合理、管理方案可操作性强、内容齐全、完全满足项目需求，得10分； （2）配备方案科学合理，管理方案可操作性较强、内容较齐全，满足项目需求，得8分； （3）配备方案较科学合理、管理方案有一定的操作性、内容较齐全，基本满足项目需求得6分； （4）配备方案一般，管理方案基本合理，内容基本齐全，基本满足项目需求得4分； （5）配备方案差、管理方案欠缺、缺乏科学性合理性、可操作性较差，不太满足项目需求得2分。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拟投入本项目的设备方案</w:t>
            </w:r>
          </w:p>
        </w:tc>
        <w:tc>
          <w:tcPr>
            <w:tcW w:type="dxa" w:w="2492"/>
          </w:tcPr>
          <w:p>
            <w:pPr>
              <w:pStyle w:val="null3"/>
            </w:pPr>
            <w:r>
              <w:rPr>
                <w:rFonts w:ascii="仿宋_GB2312" w:hAnsi="仿宋_GB2312" w:cs="仿宋_GB2312" w:eastAsia="仿宋_GB2312"/>
              </w:rPr>
              <w:t>1、评审内容 根据各供应商针对本项目拟投入的设备方案，包括①设备清单②设备配套使用情况③设备的安全、管理等内容。 2、赋分标准 （1）拟投入设备方案配套齐全、设备数量充足、能有效保证项目顺利实施的，得10分； （2）拟投入设备方案配套较齐全、设备数量充足、能保证项目顺利实施的，得8分； （3）拟投入设备方案配套基本齐全、设备数量较为充足、能基本保证项目顺利实施的，得6分； （4）拟投入设备方案配套基本齐全、设备数量基本充足、能基本保证项目顺利实施的，得4分； （5）拟投入设备方案配套不齐全、设备数量一般、缺少关键设施设备，不能保证基本所需的，得2分。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①服务质量保证措施及承诺，包括但不限于信息的及时反馈、实施工作中的主动沟通汇报；②拟派人员专业能力承诺，包括但不限于拟派人员能力的承诺、若采购人对服务不满意，可要求更换拟派人员等； 2、赋分标准 （1）承诺内容科学合理、可操作性强、内容齐全、完全满足项目需求，得10分； （2）承诺内容可行且科学合理可操作性较强、内容较齐全，基本满足项目需求，得8分； （3）承诺内容较科学合理有一定的操作性、内容较齐全，基本满足项目需求得6分； （4）承诺内容可行性一般，内容基本合理，得4分； （5）承诺内容欠缺、缺乏科学性合理性、可操作性较差，得2分。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1、评审内容： 供应商提供2022年1月至今类似项目业绩，以合同复印件为准，每一份计2分，最多计10分。 评审标准：业绩证明材料（以磋商响应文件中提供的合同复印件为准，合同关键页复印件并加盖供应商公章，合同关键页内容须包含签订双方名称、签订时间、主要服务内容、双方盖章页等）。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 号）的有关规定：价格分采用低价优先法计算，即满足磋商文件要求且磋商报价最低的磋商报价为评审基准价，其价格分为满分。其他供应商的价格分统一按照下列公式计算： 磋商报价得分=（评审基准价/磋商报价）×价格权值10%×100 注：评标委员会二分之一以上专家认为某磋商报价有低于成本价嫌疑的，且供应商无法证明其价格合理性的，为无效报价。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