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81CCB8">
      <w:pPr>
        <w:pStyle w:val="2"/>
        <w:spacing w:line="350" w:lineRule="auto"/>
        <w:jc w:val="center"/>
        <w:rPr>
          <w:rFonts w:hint="eastAsia" w:ascii="仿宋" w:hAnsi="仿宋" w:eastAsia="仿宋" w:cs="仿宋"/>
          <w:b/>
          <w:bCs/>
          <w:color w:val="auto"/>
        </w:rPr>
      </w:pPr>
      <w:r>
        <w:rPr>
          <w:rFonts w:hint="eastAsia" w:ascii="仿宋" w:hAnsi="仿宋" w:eastAsia="仿宋" w:cs="仿宋"/>
          <w:b/>
          <w:bCs/>
          <w:color w:val="auto"/>
        </w:rPr>
        <w:t>合同条款及格式</w:t>
      </w:r>
    </w:p>
    <w:p w14:paraId="651E7F90">
      <w:pPr>
        <w:autoSpaceDE w:val="0"/>
        <w:autoSpaceDN w:val="0"/>
        <w:adjustRightInd w:val="0"/>
        <w:spacing w:line="360" w:lineRule="auto"/>
        <w:jc w:val="center"/>
        <w:rPr>
          <w:rFonts w:hint="default" w:ascii="宋体" w:hAnsi="宋体" w:eastAsia="宋体" w:cs="宋体"/>
          <w:b/>
          <w:bCs w:val="0"/>
          <w:sz w:val="24"/>
          <w:lang w:val="en-US" w:eastAsia="zh-CN"/>
        </w:rPr>
      </w:pPr>
      <w:r>
        <w:rPr>
          <w:rFonts w:hint="eastAsia" w:ascii="宋体" w:hAnsi="宋体" w:eastAsia="宋体" w:cs="宋体"/>
          <w:b/>
          <w:bCs w:val="0"/>
          <w:sz w:val="24"/>
          <w:lang w:val="en-US" w:eastAsia="zh-CN"/>
        </w:rPr>
        <w:t>供参考具体以实际签订合同为准</w:t>
      </w:r>
    </w:p>
    <w:p w14:paraId="40E26A97">
      <w:pPr>
        <w:tabs>
          <w:tab w:val="left" w:pos="735"/>
        </w:tabs>
        <w:autoSpaceDE w:val="0"/>
        <w:autoSpaceDN w:val="0"/>
        <w:adjustRightInd w:val="0"/>
        <w:snapToGrid w:val="0"/>
        <w:spacing w:line="360" w:lineRule="auto"/>
        <w:rPr>
          <w:rFonts w:hint="eastAsia" w:ascii="方正仿宋_GB2312" w:hAnsi="方正仿宋_GB2312" w:eastAsia="方正仿宋_GB2312" w:cs="方正仿宋_GB2312"/>
          <w:b/>
          <w:bCs/>
          <w:szCs w:val="21"/>
          <w:highlight w:val="none"/>
          <w:lang w:val="zh-CN"/>
        </w:rPr>
      </w:pPr>
      <w:r>
        <w:rPr>
          <w:rFonts w:hint="eastAsia" w:ascii="方正仿宋_GB2312" w:hAnsi="方正仿宋_GB2312" w:eastAsia="方正仿宋_GB2312" w:cs="方正仿宋_GB2312"/>
          <w:b/>
          <w:bCs/>
          <w:szCs w:val="21"/>
          <w:highlight w:val="none"/>
          <w:lang w:val="zh-CN"/>
        </w:rPr>
        <w:t>甲方：</w:t>
      </w:r>
      <w:r>
        <w:rPr>
          <w:rFonts w:hint="eastAsia" w:ascii="方正仿宋_GB2312" w:hAnsi="方正仿宋_GB2312" w:eastAsia="方正仿宋_GB2312" w:cs="方正仿宋_GB2312"/>
          <w:b/>
          <w:bCs/>
          <w:szCs w:val="21"/>
          <w:highlight w:val="none"/>
          <w:u w:val="single"/>
          <w:lang w:val="zh-CN"/>
        </w:rPr>
        <w:t>西安市殡仪馆</w:t>
      </w:r>
    </w:p>
    <w:p w14:paraId="3633CBBE">
      <w:pPr>
        <w:tabs>
          <w:tab w:val="left" w:pos="735"/>
        </w:tabs>
        <w:autoSpaceDE w:val="0"/>
        <w:autoSpaceDN w:val="0"/>
        <w:adjustRightInd w:val="0"/>
        <w:snapToGrid w:val="0"/>
        <w:spacing w:line="360" w:lineRule="auto"/>
        <w:rPr>
          <w:rFonts w:hint="eastAsia" w:ascii="方正仿宋_GB2312" w:hAnsi="方正仿宋_GB2312" w:eastAsia="方正仿宋_GB2312" w:cs="方正仿宋_GB2312"/>
          <w:bCs/>
          <w:szCs w:val="21"/>
          <w:highlight w:val="none"/>
          <w:lang w:val="zh-CN"/>
        </w:rPr>
      </w:pPr>
      <w:r>
        <w:rPr>
          <w:rFonts w:hint="eastAsia" w:ascii="方正仿宋_GB2312" w:hAnsi="方正仿宋_GB2312" w:eastAsia="方正仿宋_GB2312" w:cs="方正仿宋_GB2312"/>
          <w:b/>
          <w:bCs/>
          <w:szCs w:val="21"/>
          <w:highlight w:val="none"/>
          <w:lang w:val="zh-CN"/>
        </w:rPr>
        <w:t>乙方：</w:t>
      </w:r>
      <w:r>
        <w:rPr>
          <w:rFonts w:hint="eastAsia" w:ascii="方正仿宋_GB2312" w:hAnsi="方正仿宋_GB2312" w:eastAsia="方正仿宋_GB2312" w:cs="方正仿宋_GB2312"/>
          <w:b/>
          <w:bCs/>
          <w:szCs w:val="21"/>
          <w:highlight w:val="none"/>
          <w:u w:val="single"/>
          <w:lang w:val="zh-CN"/>
        </w:rPr>
        <w:t xml:space="preserve">            </w:t>
      </w:r>
    </w:p>
    <w:p w14:paraId="0EC883C1">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both"/>
        <w:textAlignment w:val="baseline"/>
        <w:rPr>
          <w:rFonts w:hint="eastAsia"/>
        </w:rPr>
      </w:pPr>
      <w:r>
        <w:rPr>
          <w:rFonts w:hint="eastAsia" w:ascii="方正仿宋_GB2312" w:hAnsi="方正仿宋_GB2312" w:eastAsia="方正仿宋_GB2312" w:cs="方正仿宋_GB2312"/>
          <w:kern w:val="0"/>
          <w:sz w:val="28"/>
          <w:szCs w:val="28"/>
          <w:lang w:val="en-US" w:eastAsia="zh-CN" w:bidi="ar"/>
        </w:rPr>
        <w:t>根据《中华人民共和国民法典》《中华人民共和国政府采购法》等法律、法规规定，按照“西安市殡仪馆2025年接尸袋采购”项目（以下简称“本项目”）招投标文件、采购需求及乙方承诺，甲乙双方本着平等自愿、公平诚信原则，签订本合同，以资共同遵守。</w:t>
      </w:r>
    </w:p>
    <w:p w14:paraId="410E512C">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jc w:val="both"/>
        <w:textAlignment w:val="baseline"/>
        <w:rPr>
          <w:rFonts w:hint="eastAsia" w:ascii="方正仿宋_GB2312" w:hAnsi="方正仿宋_GB2312" w:eastAsia="方正仿宋_GB2312" w:cs="方正仿宋_GB2312"/>
          <w:b/>
          <w:bCs/>
          <w:kern w:val="0"/>
          <w:sz w:val="28"/>
          <w:szCs w:val="28"/>
          <w:lang w:val="en-US" w:eastAsia="zh-CN" w:bidi="ar"/>
        </w:rPr>
      </w:pPr>
      <w:r>
        <w:rPr>
          <w:rFonts w:hint="eastAsia" w:ascii="方正仿宋_GB2312" w:hAnsi="方正仿宋_GB2312" w:eastAsia="方正仿宋_GB2312" w:cs="方正仿宋_GB2312"/>
          <w:b/>
          <w:bCs/>
          <w:kern w:val="0"/>
          <w:sz w:val="28"/>
          <w:szCs w:val="28"/>
          <w:lang w:val="en-US" w:eastAsia="zh-CN" w:bidi="ar"/>
        </w:rPr>
        <w:t>一、交货条件：</w:t>
      </w:r>
    </w:p>
    <w:p w14:paraId="1287F8A3">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方正仿宋_GB2312" w:hAnsi="方正仿宋_GB2312" w:eastAsia="方正仿宋_GB2312" w:cs="方正仿宋_GB2312"/>
          <w:kern w:val="0"/>
          <w:sz w:val="28"/>
          <w:szCs w:val="28"/>
          <w:lang w:val="en-US" w:eastAsia="zh-CN" w:bidi="ar"/>
        </w:rPr>
      </w:pPr>
      <w:r>
        <w:rPr>
          <w:rFonts w:hint="eastAsia" w:ascii="方正仿宋_GB2312" w:hAnsi="方正仿宋_GB2312" w:eastAsia="方正仿宋_GB2312" w:cs="方正仿宋_GB2312"/>
          <w:kern w:val="0"/>
          <w:sz w:val="28"/>
          <w:szCs w:val="28"/>
          <w:lang w:val="en-US" w:eastAsia="zh-CN" w:bidi="ar"/>
        </w:rPr>
        <w:t>（一）合同期限：1年(2025年12月5日至2026年12月4日)或累计结算金额达到采购预算，以先到达者为准;</w:t>
      </w:r>
    </w:p>
    <w:p w14:paraId="21712B8C">
      <w:pPr>
        <w:keepNext w:val="0"/>
        <w:keepLines w:val="0"/>
        <w:pageBreakBefore w:val="0"/>
        <w:widowControl w:val="0"/>
        <w:suppressLineNumbers w:val="0"/>
        <w:kinsoku/>
        <w:wordWrap/>
        <w:overflowPunct w:val="0"/>
        <w:topLinePunct w:val="0"/>
        <w:autoSpaceDE/>
        <w:autoSpaceDN/>
        <w:bidi w:val="0"/>
        <w:adjustRightInd w:val="0"/>
        <w:snapToGrid w:val="0"/>
        <w:spacing w:beforeAutospacing="0" w:afterAutospacing="0" w:line="360" w:lineRule="auto"/>
        <w:ind w:firstLine="560" w:firstLineChars="200"/>
        <w:jc w:val="left"/>
        <w:outlineLvl w:val="9"/>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kern w:val="0"/>
          <w:sz w:val="28"/>
          <w:szCs w:val="28"/>
          <w:lang w:val="en-US" w:eastAsia="zh-CN" w:bidi="ar"/>
        </w:rPr>
        <w:t>（二）交货时间：</w:t>
      </w:r>
      <w:r>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t>乙方接到甲方要货通知后，需在3个自然日内将货物送达甲方指定地点（西安市殡仪馆内或甲方另行通知的服务地点）；若甲方因应急需求（如突发遗体收殓任务）要求加急供货，乙方需在12小时内响应并送达，加急供货不额外增加费用。</w:t>
      </w:r>
    </w:p>
    <w:p w14:paraId="516A3305">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snapToGrid w:val="0"/>
          <w:color w:val="000000" w:themeColor="text1"/>
          <w:kern w:val="0"/>
          <w:sz w:val="28"/>
          <w:szCs w:val="28"/>
          <w:lang w:val="en-US" w:eastAsia="zh-CN" w:bidi="ar"/>
          <w14:textFill>
            <w14:solidFill>
              <w14:schemeClr w14:val="tx1"/>
            </w14:solidFill>
          </w14:textFill>
        </w:rPr>
        <w:t>（三）</w:t>
      </w:r>
      <w:r>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t>交货地点：甲方指定地点（以甲方书面或口头通知为准，通知方式包括但不限于电话、微信、工作函），货物装卸、搬运至甲方指定存储区域的费用由乙方承担。</w:t>
      </w:r>
    </w:p>
    <w:p w14:paraId="4D6EB5DC">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t>（四）逾期责任</w:t>
      </w:r>
    </w:p>
    <w:p w14:paraId="27701C32">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t>乙方未按约定时间交货的，每逾期1日，按逾期供货金额的1%向甲方支付违约金；逾期超过5日的，甲方有权单方解除合同，乙方需赔偿甲方因此产生的损失（包括但不限于临时采购替代货物的差价、家属投诉赔偿等），且甲方有权将乙方违约情况上报政府采购监管部门。</w:t>
      </w:r>
    </w:p>
    <w:p w14:paraId="776DB104">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jc w:val="both"/>
        <w:textAlignment w:val="baseline"/>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b/>
          <w:bCs/>
          <w:color w:val="000000" w:themeColor="text1"/>
          <w:kern w:val="0"/>
          <w:sz w:val="28"/>
          <w:szCs w:val="28"/>
          <w:lang w:val="en-US" w:eastAsia="zh-CN" w:bidi="ar"/>
          <w14:textFill>
            <w14:solidFill>
              <w14:schemeClr w14:val="tx1"/>
            </w14:solidFill>
          </w14:textFill>
        </w:rPr>
        <w:t>二、合同价款</w:t>
      </w:r>
    </w:p>
    <w:p w14:paraId="30CB1A14">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t>（一）合同单价</w:t>
      </w:r>
      <w:r>
        <w:rPr>
          <w:rFonts w:hint="eastAsia" w:ascii="方正仿宋_GB2312" w:hAnsi="方正仿宋_GB2312" w:eastAsia="方正仿宋_GB2312" w:cs="方正仿宋_GB2312"/>
          <w:color w:val="000000" w:themeColor="text1"/>
          <w:sz w:val="28"/>
          <w:szCs w:val="28"/>
          <w14:textFill>
            <w14:solidFill>
              <w14:schemeClr w14:val="tx1"/>
            </w14:solidFill>
          </w14:textFill>
        </w:rPr>
        <w:t>为固定单价，包含原材料费、生产费、包装费、运杂费（含装卸、仓储、保险）、税金、售后服务费等一切费用，乙方不得因市场波动等理由要求调整单价。</w:t>
      </w:r>
    </w:p>
    <w:p w14:paraId="053D511C">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t>（二）采购预算金额为（   ）元，</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7"/>
        <w:gridCol w:w="3173"/>
        <w:gridCol w:w="2131"/>
        <w:gridCol w:w="2131"/>
      </w:tblGrid>
      <w:tr w14:paraId="66563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7" w:type="dxa"/>
          </w:tcPr>
          <w:p w14:paraId="1858825C">
            <w:pPr>
              <w:widowControl w:val="0"/>
              <w:spacing w:line="360" w:lineRule="auto"/>
              <w:jc w:val="center"/>
              <w:rPr>
                <w:rFonts w:hint="default"/>
                <w:color w:val="000000" w:themeColor="text1"/>
                <w:highlight w:val="none"/>
                <w:vertAlign w:val="baseline"/>
                <w:lang w:val="en-US" w:eastAsia="zh-CN"/>
                <w14:textFill>
                  <w14:solidFill>
                    <w14:schemeClr w14:val="tx1"/>
                  </w14:solidFill>
                </w14:textFill>
              </w:rPr>
            </w:pPr>
            <w:r>
              <w:rPr>
                <w:rFonts w:hint="eastAsia"/>
                <w:color w:val="000000" w:themeColor="text1"/>
                <w:highlight w:val="none"/>
                <w:vertAlign w:val="baseline"/>
                <w:lang w:val="en-US" w:eastAsia="zh-CN"/>
                <w14:textFill>
                  <w14:solidFill>
                    <w14:schemeClr w14:val="tx1"/>
                  </w14:solidFill>
                </w14:textFill>
              </w:rPr>
              <w:t>序号</w:t>
            </w:r>
          </w:p>
        </w:tc>
        <w:tc>
          <w:tcPr>
            <w:tcW w:w="3173" w:type="dxa"/>
          </w:tcPr>
          <w:p w14:paraId="1C1B5348">
            <w:pPr>
              <w:widowControl w:val="0"/>
              <w:spacing w:line="360" w:lineRule="auto"/>
              <w:jc w:val="center"/>
              <w:rPr>
                <w:rFonts w:hint="default"/>
                <w:color w:val="000000" w:themeColor="text1"/>
                <w:highlight w:val="none"/>
                <w:vertAlign w:val="baseline"/>
                <w:lang w:val="en-US" w:eastAsia="zh-CN"/>
                <w14:textFill>
                  <w14:solidFill>
                    <w14:schemeClr w14:val="tx1"/>
                  </w14:solidFill>
                </w14:textFill>
              </w:rPr>
            </w:pPr>
            <w:r>
              <w:rPr>
                <w:rFonts w:hint="eastAsia"/>
                <w:color w:val="000000" w:themeColor="text1"/>
                <w:highlight w:val="none"/>
                <w:vertAlign w:val="baseline"/>
                <w:lang w:val="en-US" w:eastAsia="zh-CN"/>
                <w14:textFill>
                  <w14:solidFill>
                    <w14:schemeClr w14:val="tx1"/>
                  </w14:solidFill>
                </w14:textFill>
              </w:rPr>
              <w:t>产品</w:t>
            </w:r>
          </w:p>
        </w:tc>
        <w:tc>
          <w:tcPr>
            <w:tcW w:w="2131" w:type="dxa"/>
          </w:tcPr>
          <w:p w14:paraId="32995071">
            <w:pPr>
              <w:widowControl w:val="0"/>
              <w:spacing w:line="360" w:lineRule="auto"/>
              <w:jc w:val="center"/>
              <w:rPr>
                <w:rFonts w:hint="default"/>
                <w:color w:val="000000" w:themeColor="text1"/>
                <w:highlight w:val="none"/>
                <w:vertAlign w:val="baseline"/>
                <w:lang w:val="en-US" w:eastAsia="zh-CN"/>
                <w14:textFill>
                  <w14:solidFill>
                    <w14:schemeClr w14:val="tx1"/>
                  </w14:solidFill>
                </w14:textFill>
              </w:rPr>
            </w:pPr>
            <w:r>
              <w:rPr>
                <w:rFonts w:hint="eastAsia"/>
                <w:color w:val="000000" w:themeColor="text1"/>
                <w:highlight w:val="none"/>
                <w:vertAlign w:val="baseline"/>
                <w:lang w:val="en-US" w:eastAsia="zh-CN"/>
                <w14:textFill>
                  <w14:solidFill>
                    <w14:schemeClr w14:val="tx1"/>
                  </w14:solidFill>
                </w14:textFill>
              </w:rPr>
              <w:t>单价（元/个）</w:t>
            </w:r>
          </w:p>
        </w:tc>
        <w:tc>
          <w:tcPr>
            <w:tcW w:w="2131" w:type="dxa"/>
          </w:tcPr>
          <w:p w14:paraId="40497E08">
            <w:pPr>
              <w:widowControl w:val="0"/>
              <w:spacing w:line="360" w:lineRule="auto"/>
              <w:jc w:val="center"/>
              <w:rPr>
                <w:rFonts w:hint="default"/>
                <w:color w:val="000000" w:themeColor="text1"/>
                <w:highlight w:val="none"/>
                <w:vertAlign w:val="baseline"/>
                <w:lang w:val="en-US" w:eastAsia="zh-CN"/>
                <w14:textFill>
                  <w14:solidFill>
                    <w14:schemeClr w14:val="tx1"/>
                  </w14:solidFill>
                </w14:textFill>
              </w:rPr>
            </w:pPr>
            <w:r>
              <w:rPr>
                <w:rFonts w:hint="eastAsia"/>
                <w:color w:val="000000" w:themeColor="text1"/>
                <w:highlight w:val="none"/>
                <w:vertAlign w:val="baseline"/>
                <w:lang w:val="en-US" w:eastAsia="zh-CN"/>
                <w14:textFill>
                  <w14:solidFill>
                    <w14:schemeClr w14:val="tx1"/>
                  </w14:solidFill>
                </w14:textFill>
              </w:rPr>
              <w:t>品牌</w:t>
            </w:r>
          </w:p>
        </w:tc>
      </w:tr>
      <w:tr w14:paraId="4CF4E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7" w:type="dxa"/>
            <w:vAlign w:val="center"/>
          </w:tcPr>
          <w:p w14:paraId="36337A70">
            <w:pPr>
              <w:widowControl w:val="0"/>
              <w:spacing w:line="360" w:lineRule="auto"/>
              <w:jc w:val="center"/>
              <w:rPr>
                <w:rFonts w:hint="default"/>
                <w:color w:val="000000" w:themeColor="text1"/>
                <w:highlight w:val="none"/>
                <w:vertAlign w:val="baseline"/>
                <w:lang w:val="en-US" w:eastAsia="zh-CN"/>
                <w14:textFill>
                  <w14:solidFill>
                    <w14:schemeClr w14:val="tx1"/>
                  </w14:solidFill>
                </w14:textFill>
              </w:rPr>
            </w:pPr>
            <w:r>
              <w:rPr>
                <w:rFonts w:hint="eastAsia"/>
                <w:color w:val="000000" w:themeColor="text1"/>
                <w:highlight w:val="none"/>
                <w:vertAlign w:val="baseline"/>
                <w:lang w:val="en-US" w:eastAsia="zh-CN"/>
                <w14:textFill>
                  <w14:solidFill>
                    <w14:schemeClr w14:val="tx1"/>
                  </w14:solidFill>
                </w14:textFill>
              </w:rPr>
              <w:t>1</w:t>
            </w:r>
          </w:p>
        </w:tc>
        <w:tc>
          <w:tcPr>
            <w:tcW w:w="3173" w:type="dxa"/>
            <w:vAlign w:val="top"/>
          </w:tcPr>
          <w:p w14:paraId="5F687578">
            <w:pPr>
              <w:widowControl w:val="0"/>
              <w:spacing w:line="360" w:lineRule="auto"/>
              <w:jc w:val="center"/>
              <w:rPr>
                <w:rFonts w:hint="default"/>
                <w:color w:val="000000" w:themeColor="text1"/>
                <w:highlight w:val="yellow"/>
                <w:vertAlign w:val="baseline"/>
                <w:lang w:val="en-US" w:eastAsia="zh-CN"/>
                <w14:textFill>
                  <w14:solidFill>
                    <w14:schemeClr w14:val="tx1"/>
                  </w14:solidFill>
                </w14:textFill>
              </w:rPr>
            </w:pPr>
          </w:p>
        </w:tc>
        <w:tc>
          <w:tcPr>
            <w:tcW w:w="2131" w:type="dxa"/>
          </w:tcPr>
          <w:p w14:paraId="1DE1A4D2">
            <w:pPr>
              <w:widowControl w:val="0"/>
              <w:spacing w:line="360" w:lineRule="auto"/>
              <w:rPr>
                <w:rFonts w:hint="default"/>
                <w:color w:val="000000" w:themeColor="text1"/>
                <w:highlight w:val="none"/>
                <w:vertAlign w:val="baseline"/>
                <w:lang w:val="en-US" w:eastAsia="zh-CN"/>
                <w14:textFill>
                  <w14:solidFill>
                    <w14:schemeClr w14:val="tx1"/>
                  </w14:solidFill>
                </w14:textFill>
              </w:rPr>
            </w:pPr>
          </w:p>
        </w:tc>
        <w:tc>
          <w:tcPr>
            <w:tcW w:w="2131" w:type="dxa"/>
          </w:tcPr>
          <w:p w14:paraId="6D9261D3">
            <w:pPr>
              <w:widowControl w:val="0"/>
              <w:spacing w:line="360" w:lineRule="auto"/>
              <w:rPr>
                <w:rFonts w:hint="default"/>
                <w:color w:val="000000" w:themeColor="text1"/>
                <w:highlight w:val="none"/>
                <w:vertAlign w:val="baseline"/>
                <w:lang w:val="en-US" w:eastAsia="zh-CN"/>
                <w14:textFill>
                  <w14:solidFill>
                    <w14:schemeClr w14:val="tx1"/>
                  </w14:solidFill>
                </w14:textFill>
              </w:rPr>
            </w:pPr>
          </w:p>
        </w:tc>
      </w:tr>
      <w:tr w14:paraId="679F1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7" w:type="dxa"/>
            <w:vAlign w:val="center"/>
          </w:tcPr>
          <w:p w14:paraId="1D5E18B9">
            <w:pPr>
              <w:widowControl w:val="0"/>
              <w:spacing w:line="360" w:lineRule="auto"/>
              <w:jc w:val="center"/>
              <w:rPr>
                <w:rFonts w:hint="default"/>
                <w:color w:val="000000" w:themeColor="text1"/>
                <w:highlight w:val="none"/>
                <w:vertAlign w:val="baseline"/>
                <w:lang w:val="en-US" w:eastAsia="zh-CN"/>
                <w14:textFill>
                  <w14:solidFill>
                    <w14:schemeClr w14:val="tx1"/>
                  </w14:solidFill>
                </w14:textFill>
              </w:rPr>
            </w:pPr>
            <w:r>
              <w:rPr>
                <w:rFonts w:hint="eastAsia"/>
                <w:color w:val="000000" w:themeColor="text1"/>
                <w:highlight w:val="none"/>
                <w:vertAlign w:val="baseline"/>
                <w:lang w:val="en-US" w:eastAsia="zh-CN"/>
                <w14:textFill>
                  <w14:solidFill>
                    <w14:schemeClr w14:val="tx1"/>
                  </w14:solidFill>
                </w14:textFill>
              </w:rPr>
              <w:t>2</w:t>
            </w:r>
          </w:p>
        </w:tc>
        <w:tc>
          <w:tcPr>
            <w:tcW w:w="3173" w:type="dxa"/>
            <w:vAlign w:val="top"/>
          </w:tcPr>
          <w:p w14:paraId="551A344D">
            <w:pPr>
              <w:widowControl w:val="0"/>
              <w:spacing w:line="360" w:lineRule="auto"/>
              <w:jc w:val="center"/>
              <w:rPr>
                <w:rFonts w:hint="default"/>
                <w:color w:val="000000" w:themeColor="text1"/>
                <w:highlight w:val="yellow"/>
                <w:vertAlign w:val="baseline"/>
                <w:lang w:val="en-US" w:eastAsia="zh-CN"/>
                <w14:textFill>
                  <w14:solidFill>
                    <w14:schemeClr w14:val="tx1"/>
                  </w14:solidFill>
                </w14:textFill>
              </w:rPr>
            </w:pPr>
          </w:p>
        </w:tc>
        <w:tc>
          <w:tcPr>
            <w:tcW w:w="2131" w:type="dxa"/>
          </w:tcPr>
          <w:p w14:paraId="60BDF3BA">
            <w:pPr>
              <w:widowControl w:val="0"/>
              <w:spacing w:line="360" w:lineRule="auto"/>
              <w:rPr>
                <w:rFonts w:hint="default"/>
                <w:color w:val="000000" w:themeColor="text1"/>
                <w:highlight w:val="none"/>
                <w:vertAlign w:val="baseline"/>
                <w:lang w:val="en-US" w:eastAsia="zh-CN"/>
                <w14:textFill>
                  <w14:solidFill>
                    <w14:schemeClr w14:val="tx1"/>
                  </w14:solidFill>
                </w14:textFill>
              </w:rPr>
            </w:pPr>
          </w:p>
        </w:tc>
        <w:tc>
          <w:tcPr>
            <w:tcW w:w="2131" w:type="dxa"/>
          </w:tcPr>
          <w:p w14:paraId="70250837">
            <w:pPr>
              <w:widowControl w:val="0"/>
              <w:spacing w:line="360" w:lineRule="auto"/>
              <w:rPr>
                <w:rFonts w:hint="default"/>
                <w:color w:val="000000" w:themeColor="text1"/>
                <w:highlight w:val="none"/>
                <w:vertAlign w:val="baseline"/>
                <w:lang w:val="en-US" w:eastAsia="zh-CN"/>
                <w14:textFill>
                  <w14:solidFill>
                    <w14:schemeClr w14:val="tx1"/>
                  </w14:solidFill>
                </w14:textFill>
              </w:rPr>
            </w:pPr>
          </w:p>
        </w:tc>
      </w:tr>
      <w:tr w14:paraId="1A4A5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7" w:type="dxa"/>
          </w:tcPr>
          <w:p w14:paraId="73C4B2E9">
            <w:pPr>
              <w:widowControl w:val="0"/>
              <w:spacing w:line="360" w:lineRule="auto"/>
              <w:jc w:val="center"/>
              <w:rPr>
                <w:rFonts w:hint="eastAsia"/>
                <w:color w:val="000000" w:themeColor="text1"/>
                <w:highlight w:val="none"/>
                <w:vertAlign w:val="baseline"/>
                <w:lang w:val="en-US" w:eastAsia="zh-CN"/>
                <w14:textFill>
                  <w14:solidFill>
                    <w14:schemeClr w14:val="tx1"/>
                  </w14:solidFill>
                </w14:textFill>
              </w:rPr>
            </w:pPr>
            <w:r>
              <w:rPr>
                <w:rFonts w:hint="eastAsia"/>
                <w:color w:val="000000" w:themeColor="text1"/>
                <w:highlight w:val="none"/>
                <w:vertAlign w:val="baseline"/>
                <w:lang w:val="en-US" w:eastAsia="zh-CN"/>
                <w14:textFill>
                  <w14:solidFill>
                    <w14:schemeClr w14:val="tx1"/>
                  </w14:solidFill>
                </w14:textFill>
              </w:rPr>
              <w:t>...</w:t>
            </w:r>
          </w:p>
        </w:tc>
        <w:tc>
          <w:tcPr>
            <w:tcW w:w="3173" w:type="dxa"/>
            <w:vAlign w:val="top"/>
          </w:tcPr>
          <w:p w14:paraId="3146FDA0">
            <w:pPr>
              <w:widowControl w:val="0"/>
              <w:spacing w:line="360" w:lineRule="auto"/>
              <w:jc w:val="center"/>
              <w:rPr>
                <w:rFonts w:hint="default"/>
                <w:color w:val="000000" w:themeColor="text1"/>
                <w:highlight w:val="yellow"/>
                <w:vertAlign w:val="baseline"/>
                <w:lang w:val="en-US" w:eastAsia="zh-CN"/>
                <w14:textFill>
                  <w14:solidFill>
                    <w14:schemeClr w14:val="tx1"/>
                  </w14:solidFill>
                </w14:textFill>
              </w:rPr>
            </w:pPr>
          </w:p>
        </w:tc>
        <w:tc>
          <w:tcPr>
            <w:tcW w:w="2131" w:type="dxa"/>
          </w:tcPr>
          <w:p w14:paraId="1D748B3F">
            <w:pPr>
              <w:widowControl w:val="0"/>
              <w:spacing w:line="360" w:lineRule="auto"/>
              <w:rPr>
                <w:rFonts w:hint="default"/>
                <w:color w:val="000000" w:themeColor="text1"/>
                <w:highlight w:val="none"/>
                <w:vertAlign w:val="baseline"/>
                <w:lang w:val="en-US" w:eastAsia="zh-CN"/>
                <w14:textFill>
                  <w14:solidFill>
                    <w14:schemeClr w14:val="tx1"/>
                  </w14:solidFill>
                </w14:textFill>
              </w:rPr>
            </w:pPr>
          </w:p>
        </w:tc>
        <w:tc>
          <w:tcPr>
            <w:tcW w:w="2131" w:type="dxa"/>
          </w:tcPr>
          <w:p w14:paraId="52E24D42">
            <w:pPr>
              <w:widowControl w:val="0"/>
              <w:spacing w:line="360" w:lineRule="auto"/>
              <w:rPr>
                <w:rFonts w:hint="default"/>
                <w:color w:val="000000" w:themeColor="text1"/>
                <w:highlight w:val="none"/>
                <w:vertAlign w:val="baseline"/>
                <w:lang w:val="en-US" w:eastAsia="zh-CN"/>
                <w14:textFill>
                  <w14:solidFill>
                    <w14:schemeClr w14:val="tx1"/>
                  </w14:solidFill>
                </w14:textFill>
              </w:rPr>
            </w:pPr>
          </w:p>
        </w:tc>
      </w:tr>
    </w:tbl>
    <w:p w14:paraId="1827A105">
      <w:pPr>
        <w:rPr>
          <w:rFonts w:hint="default"/>
          <w:color w:val="000000" w:themeColor="text1"/>
          <w:highlight w:val="none"/>
          <w:lang w:val="en-US" w:eastAsia="zh-CN"/>
          <w14:textFill>
            <w14:solidFill>
              <w14:schemeClr w14:val="tx1"/>
            </w14:solidFill>
          </w14:textFill>
        </w:rPr>
      </w:pPr>
    </w:p>
    <w:p w14:paraId="013F4DEB">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jc w:val="both"/>
        <w:textAlignment w:val="baseline"/>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b/>
          <w:bCs/>
          <w:color w:val="000000" w:themeColor="text1"/>
          <w:kern w:val="0"/>
          <w:sz w:val="28"/>
          <w:szCs w:val="28"/>
          <w:lang w:val="en-US" w:eastAsia="zh-CN" w:bidi="ar"/>
          <w14:textFill>
            <w14:solidFill>
              <w14:schemeClr w14:val="tx1"/>
            </w14:solidFill>
          </w14:textFill>
        </w:rPr>
        <w:t>三、款项结算</w:t>
      </w:r>
    </w:p>
    <w:p w14:paraId="080D18C3">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t>（一）按月结算，每月5日前，乙方需向甲方提交上月结算资料，包括：《结算申请单》《政府采购项目验收单》（上月每次验收的原件）、合法有效的增值税专用发票、上月供货明细（含产品类型、数量、金额。</w:t>
      </w:r>
    </w:p>
    <w:p w14:paraId="238B4476">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t>（二）支付方式：银行转账。</w:t>
      </w:r>
    </w:p>
    <w:p w14:paraId="1C311742">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t>（三）付款方式：验收合格后，乙方持中标通知书、供货合同、发票政府采购项目验收单，每月以西安市殡仪馆实际销售商品数量及中标单价为依据与采购人进行结算。</w:t>
      </w:r>
    </w:p>
    <w:p w14:paraId="3C2CAF32">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jc w:val="both"/>
        <w:textAlignment w:val="baseline"/>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b/>
          <w:bCs/>
          <w:color w:val="000000" w:themeColor="text1"/>
          <w:kern w:val="0"/>
          <w:sz w:val="28"/>
          <w:szCs w:val="28"/>
          <w:lang w:val="en-US" w:eastAsia="zh-CN" w:bidi="ar"/>
          <w14:textFill>
            <w14:solidFill>
              <w14:schemeClr w14:val="tx1"/>
            </w14:solidFill>
          </w14:textFill>
        </w:rPr>
        <w:t>四、质量保证</w:t>
      </w:r>
    </w:p>
    <w:p w14:paraId="7FD622F2">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t>（一）所选原材料必须保证质量可靠、进货渠道正规，符合国家相关标准并满足招标文件要求;</w:t>
      </w:r>
    </w:p>
    <w:p w14:paraId="356F54D4">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t>（二）所供成品保证质量合格，符合国家有关技术规范，确保无水货、假货、翻新货及残次品，并能按期交货。</w:t>
      </w:r>
    </w:p>
    <w:p w14:paraId="31D01F0B">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t>（三）保证所供货物在装卸、运输和仓储过程中有足够的包装保护，防止支腐烂、遭受冲撞及其他不可预见的损坏;</w:t>
      </w:r>
    </w:p>
    <w:p w14:paraId="035824EC">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t>（四）</w:t>
      </w:r>
      <w:r>
        <w:rPr>
          <w:rFonts w:hint="eastAsia" w:ascii="方正仿宋_GB2312" w:hAnsi="方正仿宋_GB2312" w:eastAsia="方正仿宋_GB2312" w:cs="方正仿宋_GB2312"/>
          <w:color w:val="000000" w:themeColor="text1"/>
          <w:sz w:val="28"/>
          <w:szCs w:val="28"/>
          <w14:textFill>
            <w14:solidFill>
              <w14:schemeClr w14:val="tx1"/>
            </w14:solidFill>
          </w14:textFill>
        </w:rPr>
        <w:t>若因货物质量问题（如防渗漏失效、提手断裂、尺寸不达标等）导致遗体外漏、掉落、摔伤或遗体体液外流，引发家属投诉、索赔或媒体曝光等，所有赔偿费用（包括家属赔偿金、律师费、诉讼费、甲方声誉损失费）均由乙方承担，甲方有权视情节轻重解除合同。</w:t>
      </w:r>
    </w:p>
    <w:p w14:paraId="023735E9">
      <w:pPr>
        <w:keepNext w:val="0"/>
        <w:keepLines w:val="0"/>
        <w:pageBreakBefore w:val="0"/>
        <w:widowControl w:val="0"/>
        <w:numPr>
          <w:ilvl w:val="0"/>
          <w:numId w:val="0"/>
        </w:numPr>
        <w:suppressLineNumbers w:val="0"/>
        <w:pBdr>
          <w:left w:val="none" w:color="auto" w:sz="0" w:space="0"/>
        </w:pBdr>
        <w:kinsoku/>
        <w:wordWrap/>
        <w:overflowPunct w:val="0"/>
        <w:topLinePunct w:val="0"/>
        <w:autoSpaceDE/>
        <w:autoSpaceDN/>
        <w:bidi w:val="0"/>
        <w:adjustRightInd w:val="0"/>
        <w:snapToGrid w:val="0"/>
        <w:spacing w:before="0" w:beforeAutospacing="0" w:after="0" w:afterAutospacing="0" w:line="360" w:lineRule="auto"/>
        <w:ind w:firstLine="560" w:firstLineChars="200"/>
        <w:outlineLvl w:val="9"/>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t>（五）</w:t>
      </w:r>
      <w:r>
        <w:rPr>
          <w:rFonts w:hint="eastAsia" w:ascii="方正仿宋_GB2312" w:hAnsi="方正仿宋_GB2312" w:eastAsia="方正仿宋_GB2312" w:cs="方正仿宋_GB2312"/>
          <w:color w:val="000000" w:themeColor="text1"/>
          <w:sz w:val="28"/>
          <w:szCs w:val="28"/>
          <w14:textFill>
            <w14:solidFill>
              <w14:schemeClr w14:val="tx1"/>
            </w14:solidFill>
          </w14:textFill>
        </w:rPr>
        <w:t>乙方所供货物若涉及知识产权侵权（如专利、商标侵权），一切法律责任由乙方承担，甲方因此遭受的损失（包括但不限于罚款、赔偿款）由乙方全额赔偿。</w:t>
      </w:r>
    </w:p>
    <w:p w14:paraId="790DC62D">
      <w:pPr>
        <w:keepNext w:val="0"/>
        <w:keepLines w:val="0"/>
        <w:pageBreakBefore w:val="0"/>
        <w:widowControl w:val="0"/>
        <w:numPr>
          <w:ilvl w:val="0"/>
          <w:numId w:val="0"/>
        </w:numPr>
        <w:suppressLineNumbers w:val="0"/>
        <w:pBdr>
          <w:left w:val="none" w:color="auto" w:sz="0" w:space="0"/>
        </w:pBdr>
        <w:kinsoku/>
        <w:wordWrap/>
        <w:overflowPunct w:val="0"/>
        <w:topLinePunct w:val="0"/>
        <w:autoSpaceDE/>
        <w:autoSpaceDN/>
        <w:bidi w:val="0"/>
        <w:adjustRightInd w:val="0"/>
        <w:snapToGrid w:val="0"/>
        <w:spacing w:before="0" w:beforeAutospacing="0" w:after="0" w:afterAutospacing="0" w:line="360" w:lineRule="auto"/>
        <w:ind w:firstLine="560" w:firstLineChars="200"/>
        <w:outlineLvl w:val="9"/>
        <w:rPr>
          <w:rFonts w:hint="eastAsia"/>
          <w:color w:val="000000" w:themeColor="text1"/>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eastAsia="zh-CN"/>
          <w14:textFill>
            <w14:solidFill>
              <w14:schemeClr w14:val="tx1"/>
            </w14:solidFill>
          </w14:textFill>
        </w:rPr>
        <w:t>（</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六</w:t>
      </w:r>
      <w:r>
        <w:rPr>
          <w:rFonts w:hint="eastAsia" w:ascii="方正仿宋_GB2312" w:hAnsi="方正仿宋_GB2312" w:eastAsia="方正仿宋_GB2312" w:cs="方正仿宋_GB2312"/>
          <w:color w:val="000000" w:themeColor="text1"/>
          <w:sz w:val="28"/>
          <w:szCs w:val="28"/>
          <w:lang w:eastAsia="zh-CN"/>
          <w14:textFill>
            <w14:solidFill>
              <w14:schemeClr w14:val="tx1"/>
            </w14:solidFill>
          </w14:textFill>
        </w:rPr>
        <w:t>）</w:t>
      </w:r>
      <w:r>
        <w:rPr>
          <w:rFonts w:hint="eastAsia" w:ascii="方正仿宋_GB2312" w:hAnsi="方正仿宋_GB2312" w:eastAsia="方正仿宋_GB2312" w:cs="方正仿宋_GB2312"/>
          <w:color w:val="000000" w:themeColor="text1"/>
          <w:sz w:val="28"/>
          <w:szCs w:val="28"/>
          <w14:textFill>
            <w14:solidFill>
              <w14:schemeClr w14:val="tx1"/>
            </w14:solidFill>
          </w14:textFill>
        </w:rPr>
        <w:t>货物质量保证期自甲方验收合格之日起不少于12个月，若国家相关标准规定的质保期长于12个月，按国家标准执行；质保期内货物出现质量问题的，乙方需在接到甲方通知后2小时内响应24小时内到场处理（包括免费更换合格货物、现场修复等），逾期未处理的，甲方有权自行委托第三方处理，费用由乙方承担。</w:t>
      </w:r>
    </w:p>
    <w:p w14:paraId="37EB94AA">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jc w:val="both"/>
        <w:textAlignment w:val="baseline"/>
        <w:rPr>
          <w:rFonts w:hint="eastAsia" w:ascii="方正仿宋_GB2312" w:hAnsi="方正仿宋_GB2312" w:eastAsia="方正仿宋_GB2312" w:cs="方正仿宋_GB2312"/>
          <w:b/>
          <w:bCs/>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b/>
          <w:bCs/>
          <w:color w:val="000000" w:themeColor="text1"/>
          <w:kern w:val="0"/>
          <w:sz w:val="28"/>
          <w:szCs w:val="28"/>
          <w:lang w:val="en-US" w:eastAsia="zh-CN" w:bidi="ar"/>
          <w14:textFill>
            <w14:solidFill>
              <w14:schemeClr w14:val="tx1"/>
            </w14:solidFill>
          </w14:textFill>
        </w:rPr>
        <w:t>五、运输</w:t>
      </w:r>
    </w:p>
    <w:p w14:paraId="08D97AD3">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t>（一）运输由乙方负责，运杂费已包含在合同总价内，包括从货物供应地点运送至交货地点所含的运输费、装卸费、仓储费、保险费等。</w:t>
      </w:r>
    </w:p>
    <w:p w14:paraId="5DF84113">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t>（二）运输方式由乙方自行选择，但必须保证按期交货（</w:t>
      </w:r>
      <w:r>
        <w:rPr>
          <w:rFonts w:hint="eastAsia" w:ascii="方正仿宋_GB2312" w:hAnsi="方正仿宋_GB2312" w:eastAsia="方正仿宋_GB2312" w:cs="方正仿宋_GB2312"/>
          <w:color w:val="000000" w:themeColor="text1"/>
          <w:sz w:val="28"/>
          <w:szCs w:val="28"/>
          <w14:textFill>
            <w14:solidFill>
              <w14:schemeClr w14:val="tx1"/>
            </w14:solidFill>
          </w14:textFill>
        </w:rPr>
        <w:t>乙方运输车辆需符合西安市交通管理及殡葬服务卫生要求，若因乙方运输不当引发舆情风险，乙方需承担甲方声誉损失赔偿</w:t>
      </w:r>
      <w:r>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t>）。</w:t>
      </w:r>
    </w:p>
    <w:p w14:paraId="3EDC051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color w:val="000000" w:themeColor="text1"/>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t>（三）</w:t>
      </w:r>
      <w:r>
        <w:rPr>
          <w:rFonts w:hint="eastAsia" w:ascii="方正仿宋_GB2312" w:hAnsi="方正仿宋_GB2312" w:eastAsia="方正仿宋_GB2312" w:cs="方正仿宋_GB2312"/>
          <w:snapToGrid w:val="0"/>
          <w:color w:val="000000" w:themeColor="text1"/>
          <w:kern w:val="0"/>
          <w:sz w:val="28"/>
          <w:szCs w:val="28"/>
          <w:lang w:val="en-US" w:eastAsia="en-US" w:bidi="ar-SA"/>
          <w14:textFill>
            <w14:solidFill>
              <w14:schemeClr w14:val="tx1"/>
            </w14:solidFill>
          </w14:textFill>
        </w:rPr>
        <w:t>货物包装需符合殡葬用品卫生要求，采用防水、防污染包装材料，每个包装单元标注产品类型、生产日期、保质期、乙方联系方式，便于甲方存储和管理</w:t>
      </w:r>
      <w:r>
        <w:rPr>
          <w:rFonts w:hint="eastAsia" w:ascii="方正仿宋_GB2312" w:hAnsi="方正仿宋_GB2312" w:eastAsia="方正仿宋_GB2312" w:cs="方正仿宋_GB2312"/>
          <w:snapToGrid w:val="0"/>
          <w:color w:val="000000" w:themeColor="text1"/>
          <w:kern w:val="0"/>
          <w:sz w:val="28"/>
          <w:szCs w:val="28"/>
          <w:lang w:val="en-US" w:eastAsia="zh-CN" w:bidi="ar-SA"/>
          <w14:textFill>
            <w14:solidFill>
              <w14:schemeClr w14:val="tx1"/>
            </w14:solidFill>
          </w14:textFill>
        </w:rPr>
        <w:t>。</w:t>
      </w:r>
    </w:p>
    <w:p w14:paraId="1BF491B9">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jc w:val="both"/>
        <w:textAlignment w:val="baseline"/>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b/>
          <w:bCs/>
          <w:color w:val="000000" w:themeColor="text1"/>
          <w:kern w:val="0"/>
          <w:sz w:val="28"/>
          <w:szCs w:val="28"/>
          <w:lang w:val="en-US" w:eastAsia="zh-CN" w:bidi="ar"/>
          <w14:textFill>
            <w14:solidFill>
              <w14:schemeClr w14:val="tx1"/>
            </w14:solidFill>
          </w14:textFill>
        </w:rPr>
        <w:t>六、验收</w:t>
      </w:r>
    </w:p>
    <w:p w14:paraId="56F4A51C">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t>（一）货物到达采购人指定地点后，采购人根据合同要求，进行验收，确认产地、规格和数量。必要时委托具有相关资质的第三方检测机构或邀请行业内专家对货物外观质量等进行抽样检验，检验费用由乙方承担。</w:t>
      </w:r>
    </w:p>
    <w:p w14:paraId="4487C194">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t>（二）验收依据</w:t>
      </w:r>
    </w:p>
    <w:p w14:paraId="193706E8">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t>1、招标文件、投标文件、澄清表（函）；</w:t>
      </w:r>
    </w:p>
    <w:p w14:paraId="421A1DF5">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t>2、本合同及附件文本；</w:t>
      </w:r>
    </w:p>
    <w:p w14:paraId="3C0E9A89">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t>3、国家相应的标准、规范。</w:t>
      </w:r>
    </w:p>
    <w:p w14:paraId="1FDF76B9">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jc w:val="both"/>
        <w:textAlignment w:val="baseline"/>
        <w:rPr>
          <w:rFonts w:hint="eastAsia" w:ascii="方正仿宋_GB2312" w:hAnsi="方正仿宋_GB2312" w:eastAsia="方正仿宋_GB2312" w:cs="方正仿宋_GB2312"/>
          <w:b/>
          <w:bCs/>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b/>
          <w:bCs/>
          <w:color w:val="000000" w:themeColor="text1"/>
          <w:kern w:val="0"/>
          <w:sz w:val="28"/>
          <w:szCs w:val="28"/>
          <w:lang w:val="en-US" w:eastAsia="zh-CN" w:bidi="ar"/>
          <w14:textFill>
            <w14:solidFill>
              <w14:schemeClr w14:val="tx1"/>
            </w14:solidFill>
          </w14:textFill>
        </w:rPr>
        <w:t>七、售后服务</w:t>
      </w:r>
    </w:p>
    <w:p w14:paraId="71B8FC06">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t>质保期：采购人收到货物之日起至少12个月，若该质量保证期小于国家标准，则以国家标准为准。</w:t>
      </w:r>
    </w:p>
    <w:p w14:paraId="6826434B">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t>质保期内：</w:t>
      </w:r>
    </w:p>
    <w:p w14:paraId="71079A72">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t>1、30天内，如出现质量问题，可以选择换货或退货；</w:t>
      </w:r>
    </w:p>
    <w:p w14:paraId="275041C0">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t>2、30天至60天内，如出现质量问题，可选择换货。</w:t>
      </w:r>
    </w:p>
    <w:p w14:paraId="28DE858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default"/>
          <w:color w:val="000000" w:themeColor="text1"/>
          <w:lang w:val="en-US" w:eastAsia="zh-CN"/>
          <w14:textFill>
            <w14:solidFill>
              <w14:schemeClr w14:val="tx1"/>
            </w14:solidFill>
          </w14:textFill>
        </w:rPr>
      </w:pPr>
      <w:r>
        <w:rPr>
          <w:rFonts w:hint="eastAsia" w:ascii="方正仿宋_GB2312" w:hAnsi="方正仿宋_GB2312" w:eastAsia="方正仿宋_GB2312" w:cs="方正仿宋_GB2312"/>
          <w:snapToGrid w:val="0"/>
          <w:color w:val="000000" w:themeColor="text1"/>
          <w:kern w:val="0"/>
          <w:sz w:val="28"/>
          <w:szCs w:val="28"/>
          <w:lang w:val="en-US" w:eastAsia="zh-CN" w:bidi="ar-SA"/>
          <w14:textFill>
            <w14:solidFill>
              <w14:schemeClr w14:val="tx1"/>
            </w14:solidFill>
          </w14:textFill>
        </w:rPr>
        <w:t>3、</w:t>
      </w:r>
      <w:r>
        <w:rPr>
          <w:rFonts w:hint="eastAsia" w:ascii="方正仿宋_GB2312" w:hAnsi="方正仿宋_GB2312" w:eastAsia="方正仿宋_GB2312" w:cs="方正仿宋_GB2312"/>
          <w:snapToGrid w:val="0"/>
          <w:color w:val="000000" w:themeColor="text1"/>
          <w:kern w:val="0"/>
          <w:sz w:val="28"/>
          <w:szCs w:val="28"/>
          <w:lang w:val="en-US" w:eastAsia="en-US" w:bidi="ar-SA"/>
          <w14:textFill>
            <w14:solidFill>
              <w14:schemeClr w14:val="tx1"/>
            </w14:solidFill>
          </w14:textFill>
        </w:rPr>
        <w:t>质保期内，甲方若发现货物质量问题，可通过电话、微信等方式通知乙方，乙方需在2小时内回复处理方案，24小时内到场解决；若乙方未按时响应或处理不当，甲方有权扣减乙方当月结算金额的10%作为违约金，同时自行采取补救措施，费用由乙方承担。</w:t>
      </w:r>
    </w:p>
    <w:p w14:paraId="0A4EAB72">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jc w:val="both"/>
        <w:textAlignment w:val="baseline"/>
        <w:rPr>
          <w:rFonts w:hint="eastAsia" w:ascii="方正仿宋_GB2312" w:hAnsi="方正仿宋_GB2312" w:eastAsia="方正仿宋_GB2312" w:cs="方正仿宋_GB2312"/>
          <w:b/>
          <w:bCs/>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b/>
          <w:bCs/>
          <w:color w:val="000000" w:themeColor="text1"/>
          <w:kern w:val="0"/>
          <w:sz w:val="28"/>
          <w:szCs w:val="28"/>
          <w:lang w:val="en-US" w:eastAsia="zh-CN" w:bidi="ar"/>
          <w14:textFill>
            <w14:solidFill>
              <w14:schemeClr w14:val="tx1"/>
            </w14:solidFill>
          </w14:textFill>
        </w:rPr>
        <w:t>八、技术与服务</w:t>
      </w:r>
    </w:p>
    <w:p w14:paraId="35F92219">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t>（一）技术资料</w:t>
      </w:r>
    </w:p>
    <w:p w14:paraId="78DF0FD0">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t>1、质量合格证；</w:t>
      </w:r>
    </w:p>
    <w:p w14:paraId="33803D21">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t>2、使用说明；</w:t>
      </w:r>
    </w:p>
    <w:p w14:paraId="0082B028">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t>3、其它资料。</w:t>
      </w:r>
    </w:p>
    <w:p w14:paraId="5AB5D5D7">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t>（二）服务承诺</w:t>
      </w:r>
    </w:p>
    <w:p w14:paraId="207DA384">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t>以投标文件、澄清表（函）、合同和货物的相关文件为准。</w:t>
      </w:r>
    </w:p>
    <w:p w14:paraId="2F5D0B15">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jc w:val="both"/>
        <w:textAlignment w:val="baseline"/>
        <w:rPr>
          <w:rFonts w:hint="eastAsia" w:ascii="方正仿宋_GB2312" w:hAnsi="方正仿宋_GB2312" w:eastAsia="方正仿宋_GB2312" w:cs="方正仿宋_GB2312"/>
          <w:b/>
          <w:bCs/>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b/>
          <w:bCs/>
          <w:color w:val="000000" w:themeColor="text1"/>
          <w:kern w:val="0"/>
          <w:sz w:val="28"/>
          <w:szCs w:val="28"/>
          <w:lang w:val="en-US" w:eastAsia="zh-CN" w:bidi="ar"/>
          <w14:textFill>
            <w14:solidFill>
              <w14:schemeClr w14:val="tx1"/>
            </w14:solidFill>
          </w14:textFill>
        </w:rPr>
        <w:t>九、违约责任</w:t>
      </w:r>
    </w:p>
    <w:p w14:paraId="59C4E852">
      <w:pPr>
        <w:keepNext w:val="0"/>
        <w:keepLines w:val="0"/>
        <w:pageBreakBefore w:val="0"/>
        <w:widowControl w:val="0"/>
        <w:numPr>
          <w:ilvl w:val="0"/>
          <w:numId w:val="0"/>
        </w:numPr>
        <w:suppressLineNumbers w:val="0"/>
        <w:pBdr>
          <w:left w:val="none" w:color="auto" w:sz="0" w:space="0"/>
        </w:pBdr>
        <w:kinsoku/>
        <w:wordWrap/>
        <w:overflowPunct w:val="0"/>
        <w:topLinePunct w:val="0"/>
        <w:autoSpaceDE/>
        <w:autoSpaceDN/>
        <w:bidi w:val="0"/>
        <w:adjustRightInd w:val="0"/>
        <w:snapToGrid w:val="0"/>
        <w:spacing w:before="0" w:beforeAutospacing="0" w:after="0" w:afterAutospacing="0" w:line="360" w:lineRule="auto"/>
        <w:ind w:firstLine="560" w:firstLineChars="200"/>
        <w:outlineLvl w:val="9"/>
        <w:rPr>
          <w:rFonts w:hint="eastAsia"/>
          <w:color w:val="000000" w:themeColor="text1"/>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eastAsia="zh-CN"/>
          <w14:textFill>
            <w14:solidFill>
              <w14:schemeClr w14:val="tx1"/>
            </w14:solidFill>
          </w14:textFill>
        </w:rPr>
        <w:t>（</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一</w:t>
      </w:r>
      <w:r>
        <w:rPr>
          <w:rFonts w:hint="eastAsia" w:ascii="方正仿宋_GB2312" w:hAnsi="方正仿宋_GB2312" w:eastAsia="方正仿宋_GB2312" w:cs="方正仿宋_GB2312"/>
          <w:color w:val="000000" w:themeColor="text1"/>
          <w:sz w:val="28"/>
          <w:szCs w:val="28"/>
          <w:lang w:eastAsia="zh-CN"/>
          <w14:textFill>
            <w14:solidFill>
              <w14:schemeClr w14:val="tx1"/>
            </w14:solidFill>
          </w14:textFill>
        </w:rPr>
        <w:t>）</w:t>
      </w:r>
      <w:r>
        <w:rPr>
          <w:rFonts w:hint="eastAsia" w:ascii="方正仿宋_GB2312" w:hAnsi="方正仿宋_GB2312" w:eastAsia="方正仿宋_GB2312" w:cs="方正仿宋_GB2312"/>
          <w:color w:val="000000" w:themeColor="text1"/>
          <w:sz w:val="28"/>
          <w:szCs w:val="28"/>
          <w14:textFill>
            <w14:solidFill>
              <w14:schemeClr w14:val="tx1"/>
            </w14:solidFill>
          </w14:textFill>
        </w:rPr>
        <w:t>乙方提供虚假资料（如伪造业绩、资质、质检报告）的，甲方有权单方解除合同，乙方需返还已收款项，并按合同预算金额的10%向甲方支付违约金，甲方有权将乙方列入政府采购“黑名单”推荐名单。</w:t>
      </w:r>
    </w:p>
    <w:p w14:paraId="55F81F00">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t>（二）未按合同要求提供货物或货物不能满足合同要求，采购人会同集中采购机构有权终止合同和对乙方的违约行为进行追究，同时按《政府采购法》及相关法律法规的处罚条款报监管机构进行相应的处罚。</w:t>
      </w:r>
    </w:p>
    <w:p w14:paraId="1CB2F2E0">
      <w:pPr>
        <w:keepNext w:val="0"/>
        <w:keepLines w:val="0"/>
        <w:pageBreakBefore w:val="0"/>
        <w:widowControl w:val="0"/>
        <w:numPr>
          <w:ilvl w:val="0"/>
          <w:numId w:val="0"/>
        </w:numPr>
        <w:suppressLineNumbers w:val="0"/>
        <w:pBdr>
          <w:left w:val="none" w:color="auto" w:sz="0" w:space="0"/>
        </w:pBdr>
        <w:kinsoku/>
        <w:wordWrap/>
        <w:overflowPunct w:val="0"/>
        <w:topLinePunct w:val="0"/>
        <w:autoSpaceDE/>
        <w:autoSpaceDN/>
        <w:bidi w:val="0"/>
        <w:adjustRightInd w:val="0"/>
        <w:snapToGrid w:val="0"/>
        <w:spacing w:before="0" w:beforeAutospacing="0" w:after="0" w:afterAutospacing="0" w:line="360" w:lineRule="auto"/>
        <w:ind w:firstLine="560" w:firstLineChars="200"/>
        <w:outlineLvl w:val="9"/>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t>（三）</w:t>
      </w:r>
      <w:r>
        <w:rPr>
          <w:rFonts w:hint="eastAsia" w:ascii="方正仿宋_GB2312" w:hAnsi="方正仿宋_GB2312" w:eastAsia="方正仿宋_GB2312" w:cs="方正仿宋_GB2312"/>
          <w:color w:val="000000" w:themeColor="text1"/>
          <w:sz w:val="28"/>
          <w:szCs w:val="28"/>
          <w14:textFill>
            <w14:solidFill>
              <w14:schemeClr w14:val="tx1"/>
            </w14:solidFill>
          </w14:textFill>
        </w:rPr>
        <w:t>因乙方违约导致合同解除的，乙方需在解除合同后 10 日内清理完毕留存于甲方的货物、资料，逾期未清理的，甲方有权自行处置，处置费用由乙方承担。</w:t>
      </w:r>
    </w:p>
    <w:p w14:paraId="489D1920">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jc w:val="both"/>
        <w:textAlignment w:val="baseline"/>
        <w:rPr>
          <w:rFonts w:hint="default"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b/>
          <w:bCs/>
          <w:color w:val="000000" w:themeColor="text1"/>
          <w:kern w:val="0"/>
          <w:sz w:val="28"/>
          <w:szCs w:val="28"/>
          <w:lang w:val="en-US" w:eastAsia="zh-CN" w:bidi="ar"/>
          <w14:textFill>
            <w14:solidFill>
              <w14:schemeClr w14:val="tx1"/>
            </w14:solidFill>
          </w14:textFill>
        </w:rPr>
        <w:t>十、争议解决</w:t>
      </w:r>
    </w:p>
    <w:p w14:paraId="1B581852">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t>双方在履行合同过程中产生纠纷，应尽量协商解决，协商不成的，任何一方可向甲方所在地人民法院诉讼解决。</w:t>
      </w:r>
    </w:p>
    <w:p w14:paraId="445267E1">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jc w:val="both"/>
        <w:textAlignment w:val="baseline"/>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b/>
          <w:bCs/>
          <w:color w:val="000000" w:themeColor="text1"/>
          <w:kern w:val="0"/>
          <w:sz w:val="28"/>
          <w:szCs w:val="28"/>
          <w:lang w:val="en-US" w:eastAsia="zh-CN" w:bidi="ar"/>
          <w14:textFill>
            <w14:solidFill>
              <w14:schemeClr w14:val="tx1"/>
            </w14:solidFill>
          </w14:textFill>
        </w:rPr>
        <w:t>十一、合同份数</w:t>
      </w:r>
    </w:p>
    <w:p w14:paraId="754B0123">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color w:val="000000" w:themeColor="text1"/>
          <w:kern w:val="0"/>
          <w:sz w:val="28"/>
          <w:szCs w:val="28"/>
          <w:lang w:val="en-US" w:eastAsia="zh-CN" w:bidi="ar"/>
          <w14:textFill>
            <w14:solidFill>
              <w14:schemeClr w14:val="tx1"/>
            </w14:solidFill>
          </w14:textFill>
        </w:rPr>
        <w:t>合同一式4份，甲方2份、乙方2份（自双方法定代表人或委托代理人签字盖章后生效）。</w:t>
      </w:r>
    </w:p>
    <w:p w14:paraId="3D37815F">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jc w:val="both"/>
        <w:textAlignment w:val="baseline"/>
        <w:rPr>
          <w:rFonts w:hint="eastAsia" w:ascii="方正仿宋_GB2312" w:hAnsi="方正仿宋_GB2312" w:eastAsia="方正仿宋_GB2312" w:cs="方正仿宋_GB2312"/>
          <w:b/>
          <w:bCs/>
          <w:color w:val="000000" w:themeColor="text1"/>
          <w:kern w:val="0"/>
          <w:sz w:val="28"/>
          <w:szCs w:val="28"/>
          <w:lang w:val="en-US" w:eastAsia="zh-CN" w:bidi="ar"/>
          <w14:textFill>
            <w14:solidFill>
              <w14:schemeClr w14:val="tx1"/>
            </w14:solidFill>
          </w14:textFill>
        </w:rPr>
      </w:pPr>
      <w:r>
        <w:rPr>
          <w:rFonts w:hint="eastAsia" w:ascii="方正仿宋_GB2312" w:hAnsi="方正仿宋_GB2312" w:eastAsia="方正仿宋_GB2312" w:cs="方正仿宋_GB2312"/>
          <w:b/>
          <w:bCs/>
          <w:color w:val="000000" w:themeColor="text1"/>
          <w:kern w:val="0"/>
          <w:sz w:val="28"/>
          <w:szCs w:val="28"/>
          <w:lang w:val="en-US" w:eastAsia="zh-CN" w:bidi="ar"/>
          <w14:textFill>
            <w14:solidFill>
              <w14:schemeClr w14:val="tx1"/>
            </w14:solidFill>
          </w14:textFill>
        </w:rPr>
        <w:t>十一、其他</w:t>
      </w:r>
    </w:p>
    <w:p w14:paraId="0C150867">
      <w:pPr>
        <w:keepNext w:val="0"/>
        <w:keepLines w:val="0"/>
        <w:pageBreakBefore w:val="0"/>
        <w:widowControl w:val="0"/>
        <w:numPr>
          <w:ilvl w:val="0"/>
          <w:numId w:val="0"/>
        </w:numPr>
        <w:suppressLineNumbers w:val="0"/>
        <w:pBdr>
          <w:left w:val="none" w:color="auto" w:sz="0" w:space="0"/>
        </w:pBdr>
        <w:kinsoku/>
        <w:wordWrap/>
        <w:overflowPunct w:val="0"/>
        <w:topLinePunct w:val="0"/>
        <w:autoSpaceDE/>
        <w:autoSpaceDN/>
        <w:bidi w:val="0"/>
        <w:adjustRightInd w:val="0"/>
        <w:snapToGrid w:val="0"/>
        <w:spacing w:before="0" w:beforeAutospacing="0" w:after="0" w:afterAutospacing="0" w:line="360" w:lineRule="auto"/>
        <w:ind w:firstLine="560" w:firstLineChars="200"/>
        <w:outlineLvl w:val="9"/>
        <w:rPr>
          <w:rFonts w:hint="eastAsia" w:ascii="宋体" w:hAnsi="宋体" w:cs="宋体"/>
          <w:bCs/>
          <w:color w:val="000000" w:themeColor="text1"/>
          <w:szCs w:val="21"/>
          <w:highlight w:val="none"/>
          <w14:textFill>
            <w14:solidFill>
              <w14:schemeClr w14:val="tx1"/>
            </w14:solidFill>
          </w14:textFill>
        </w:rPr>
      </w:pPr>
      <w:r>
        <w:rPr>
          <w:rFonts w:hint="eastAsia" w:ascii="方正仿宋_GB2312" w:hAnsi="方正仿宋_GB2312" w:eastAsia="方正仿宋_GB2312" w:cs="方正仿宋_GB2312"/>
          <w:color w:val="000000" w:themeColor="text1"/>
          <w:sz w:val="28"/>
          <w:szCs w:val="28"/>
          <w14:textFill>
            <w14:solidFill>
              <w14:schemeClr w14:val="tx1"/>
            </w14:solidFill>
          </w14:textFill>
        </w:rPr>
        <w:t>本合同未尽事宜，由双方另行签订补充协议，补充协议与本合同具有同等法律效力；补充协议内容与本合同冲突的，以补充协议为准。</w:t>
      </w:r>
    </w:p>
    <w:p w14:paraId="26220BD7">
      <w:pPr>
        <w:pStyle w:val="3"/>
        <w:rPr>
          <w:rFonts w:hint="eastAsia"/>
          <w:color w:val="000000" w:themeColor="text1"/>
          <w:highlight w:val="none"/>
          <w14:textFill>
            <w14:solidFill>
              <w14:schemeClr w14:val="tx1"/>
            </w14:solidFill>
          </w14:textFill>
        </w:rPr>
      </w:pPr>
    </w:p>
    <w:tbl>
      <w:tblPr>
        <w:tblStyle w:val="6"/>
        <w:tblW w:w="5221" w:type="pct"/>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autofit"/>
        <w:tblCellMar>
          <w:top w:w="0" w:type="dxa"/>
          <w:left w:w="108" w:type="dxa"/>
          <w:bottom w:w="0" w:type="dxa"/>
          <w:right w:w="108" w:type="dxa"/>
        </w:tblCellMar>
      </w:tblPr>
      <w:tblGrid>
        <w:gridCol w:w="4449"/>
        <w:gridCol w:w="4450"/>
      </w:tblGrid>
      <w:tr w14:paraId="7741614C">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80" w:hRule="exact"/>
          <w:jc w:val="center"/>
        </w:trPr>
        <w:tc>
          <w:tcPr>
            <w:tcW w:w="2500" w:type="pct"/>
            <w:noWrap w:val="0"/>
            <w:vAlign w:val="center"/>
          </w:tcPr>
          <w:p w14:paraId="4111848E">
            <w:pPr>
              <w:autoSpaceDE w:val="0"/>
              <w:autoSpaceDN w:val="0"/>
              <w:adjustRightInd w:val="0"/>
              <w:spacing w:line="360" w:lineRule="auto"/>
              <w:ind w:firstLine="420" w:firstLineChars="200"/>
              <w:rPr>
                <w:rFonts w:hint="eastAsia" w:ascii="宋体" w:hAnsi="宋体" w:eastAsia="宋体" w:cs="宋体"/>
                <w:bCs/>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甲  方</w:t>
            </w:r>
          </w:p>
        </w:tc>
        <w:tc>
          <w:tcPr>
            <w:tcW w:w="2500" w:type="pct"/>
            <w:noWrap w:val="0"/>
            <w:vAlign w:val="center"/>
          </w:tcPr>
          <w:p w14:paraId="24C33A62">
            <w:pPr>
              <w:autoSpaceDE w:val="0"/>
              <w:autoSpaceDN w:val="0"/>
              <w:adjustRightInd w:val="0"/>
              <w:spacing w:line="360" w:lineRule="auto"/>
              <w:ind w:firstLine="420" w:firstLineChars="200"/>
              <w:rPr>
                <w:rFonts w:hint="eastAsia" w:ascii="宋体" w:hAnsi="宋体" w:eastAsia="宋体" w:cs="宋体"/>
                <w:bCs/>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乙  方</w:t>
            </w:r>
          </w:p>
        </w:tc>
      </w:tr>
      <w:tr w14:paraId="4BB555B4">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80" w:hRule="exact"/>
          <w:jc w:val="center"/>
        </w:trPr>
        <w:tc>
          <w:tcPr>
            <w:tcW w:w="2500" w:type="pct"/>
            <w:noWrap w:val="0"/>
            <w:vAlign w:val="center"/>
          </w:tcPr>
          <w:p w14:paraId="5F45DA01">
            <w:pPr>
              <w:autoSpaceDE w:val="0"/>
              <w:autoSpaceDN w:val="0"/>
              <w:adjustRightInd w:val="0"/>
              <w:spacing w:line="360" w:lineRule="auto"/>
              <w:ind w:firstLine="420" w:firstLineChars="200"/>
              <w:rPr>
                <w:rFonts w:hint="eastAsia" w:ascii="宋体" w:hAnsi="宋体" w:eastAsia="宋体" w:cs="宋体"/>
                <w:bCs/>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（盖章）</w:t>
            </w:r>
          </w:p>
        </w:tc>
        <w:tc>
          <w:tcPr>
            <w:tcW w:w="2500" w:type="pct"/>
            <w:noWrap w:val="0"/>
            <w:vAlign w:val="center"/>
          </w:tcPr>
          <w:p w14:paraId="7B83863D">
            <w:pPr>
              <w:autoSpaceDE w:val="0"/>
              <w:autoSpaceDN w:val="0"/>
              <w:adjustRightInd w:val="0"/>
              <w:spacing w:line="360" w:lineRule="auto"/>
              <w:ind w:firstLine="420" w:firstLineChars="200"/>
              <w:rPr>
                <w:rFonts w:hint="eastAsia" w:ascii="宋体" w:hAnsi="宋体" w:eastAsia="宋体" w:cs="宋体"/>
                <w:bCs/>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（盖章）</w:t>
            </w:r>
          </w:p>
        </w:tc>
      </w:tr>
      <w:tr w14:paraId="01F4E351">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80" w:hRule="exact"/>
          <w:jc w:val="center"/>
        </w:trPr>
        <w:tc>
          <w:tcPr>
            <w:tcW w:w="2500" w:type="pct"/>
            <w:noWrap w:val="0"/>
            <w:vAlign w:val="center"/>
          </w:tcPr>
          <w:p w14:paraId="0E78F084">
            <w:pPr>
              <w:autoSpaceDE w:val="0"/>
              <w:autoSpaceDN w:val="0"/>
              <w:adjustRightInd w:val="0"/>
              <w:spacing w:line="360" w:lineRule="auto"/>
              <w:ind w:firstLine="420" w:firstLineChars="200"/>
              <w:rPr>
                <w:rFonts w:hint="eastAsia" w:ascii="宋体" w:hAnsi="宋体" w:eastAsia="宋体" w:cs="宋体"/>
                <w:bCs/>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 xml:space="preserve">地址： </w:t>
            </w:r>
          </w:p>
        </w:tc>
        <w:tc>
          <w:tcPr>
            <w:tcW w:w="2500" w:type="pct"/>
            <w:noWrap w:val="0"/>
            <w:vAlign w:val="center"/>
          </w:tcPr>
          <w:p w14:paraId="1D7CE1B7">
            <w:pPr>
              <w:autoSpaceDE w:val="0"/>
              <w:autoSpaceDN w:val="0"/>
              <w:adjustRightInd w:val="0"/>
              <w:spacing w:line="360" w:lineRule="auto"/>
              <w:ind w:firstLine="420" w:firstLineChars="200"/>
              <w:rPr>
                <w:rFonts w:hint="eastAsia" w:ascii="宋体" w:hAnsi="宋体" w:eastAsia="宋体" w:cs="宋体"/>
                <w:bCs/>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地址：</w:t>
            </w:r>
          </w:p>
        </w:tc>
      </w:tr>
      <w:tr w14:paraId="0EBE1A65">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80" w:hRule="exact"/>
          <w:jc w:val="center"/>
        </w:trPr>
        <w:tc>
          <w:tcPr>
            <w:tcW w:w="2500" w:type="pct"/>
            <w:noWrap w:val="0"/>
            <w:vAlign w:val="center"/>
          </w:tcPr>
          <w:p w14:paraId="7E804F4B">
            <w:pPr>
              <w:autoSpaceDE w:val="0"/>
              <w:autoSpaceDN w:val="0"/>
              <w:adjustRightInd w:val="0"/>
              <w:spacing w:line="360" w:lineRule="auto"/>
              <w:ind w:firstLine="420" w:firstLineChars="200"/>
              <w:rPr>
                <w:rFonts w:hint="eastAsia" w:ascii="宋体" w:hAnsi="宋体" w:eastAsia="宋体" w:cs="宋体"/>
                <w:bCs/>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邮编：</w:t>
            </w:r>
          </w:p>
        </w:tc>
        <w:tc>
          <w:tcPr>
            <w:tcW w:w="2500" w:type="pct"/>
            <w:noWrap w:val="0"/>
            <w:vAlign w:val="center"/>
          </w:tcPr>
          <w:p w14:paraId="767B32A4">
            <w:pPr>
              <w:autoSpaceDE w:val="0"/>
              <w:autoSpaceDN w:val="0"/>
              <w:adjustRightInd w:val="0"/>
              <w:spacing w:line="360" w:lineRule="auto"/>
              <w:ind w:firstLine="420" w:firstLineChars="200"/>
              <w:rPr>
                <w:rFonts w:hint="eastAsia" w:ascii="宋体" w:hAnsi="宋体" w:eastAsia="宋体" w:cs="宋体"/>
                <w:bCs/>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邮编：</w:t>
            </w:r>
          </w:p>
        </w:tc>
      </w:tr>
      <w:tr w14:paraId="35082FA5">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80" w:hRule="exact"/>
          <w:jc w:val="center"/>
        </w:trPr>
        <w:tc>
          <w:tcPr>
            <w:tcW w:w="2500" w:type="pct"/>
            <w:noWrap w:val="0"/>
            <w:vAlign w:val="center"/>
          </w:tcPr>
          <w:p w14:paraId="22B2A973">
            <w:pPr>
              <w:autoSpaceDE w:val="0"/>
              <w:autoSpaceDN w:val="0"/>
              <w:adjustRightInd w:val="0"/>
              <w:spacing w:line="360" w:lineRule="auto"/>
              <w:ind w:firstLine="420" w:firstLineChars="200"/>
              <w:rPr>
                <w:rFonts w:hint="eastAsia" w:ascii="宋体" w:hAnsi="宋体" w:eastAsia="宋体" w:cs="宋体"/>
                <w:bCs/>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 xml:space="preserve">法定代表人： </w:t>
            </w:r>
          </w:p>
        </w:tc>
        <w:tc>
          <w:tcPr>
            <w:tcW w:w="2500" w:type="pct"/>
            <w:noWrap w:val="0"/>
            <w:vAlign w:val="center"/>
          </w:tcPr>
          <w:p w14:paraId="7DA6D0F3">
            <w:pPr>
              <w:autoSpaceDE w:val="0"/>
              <w:autoSpaceDN w:val="0"/>
              <w:adjustRightInd w:val="0"/>
              <w:spacing w:line="360" w:lineRule="auto"/>
              <w:ind w:firstLine="420" w:firstLineChars="200"/>
              <w:rPr>
                <w:rFonts w:hint="eastAsia" w:ascii="宋体" w:hAnsi="宋体" w:eastAsia="宋体" w:cs="宋体"/>
                <w:bCs/>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法定代表人：</w:t>
            </w:r>
          </w:p>
        </w:tc>
      </w:tr>
      <w:tr w14:paraId="55BEFA41">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80" w:hRule="exact"/>
          <w:jc w:val="center"/>
        </w:trPr>
        <w:tc>
          <w:tcPr>
            <w:tcW w:w="2500" w:type="pct"/>
            <w:noWrap w:val="0"/>
            <w:vAlign w:val="center"/>
          </w:tcPr>
          <w:p w14:paraId="27DAD552">
            <w:pPr>
              <w:autoSpaceDE w:val="0"/>
              <w:autoSpaceDN w:val="0"/>
              <w:adjustRightInd w:val="0"/>
              <w:spacing w:line="360" w:lineRule="auto"/>
              <w:ind w:firstLine="420" w:firstLineChars="200"/>
              <w:rPr>
                <w:rFonts w:hint="eastAsia" w:ascii="宋体" w:hAnsi="宋体" w:eastAsia="宋体" w:cs="宋体"/>
                <w:bCs/>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被授权代表：</w:t>
            </w:r>
          </w:p>
        </w:tc>
        <w:tc>
          <w:tcPr>
            <w:tcW w:w="2500" w:type="pct"/>
            <w:noWrap w:val="0"/>
            <w:vAlign w:val="center"/>
          </w:tcPr>
          <w:p w14:paraId="76C39A97">
            <w:pPr>
              <w:autoSpaceDE w:val="0"/>
              <w:autoSpaceDN w:val="0"/>
              <w:adjustRightInd w:val="0"/>
              <w:spacing w:line="360" w:lineRule="auto"/>
              <w:ind w:firstLine="420" w:firstLineChars="200"/>
              <w:rPr>
                <w:rFonts w:hint="eastAsia" w:ascii="宋体" w:hAnsi="宋体" w:eastAsia="宋体" w:cs="宋体"/>
                <w:bCs/>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被授权代表：</w:t>
            </w:r>
          </w:p>
        </w:tc>
      </w:tr>
      <w:tr w14:paraId="2D86F5D0">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80" w:hRule="exact"/>
          <w:jc w:val="center"/>
        </w:trPr>
        <w:tc>
          <w:tcPr>
            <w:tcW w:w="2500" w:type="pct"/>
            <w:noWrap w:val="0"/>
            <w:vAlign w:val="center"/>
          </w:tcPr>
          <w:p w14:paraId="114A468F">
            <w:pPr>
              <w:autoSpaceDE w:val="0"/>
              <w:autoSpaceDN w:val="0"/>
              <w:adjustRightInd w:val="0"/>
              <w:spacing w:line="360" w:lineRule="auto"/>
              <w:ind w:firstLine="420" w:firstLineChars="200"/>
              <w:rPr>
                <w:rFonts w:hint="eastAsia" w:ascii="宋体" w:hAnsi="宋体" w:eastAsia="宋体" w:cs="宋体"/>
                <w:bCs/>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电话：</w:t>
            </w:r>
          </w:p>
        </w:tc>
        <w:tc>
          <w:tcPr>
            <w:tcW w:w="2500" w:type="pct"/>
            <w:noWrap w:val="0"/>
            <w:vAlign w:val="center"/>
          </w:tcPr>
          <w:p w14:paraId="63086BFE">
            <w:pPr>
              <w:autoSpaceDE w:val="0"/>
              <w:autoSpaceDN w:val="0"/>
              <w:adjustRightInd w:val="0"/>
              <w:spacing w:line="360" w:lineRule="auto"/>
              <w:ind w:firstLine="420" w:firstLineChars="200"/>
              <w:rPr>
                <w:rFonts w:hint="eastAsia" w:ascii="宋体" w:hAnsi="宋体" w:eastAsia="宋体" w:cs="宋体"/>
                <w:bCs/>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电话：</w:t>
            </w:r>
          </w:p>
        </w:tc>
      </w:tr>
      <w:tr w14:paraId="2877E12C">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80" w:hRule="exact"/>
          <w:jc w:val="center"/>
        </w:trPr>
        <w:tc>
          <w:tcPr>
            <w:tcW w:w="2500" w:type="pct"/>
            <w:noWrap w:val="0"/>
            <w:vAlign w:val="center"/>
          </w:tcPr>
          <w:p w14:paraId="19506505">
            <w:pPr>
              <w:autoSpaceDE w:val="0"/>
              <w:autoSpaceDN w:val="0"/>
              <w:adjustRightInd w:val="0"/>
              <w:spacing w:line="360" w:lineRule="auto"/>
              <w:ind w:firstLine="420" w:firstLineChars="200"/>
              <w:rPr>
                <w:rFonts w:hint="eastAsia" w:ascii="宋体" w:hAnsi="宋体" w:eastAsia="宋体" w:cs="宋体"/>
                <w:bCs/>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传真：</w:t>
            </w:r>
          </w:p>
        </w:tc>
        <w:tc>
          <w:tcPr>
            <w:tcW w:w="2500" w:type="pct"/>
            <w:noWrap w:val="0"/>
            <w:vAlign w:val="center"/>
          </w:tcPr>
          <w:p w14:paraId="5385ADD9">
            <w:pPr>
              <w:autoSpaceDE w:val="0"/>
              <w:autoSpaceDN w:val="0"/>
              <w:adjustRightInd w:val="0"/>
              <w:spacing w:line="360" w:lineRule="auto"/>
              <w:ind w:firstLine="420" w:firstLineChars="200"/>
              <w:rPr>
                <w:rFonts w:hint="eastAsia" w:ascii="宋体" w:hAnsi="宋体" w:eastAsia="宋体" w:cs="宋体"/>
                <w:bCs/>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传真：</w:t>
            </w:r>
          </w:p>
        </w:tc>
      </w:tr>
      <w:tr w14:paraId="189DF072">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80" w:hRule="exact"/>
          <w:jc w:val="center"/>
        </w:trPr>
        <w:tc>
          <w:tcPr>
            <w:tcW w:w="2500" w:type="pct"/>
            <w:noWrap w:val="0"/>
            <w:vAlign w:val="center"/>
          </w:tcPr>
          <w:p w14:paraId="174DD9F5">
            <w:pPr>
              <w:autoSpaceDE w:val="0"/>
              <w:autoSpaceDN w:val="0"/>
              <w:adjustRightInd w:val="0"/>
              <w:spacing w:line="360" w:lineRule="auto"/>
              <w:ind w:firstLine="420" w:firstLineChars="200"/>
              <w:rPr>
                <w:rFonts w:hint="eastAsia" w:ascii="宋体" w:hAnsi="宋体" w:eastAsia="宋体" w:cs="宋体"/>
                <w:bCs/>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开户银行：</w:t>
            </w:r>
          </w:p>
        </w:tc>
        <w:tc>
          <w:tcPr>
            <w:tcW w:w="2500" w:type="pct"/>
            <w:noWrap w:val="0"/>
            <w:vAlign w:val="center"/>
          </w:tcPr>
          <w:p w14:paraId="69058320">
            <w:pPr>
              <w:autoSpaceDE w:val="0"/>
              <w:autoSpaceDN w:val="0"/>
              <w:adjustRightInd w:val="0"/>
              <w:spacing w:line="360" w:lineRule="auto"/>
              <w:ind w:firstLine="420" w:firstLineChars="200"/>
              <w:rPr>
                <w:rFonts w:hint="eastAsia" w:ascii="宋体" w:hAnsi="宋体" w:eastAsia="宋体" w:cs="宋体"/>
                <w:bCs/>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开户银行：</w:t>
            </w:r>
          </w:p>
        </w:tc>
      </w:tr>
      <w:tr w14:paraId="59F40E72">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600" w:hRule="exact"/>
          <w:jc w:val="center"/>
        </w:trPr>
        <w:tc>
          <w:tcPr>
            <w:tcW w:w="2500" w:type="pct"/>
            <w:noWrap w:val="0"/>
            <w:vAlign w:val="center"/>
          </w:tcPr>
          <w:p w14:paraId="216BCAD0">
            <w:pPr>
              <w:autoSpaceDE w:val="0"/>
              <w:autoSpaceDN w:val="0"/>
              <w:adjustRightInd w:val="0"/>
              <w:spacing w:line="360" w:lineRule="auto"/>
              <w:ind w:firstLine="420" w:firstLineChars="200"/>
              <w:rPr>
                <w:rFonts w:hint="eastAsia" w:ascii="宋体" w:hAnsi="宋体" w:eastAsia="宋体" w:cs="宋体"/>
                <w:bCs/>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日期：</w:t>
            </w:r>
          </w:p>
        </w:tc>
        <w:tc>
          <w:tcPr>
            <w:tcW w:w="2500" w:type="pct"/>
            <w:noWrap w:val="0"/>
            <w:vAlign w:val="center"/>
          </w:tcPr>
          <w:p w14:paraId="40915B4B">
            <w:pPr>
              <w:autoSpaceDE w:val="0"/>
              <w:autoSpaceDN w:val="0"/>
              <w:adjustRightInd w:val="0"/>
              <w:spacing w:line="360" w:lineRule="auto"/>
              <w:ind w:firstLine="420" w:firstLineChars="200"/>
              <w:rPr>
                <w:rFonts w:hint="eastAsia" w:ascii="宋体" w:hAnsi="宋体" w:eastAsia="宋体" w:cs="宋体"/>
                <w:bCs/>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日期：</w:t>
            </w:r>
          </w:p>
        </w:tc>
      </w:tr>
    </w:tbl>
    <w:p w14:paraId="4E179344">
      <w:pPr>
        <w:rPr>
          <w:color w:val="000000" w:themeColor="text1"/>
          <w14:textFill>
            <w14:solidFill>
              <w14:schemeClr w14:val="tx1"/>
            </w14:solidFill>
          </w14:textFill>
        </w:rPr>
      </w:pPr>
      <w:r>
        <w:rPr>
          <w:color w:val="000000" w:themeColor="text1"/>
          <w:highlight w:val="none"/>
          <w14:textFill>
            <w14:solidFill>
              <w14:schemeClr w14:val="tx1"/>
            </w14:solidFill>
          </w14:textFill>
        </w:rPr>
        <w:br w:type="textWrapping"/>
      </w:r>
      <w:bookmarkStart w:id="0" w:name="_GoBack"/>
      <w:bookmarkEnd w:id="0"/>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font>
  <w:font w:name="WPSEMBED1">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B961E6">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2904DE">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A2904DE">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35049B"/>
    <w:rsid w:val="0F38289C"/>
    <w:rsid w:val="16C953FC"/>
    <w:rsid w:val="3920147E"/>
    <w:rsid w:val="51FC4DA1"/>
    <w:rsid w:val="52B85890"/>
    <w:rsid w:val="65865E9F"/>
    <w:rsid w:val="720622BD"/>
    <w:rsid w:val="745B71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9"/>
    <w:pPr>
      <w:keepNext/>
      <w:keepLines/>
      <w:spacing w:before="480" w:after="80" w:line="278" w:lineRule="auto"/>
      <w:jc w:val="left"/>
      <w:outlineLvl w:val="0"/>
    </w:pPr>
    <w:rPr>
      <w:rFonts w:asciiTheme="majorHAnsi" w:hAnsiTheme="majorHAnsi" w:eastAsiaTheme="majorEastAsia" w:cstheme="majorBidi"/>
      <w:color w:val="2E54A1" w:themeColor="accent1" w:themeShade="BF"/>
      <w:sz w:val="48"/>
      <w:szCs w:val="48"/>
      <w14:ligatures w14:val="standardContextual"/>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jc w:val="center"/>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2645</Words>
  <Characters>2674</Characters>
  <Lines>0</Lines>
  <Paragraphs>0</Paragraphs>
  <TotalTime>9</TotalTime>
  <ScaleCrop>false</ScaleCrop>
  <LinksUpToDate>false</LinksUpToDate>
  <CharactersWithSpaces>2708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2025-10-15T06:45:00Z</dcterms:created>
  <dc:creator>Administrator</dc:creator>
  <cp:lastModifiedBy>内心的正道</cp:lastModifiedBy>
  <dcterms:modified xsi:type="dcterms:W3CDTF">2025-10-24T00:40:27Z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eyJoZGlkIjoiMjNjNDNlZjEyYjU0ZmYxMzQxYjRkZWUxOGI5NmU5ODAiLCJ1c2VySWQiOiI0NTU3MjY0NjMifQ==</vt:lpwstr>
  </property>
  <property fmtid="{D5CDD505-2E9C-101B-9397-08002B2CF9AE}" pid="4" name="ICV">
    <vt:lpwstr>5FBB557974EA4B238B55DCA36A82877C_13</vt:lpwstr>
  </property>
</Properties>
</file>