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版本号：SCZH2025-CS-2328-00120251016001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《汉长安城国家大遗址保护特区总体发展规划大纲》编制项目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SCZH2025-CS-2328-001</w:t>
      </w:r>
      <w:r>
        <w:br/>
      </w:r>
      <w:r>
        <w:br/>
      </w:r>
      <w:r>
        <w:br/>
      </w:r>
    </w:p>
    <w:p>
      <w:pPr>
        <w:pStyle w:val="null3"/>
        <w:jc w:val="center"/>
        <w:outlineLvl w:val="2"/>
      </w:pPr>
      <w:r>
        <w:rPr>
          <w:rFonts w:ascii="仿宋_GB2312" w:hAnsi="仿宋_GB2312" w:cs="仿宋_GB2312" w:eastAsia="仿宋_GB2312"/>
          <w:sz w:val="28"/>
          <w:b/>
        </w:rPr>
        <w:t>西安汉长安城国家大遗址保护特区管理委员会</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西安汉长安城国家大遗址保护特区管理委员会</w:t>
      </w:r>
      <w:r>
        <w:rPr>
          <w:rFonts w:ascii="仿宋_GB2312" w:hAnsi="仿宋_GB2312" w:cs="仿宋_GB2312" w:eastAsia="仿宋_GB2312"/>
        </w:rPr>
        <w:t>委托，拟对</w:t>
      </w:r>
      <w:r>
        <w:rPr>
          <w:rFonts w:ascii="仿宋_GB2312" w:hAnsi="仿宋_GB2312" w:cs="仿宋_GB2312" w:eastAsia="仿宋_GB2312"/>
        </w:rPr>
        <w:t>《汉长安城国家大遗址保护特区总体发展规划大纲》编制项目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SCZH2025-CS-2328-001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《汉长安城国家大遗址保护特区总体发展规划大纲》编制项目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完成《汉长安城国家大遗址保护特区总体发展规划大纲》,此次编制规划范围根据《汉长安城遗址保护总体规划（2009-2025）》，总面积确定为75.02平方公里。按照总体规划研究深度，初步确定大遗址保护特区的规划框架与目标、核心策略与措施、实施路径与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1、资质能力：供应商须具备国家文物行政主管部门核发的的文物保护工程勘察设计甲级资质（业务范围须包含保护规划）。</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西安汉长安城国家大遗址保护特区管理委员会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西安市未央区未央宫街道邓六路南段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关砚文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86380950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年婷婷、王斌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029-88210541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代理服务费收费标准：本项目采购代理服务费按定额10000.00元收取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西安汉长安城国家大遗址保护特区管理委员会</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西安汉长安城国家大遗址保护特区管理委员会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西安汉长安城国家大遗址保护特区管理委员会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编制完成《</w:t>
      </w:r>
      <w:r>
        <w:rPr>
          <w:rFonts w:ascii="仿宋_GB2312" w:hAnsi="仿宋_GB2312" w:cs="仿宋_GB2312" w:eastAsia="仿宋_GB2312"/>
          <w:sz w:val="24"/>
        </w:rPr>
        <w:t>汉长安城国家大遗址保护特区总体发展规划大纲》,</w:t>
      </w:r>
      <w:r>
        <w:rPr>
          <w:rFonts w:ascii="仿宋_GB2312" w:hAnsi="仿宋_GB2312" w:cs="仿宋_GB2312" w:eastAsia="仿宋_GB2312"/>
          <w:sz w:val="24"/>
        </w:rPr>
        <w:t>此次编制规划范围根据《汉长安城遗址保护总体规划（</w:t>
      </w:r>
      <w:r>
        <w:rPr>
          <w:rFonts w:ascii="仿宋_GB2312" w:hAnsi="仿宋_GB2312" w:cs="仿宋_GB2312" w:eastAsia="仿宋_GB2312"/>
          <w:sz w:val="24"/>
        </w:rPr>
        <w:t>2009-2025）》，总面积确定为75.02平方公里。按照总体规划研究深度，初步确定大遗址保护特区的规划框架与目标、核心策略与措施、实施路径与评估。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汉长安城国家大遗址保护特区总体发展规划大纲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标的名称：汉长安城国家大遗址保护特区总体发展规划大纲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2"/>
              <w:jc w:val="both"/>
            </w:pPr>
            <w:r>
              <w:rPr>
                <w:rFonts w:ascii="仿宋_GB2312" w:hAnsi="仿宋_GB2312" w:cs="仿宋_GB2312" w:eastAsia="仿宋_GB2312"/>
                <w:sz w:val="24"/>
                <w:b/>
              </w:rPr>
              <w:t>一、项目概况</w:t>
            </w:r>
          </w:p>
          <w:p>
            <w:pPr>
              <w:pStyle w:val="null3"/>
              <w:ind w:firstLine="640"/>
              <w:jc w:val="both"/>
            </w:pPr>
            <w:r>
              <w:rPr>
                <w:rFonts w:ascii="仿宋_GB2312" w:hAnsi="仿宋_GB2312" w:cs="仿宋_GB2312" w:eastAsia="仿宋_GB2312"/>
                <w:sz w:val="24"/>
              </w:rPr>
              <w:t>此次编制规划范围根据《汉长安城遗址保护总体规划（</w:t>
            </w:r>
            <w:r>
              <w:rPr>
                <w:rFonts w:ascii="仿宋_GB2312" w:hAnsi="仿宋_GB2312" w:cs="仿宋_GB2312" w:eastAsia="仿宋_GB2312"/>
                <w:sz w:val="24"/>
              </w:rPr>
              <w:t>2009-2025）》，总面积确定为75.02平方公里。按照总体规划研究深度，初步</w:t>
            </w:r>
            <w:r>
              <w:rPr>
                <w:rFonts w:ascii="仿宋_GB2312" w:hAnsi="仿宋_GB2312" w:cs="仿宋_GB2312" w:eastAsia="仿宋_GB2312"/>
                <w:sz w:val="24"/>
              </w:rPr>
              <w:t>确定大遗址保护特区的</w:t>
            </w:r>
            <w:r>
              <w:rPr>
                <w:rFonts w:ascii="仿宋_GB2312" w:hAnsi="仿宋_GB2312" w:cs="仿宋_GB2312" w:eastAsia="仿宋_GB2312"/>
                <w:sz w:val="24"/>
              </w:rPr>
              <w:t>规划框架与目标、核心策略与措施、实施路径与评估</w:t>
            </w:r>
            <w:r>
              <w:rPr>
                <w:rFonts w:ascii="仿宋_GB2312" w:hAnsi="仿宋_GB2312" w:cs="仿宋_GB2312" w:eastAsia="仿宋_GB2312"/>
                <w:sz w:val="24"/>
              </w:rPr>
              <w:t>，</w:t>
            </w:r>
            <w:r>
              <w:rPr>
                <w:rFonts w:ascii="仿宋_GB2312" w:hAnsi="仿宋_GB2312" w:cs="仿宋_GB2312" w:eastAsia="仿宋_GB2312"/>
                <w:sz w:val="24"/>
              </w:rPr>
              <w:t>规划重点有以下几方面：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1）从遗址概况、保护现状与问题、区域发展环境三方面，对遗址现状进行分析评估。</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2）通过“保护性发展”等发展战略，实现遗址保护、民生、经济、文化四方面的发展目标，将汉长安城打造成“中华文明标识地”“国家大遗址保护示范区”“国际文化遗产保护标杆”。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3）明确遗址区空间结构，实行分区管控策略，实现立体空间利用。</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4）参与编制考古工作计划，应用先进修复技术对遗址本体、历史环境进行修复保护，通过建设监测系统、制定风险防控机制等手段进行预防性保护。</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5）从文旅融合、社区参与、数字化展示三方面，构建“全民保护”机制，增强文化认同感，实现文物活化利用，提升保护展示水平。</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6）通过构建多元化资金保障体系，为遗址保护与开发提供可持续资金支持，同时创新发展制度，寻求政策支持。</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7）制定特区近中远期实施路径，进行动态评估，包括但不限于“十五五”汉长安城大遗址保护利用发展目标及实施路径。</w:t>
            </w:r>
          </w:p>
          <w:p>
            <w:pPr>
              <w:pStyle w:val="null3"/>
              <w:spacing w:before="15"/>
              <w:ind w:right="4080" w:firstLine="642"/>
              <w:jc w:val="both"/>
            </w:pPr>
            <w:r>
              <w:rPr>
                <w:rFonts w:ascii="仿宋_GB2312" w:hAnsi="仿宋_GB2312" w:cs="仿宋_GB2312" w:eastAsia="仿宋_GB2312"/>
                <w:sz w:val="24"/>
                <w:b/>
                <w:color w:val="000000"/>
              </w:rPr>
              <w:t>二、采购</w:t>
            </w:r>
            <w:r>
              <w:rPr>
                <w:rFonts w:ascii="仿宋_GB2312" w:hAnsi="仿宋_GB2312" w:cs="仿宋_GB2312" w:eastAsia="仿宋_GB2312"/>
                <w:sz w:val="24"/>
                <w:b/>
                <w:color w:val="000000"/>
              </w:rPr>
              <w:t>内容及要求</w:t>
            </w:r>
          </w:p>
          <w:p>
            <w:pPr>
              <w:pStyle w:val="null3"/>
              <w:ind w:firstLine="640"/>
              <w:jc w:val="both"/>
            </w:pPr>
            <w:r>
              <w:rPr>
                <w:rFonts w:ascii="仿宋_GB2312" w:hAnsi="仿宋_GB2312" w:cs="仿宋_GB2312" w:eastAsia="仿宋_GB2312"/>
                <w:sz w:val="24"/>
                <w:color w:val="000000"/>
              </w:rPr>
              <w:t>编制汉长安城国家大遗址保护特区总体规划大纲，按照总体规划研究深度，确定大遗址保护特区的发展目标、发展模式、整体蓝图、行动计划，为将汉长安城国家大遗址保护特区建设为世界一流水平的大遗址保护特区制定整体框架。</w:t>
            </w:r>
          </w:p>
          <w:p>
            <w:pPr>
              <w:pStyle w:val="null3"/>
              <w:ind w:firstLine="642"/>
            </w:pPr>
            <w:r>
              <w:rPr>
                <w:rFonts w:ascii="仿宋_GB2312" w:hAnsi="仿宋_GB2312" w:cs="仿宋_GB2312" w:eastAsia="仿宋_GB2312"/>
                <w:sz w:val="24"/>
                <w:b/>
              </w:rPr>
              <w:t>三、服务期限</w:t>
            </w:r>
          </w:p>
          <w:p>
            <w:pPr>
              <w:pStyle w:val="null3"/>
              <w:ind w:firstLine="640"/>
              <w:jc w:val="both"/>
            </w:pPr>
            <w:r>
              <w:rPr>
                <w:rFonts w:ascii="仿宋_GB2312" w:hAnsi="仿宋_GB2312" w:cs="仿宋_GB2312" w:eastAsia="仿宋_GB2312"/>
                <w:sz w:val="24"/>
                <w:color w:val="000000"/>
              </w:rPr>
              <w:t>自政府采购合同签订生效之日起至本项目所有服务内容完成之日止。</w:t>
            </w:r>
            <w:r>
              <w:rPr>
                <w:rFonts w:ascii="仿宋_GB2312" w:hAnsi="仿宋_GB2312" w:cs="仿宋_GB2312" w:eastAsia="仿宋_GB2312"/>
                <w:sz w:val="24"/>
                <w:color w:val="000000"/>
              </w:rPr>
              <w:t>2025年12月21日前需要完成采购人要求的服务内容。</w:t>
            </w:r>
          </w:p>
          <w:p>
            <w:pPr>
              <w:pStyle w:val="null3"/>
              <w:ind w:firstLine="640"/>
              <w:jc w:val="both"/>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成果资料</w:t>
            </w:r>
          </w:p>
          <w:p>
            <w:pPr>
              <w:pStyle w:val="null3"/>
              <w:ind w:firstLine="640"/>
              <w:jc w:val="both"/>
            </w:pPr>
            <w:r>
              <w:rPr>
                <w:rFonts w:ascii="仿宋_GB2312" w:hAnsi="仿宋_GB2312" w:cs="仿宋_GB2312" w:eastAsia="仿宋_GB2312"/>
                <w:sz w:val="24"/>
                <w:color w:val="000000"/>
              </w:rPr>
              <w:t>按照甲方规定的时间节点向甲方提交《汉长安城国家大遗址保护特区总体发展规划大纲》纸质成果和电子数据（包括文本、附件等）。成果内容提供电子版</w:t>
            </w:r>
            <w:r>
              <w:rPr>
                <w:rFonts w:ascii="仿宋_GB2312" w:hAnsi="仿宋_GB2312" w:cs="仿宋_GB2312" w:eastAsia="仿宋_GB2312"/>
                <w:sz w:val="24"/>
                <w:color w:val="000000"/>
              </w:rPr>
              <w:t>1份、纸质版10份。若采购人需增加成果份数，供应商应按采购人要求全权配合。</w:t>
            </w:r>
          </w:p>
          <w:p>
            <w:pPr>
              <w:pStyle w:val="null3"/>
              <w:ind w:firstLine="640"/>
              <w:jc w:val="both"/>
            </w:pPr>
            <w:r>
              <w:rPr>
                <w:rFonts w:ascii="仿宋_GB2312" w:hAnsi="仿宋_GB2312" w:cs="仿宋_GB2312" w:eastAsia="仿宋_GB2312"/>
                <w:sz w:val="24"/>
                <w:color w:val="000000"/>
              </w:rPr>
              <w:t>五、验收标准</w:t>
            </w:r>
          </w:p>
          <w:p>
            <w:pPr>
              <w:pStyle w:val="null3"/>
              <w:ind w:firstLine="640"/>
              <w:jc w:val="both"/>
            </w:pPr>
            <w:r>
              <w:rPr>
                <w:rFonts w:ascii="仿宋_GB2312" w:hAnsi="仿宋_GB2312" w:cs="仿宋_GB2312" w:eastAsia="仿宋_GB2312"/>
                <w:sz w:val="24"/>
                <w:color w:val="000000"/>
              </w:rPr>
              <w:t>乙方完成本项目成果文件清单后，应及时组织相关专家进行审核，甲方协助乙方做好评审工作。</w:t>
            </w:r>
          </w:p>
          <w:p>
            <w:pPr>
              <w:pStyle w:val="null3"/>
              <w:ind w:firstLine="64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服</w:t>
            </w:r>
            <w:r>
              <w:rPr>
                <w:rFonts w:ascii="仿宋_GB2312" w:hAnsi="仿宋_GB2312" w:cs="仿宋_GB2312" w:eastAsia="仿宋_GB2312"/>
                <w:sz w:val="24"/>
                <w:color w:val="000000"/>
              </w:rPr>
              <w:t>务标准、依据</w:t>
            </w:r>
          </w:p>
          <w:p>
            <w:pPr>
              <w:pStyle w:val="null3"/>
              <w:ind w:firstLine="640"/>
              <w:jc w:val="both"/>
            </w:pPr>
            <w:r>
              <w:rPr>
                <w:rFonts w:ascii="仿宋_GB2312" w:hAnsi="仿宋_GB2312" w:cs="仿宋_GB2312" w:eastAsia="仿宋_GB2312"/>
                <w:sz w:val="24"/>
                <w:color w:val="000000"/>
              </w:rPr>
              <w:t>提供的服务须满足采购需求的要求、投标文件中的相关承诺及合同约定要求。符合大遗址保护规划及相关城市规划相关编制依据。</w:t>
            </w:r>
          </w:p>
          <w:p>
            <w:pPr>
              <w:pStyle w:val="null3"/>
              <w:ind w:firstLine="640"/>
              <w:jc w:val="both"/>
            </w:pPr>
            <w:r>
              <w:rPr>
                <w:rFonts w:ascii="仿宋_GB2312" w:hAnsi="仿宋_GB2312" w:cs="仿宋_GB2312" w:eastAsia="仿宋_GB2312"/>
                <w:sz w:val="24"/>
                <w:color w:val="000000"/>
              </w:rPr>
              <w:t>七、计费依据</w:t>
            </w:r>
          </w:p>
          <w:p>
            <w:pPr>
              <w:pStyle w:val="null3"/>
              <w:ind w:firstLine="640"/>
              <w:jc w:val="both"/>
            </w:pPr>
            <w:r>
              <w:rPr>
                <w:rFonts w:ascii="仿宋_GB2312" w:hAnsi="仿宋_GB2312" w:cs="仿宋_GB2312" w:eastAsia="仿宋_GB2312"/>
                <w:sz w:val="24"/>
                <w:color w:val="000000"/>
              </w:rPr>
              <w:t>《城市规划设计计费指导意见》（</w:t>
            </w:r>
            <w:r>
              <w:rPr>
                <w:rFonts w:ascii="仿宋_GB2312" w:hAnsi="仿宋_GB2312" w:cs="仿宋_GB2312" w:eastAsia="仿宋_GB2312"/>
                <w:sz w:val="24"/>
                <w:color w:val="000000"/>
              </w:rPr>
              <w:t>2017修订）</w:t>
            </w:r>
          </w:p>
          <w:p>
            <w:pPr>
              <w:pStyle w:val="null3"/>
              <w:ind w:firstLine="640"/>
              <w:jc w:val="both"/>
            </w:pPr>
            <w:r>
              <w:rPr>
                <w:rFonts w:ascii="仿宋_GB2312" w:hAnsi="仿宋_GB2312" w:cs="仿宋_GB2312" w:eastAsia="仿宋_GB2312"/>
                <w:sz w:val="24"/>
                <w:color w:val="000000"/>
              </w:rPr>
              <w:t>八、项目人员要求</w:t>
            </w:r>
          </w:p>
          <w:p>
            <w:pPr>
              <w:pStyle w:val="null3"/>
              <w:ind w:firstLine="640"/>
              <w:jc w:val="both"/>
            </w:pPr>
            <w:r>
              <w:rPr>
                <w:rFonts w:ascii="仿宋_GB2312" w:hAnsi="仿宋_GB2312" w:cs="仿宋_GB2312" w:eastAsia="仿宋_GB2312"/>
                <w:sz w:val="24"/>
                <w:color w:val="000000"/>
              </w:rPr>
              <w:t>为保证项目质量，供应商应配置足够数量、专业的、经验丰富的技术人员完成项目履约。</w:t>
            </w:r>
          </w:p>
          <w:p>
            <w:pPr>
              <w:pStyle w:val="null3"/>
              <w:ind w:firstLine="640"/>
              <w:jc w:val="both"/>
            </w:pPr>
            <w:r>
              <w:rPr>
                <w:rFonts w:ascii="仿宋_GB2312" w:hAnsi="仿宋_GB2312" w:cs="仿宋_GB2312" w:eastAsia="仿宋_GB2312"/>
                <w:sz w:val="24"/>
                <w:color w:val="000000"/>
              </w:rPr>
              <w:t>九、其他要求</w:t>
            </w:r>
          </w:p>
          <w:p>
            <w:pPr>
              <w:pStyle w:val="null3"/>
              <w:ind w:firstLine="64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保密</w:t>
            </w:r>
          </w:p>
          <w:p>
            <w:pPr>
              <w:pStyle w:val="null3"/>
              <w:ind w:firstLine="640"/>
              <w:jc w:val="both"/>
            </w:pPr>
            <w:r>
              <w:rPr>
                <w:rFonts w:ascii="仿宋_GB2312" w:hAnsi="仿宋_GB2312" w:cs="仿宋_GB2312" w:eastAsia="仿宋_GB2312"/>
                <w:sz w:val="24"/>
                <w:color w:val="000000"/>
              </w:rPr>
              <w:t>甲、乙双方应对其掌握或知悉的对方的秘密信息承担保密义务至对方公开之日止，未经对方书面同意或许可，不得将其用于本合同以外的项目，也不得向任何第三方泄露、提供或许可使用；如一方违反保密约定，应依据本合同约定承担违约责任。双方的秘密信息范围如下</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）双方未公开的技术信息和经营信息，包括商业秘密、技术秘密、技术方案、技术图纸、专利技术与投标文件等，且无论上述信息储存在纸质文件、计算机软件或其他载体。</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）双方与本项目相关的计算机软件、视听资料、视频资料，以及其他借助计算机储存、浏览、传递的电子信息资料。</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）双方按照法律、法规规定或者合同约定使用并负有保密义务的其他第三方的商业秘密和其他信息。</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）一方向另一方提出明确要求保密的其他事项</w:t>
            </w:r>
          </w:p>
          <w:p>
            <w:pPr>
              <w:pStyle w:val="null3"/>
              <w:ind w:firstLine="64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不可抗力条款</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）不可抗力是指因无法预见、无法避免且无法克服之原因发生的事项，包括但不限于地震、台风、海啸、瘟疫、洪水、重大疫情、政府行为、战争、恐怖袭击等客观情况。</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任何一方因不可抗力导致不能履行合同，则合同履行期可延长，其延长期与不可抗力影响期相同，并可根据实际需要书面变更合同。任何一方对于因不可抗力致使本合同不能履行或不能全部履行而给对方造成的任何损失不承担违约责任。</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）如果发生不可抗力事件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则受影响的一方应及时通知对方</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并出具证明文件。</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）如果因不可抗力原因导致本合同终止，则任何一方均无需继续履行本合同义务，也无需为此向另一方承担任何责任，由双方协商进行费用结算和阶段成果提交。</w:t>
            </w:r>
          </w:p>
          <w:p>
            <w:pPr>
              <w:pStyle w:val="null3"/>
              <w:ind w:firstLine="64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违约责任</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甲、乙任何一方不履行本合同义务或者履行本合同义务不符合约定的，应当承担继续履行、采取补救措施或者赔偿损失等违约责任。</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乙方对设计资料及文件出现的遗漏或错误负责修改或补充。由于乙方错误造成甲方损失，乙方除负责采取补救措施外，应免收直接受损失部分的报酬。</w:t>
            </w:r>
          </w:p>
          <w:p>
            <w:pPr>
              <w:pStyle w:val="null3"/>
              <w:ind w:firstLine="6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若甲方要求乙方违反国家和地方法律法规及相关技术标准、规范、规定进行技术服务工作，乙方有权单方解除合同。</w:t>
            </w:r>
          </w:p>
          <w:p>
            <w:pPr>
              <w:pStyle w:val="null3"/>
              <w:ind w:firstLine="6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双方如未遵守上述保密约定的，违约方应按本合同报酬总额的百分之二向对方支付违约金</w:t>
            </w:r>
            <w:r>
              <w:rPr>
                <w:rFonts w:ascii="仿宋_GB2312" w:hAnsi="仿宋_GB2312" w:cs="仿宋_GB2312" w:eastAsia="仿宋_GB2312"/>
                <w:sz w:val="24"/>
                <w:color w:val="000000"/>
              </w:rPr>
              <w:t>;</w:t>
            </w:r>
            <w:r>
              <w:rPr>
                <w:rFonts w:ascii="仿宋_GB2312" w:hAnsi="仿宋_GB2312" w:cs="仿宋_GB2312" w:eastAsia="仿宋_GB2312"/>
                <w:sz w:val="24"/>
                <w:color w:val="000000"/>
              </w:rPr>
              <w:t>如因泄漏秘密信息给对方造成损失，还应赔偿对方的实际损失。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自政府采购合同签订生效之日起至本项目所有服务内容完成之日止。2025年12月21日前需要完成采购人要求的服务内容。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合同签订后10个日历天之内，乙方提供相应发票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待提交初稿提交并经汉长安城特区管委会同意后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乙方提交成果资料，通过相关评审并完成修改后，无任何质量问题、无争议索赔的情况下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供应商需在项目电子化交易系统中按要求填写承诺函并进行电子签章，其中具有独立承担民事责任的能力需提供法人或者其他组织的营业执照等证明文件，自然人的身份证明。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供应商需在项目电子化交易系统中按要求填写承诺函并进行电子签章。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供应商须具备国家文物行政主管部门核发的的文物保护工程勘察设计甲级资质（业务范围须包含保护规划）。</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技术偏离表.docx 中小企业声明函 残疾人福利性单位声明函 服务方案 标的清单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技术偏离表.docx 服务方案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技术偏离表.docx 服务方案 响应函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响应文件封面 技术偏离表.docx 服务方案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项目背景分析内容包括 ①项目背景分析；②项目前期发展情况；③项目前期问题和薄弱环节。对本项目背景、政策解读与理解的深度、全面性、针对性及准确性；对现状情况收集与分析的全面性及准确性：包括取得的成绩、存在的问题和薄弱环节，阐述准确、全面、深入、透彻得9分；评审内容每缺一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分析面临的机遇、挑战；②发展指导思想；③主要目标④重点任务和重大举措。服务方案内容阐述准确、全面、深入、透彻得16分，评审内容缺一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12分，评审内容缺一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③成果文件质量控制措施；④进度保障措施。以上内容专门针对本项目且阐述明细、全面、合理得12分，每缺一项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根据供应商提供的服务承诺方案(包括但不限于① 质量及进度承诺；② 服务团队力量承诺；③ 成果文件规范性、前瞻性与可操作性承诺 )进行综合评审。 前述要求的方案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1、拟派项目负责人具备高级以上(含高级)工程师职称，得2分，具备文物保护工程责任设计师证书得1分。 2、项目组成人员，除项目负责人外，具备中级以上(含中级)工程师职称，每提供一人得1分，本项最高计5分。 3、项目组成人员，除项目负责人外，具备文物保护工程责任设计师证书或注册城乡规划师证书，每提供一人得1分，本项最高计3分。（注：提供证书复印件或扫描件，不提供不得分。同一人有多个职称证的以最高职称计分，不重复计分）。 4、项目团队配置①组织机构设置方案。②团队的职能分工方案③团队的责划分方案。机构设置合理、团队人员职责划分明确、团队配置满足项目情况及需要，人员专业能力能有效保障项目服务质量，内容描述详细，架构清晰的得3分。评审内容每缺一项扣1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9分，每缺一项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具有2022年1月1日以来类似项目业绩，每提供一个得3分，本项最高得9分。 注：以合同或中标通知书复印件加盖公章为依据。若提供虚假业绩，一经发现，按无效磋商处理。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2.磋商报价得分=（磋商基准价/最终磋商报价）×10的公式计算得分。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