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版本号：SXJTZB-ZC-CS2025092220251016001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中外文医学期刊数据库、学位论文数据库服务项目(二次)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SXJTZB-ZC-CS20250922</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中外文医学期刊数据库、学位论文数据库服务项目(二次)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SXJTZB-ZC-CS20250922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中外文医学期刊数据库、学位论文数据库服务项目(二次)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依据等级医院评审条款要求——能提供文献查询服务，可提供网络版医学文献数据库全文文献检索服务，满足临床、教学、科研、管理和员工的文献信息查询需求。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3、税收缴纳证明：提供已缴纳的2024年9月起任意一个月的纳税证明或完税证明，纳税证明或完税证明上应有代收机构或税务机关的公章或业务专用章。依法免税的供应商应提供相关文件证明；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度9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029-61199741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张荷、段冬梅、贾婵、曾小旦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供应商的中标金额为基数,参照国家计委颁发的《招标代理服务收费管理暂行办法》（计价格[2002]1980号）和国家发展和改革委员会办公厅颁发的《关于招标代理服务收费有关问题的通知》（发改办价格[2003]857号）的有关规定下浮20%执行。由中标(成交)供应商向支付。成交供应商在领取中标通知书前，须向采购代理机构一次性支付代理服务费。服务费交纳信息：公司名称：陕西嘉唐建设项目管理有限公司 账号：112011580000141313 开户行：西安银行股份有限公司含光门支行。公司邮箱：shanxijiatang@163.com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联系人：张荷、段冬梅、贾婵、曾小旦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依据等级医院评审条款要求——能提供文献查询服务，可提供网络版医学文献数据库全文文献检索服务，满足临床、教学、科研、管理和员工的文献信息查询需求。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中外文医学期刊数据库、学位论文数据库服务项目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标的名称：中外文医学期刊数据库、学位论文数据库服务项目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 中外文期刊、学位论文、会议论文、医学图书、医学视频，本地镜像更新医学期刊、学位论文、会议论文数据库</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 中文期刊需包含北大核心、中国科技核心等所有核心期刊、各专业核心期刊、医学管理类期刊等，不低于1500种，科普类期刊不低于100种；数据库可提供历年预警期刊清单，包括撤稿和通报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2. 外文期刊包含95%以上的PubMed数据库的全文文献资源，收录期刊不低于30000种（PubMed文献数据不少于3400万条，NSTL 文献数据不少于1100万条）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 医学博硕士学位论文收录量不低于110万本，本地镜像安装医学学位论文数量不低于80万篇</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4.医学会议论文收录量不低于120万篇</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5.医学图书服务满足医院各种评审需求（包括三甲医 院审查要求、三级公立医院绩效考核要求；提供相关评审汇 报所需图书文档）</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6.提供完整的医学视频不低于2400部（包含中、西医 专业技术指导视频、手术示范精讲、临床技能操作以及指南 解读、科普视频等）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7. 提供中文医学期刊、医学学位论文、医学会议论文的本地镜像数据更新</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二、临床诊疗知识库、中医药知识库</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 专业临床诊疗指南及规范；中、西医临床路径文献收录量不低于 2000 篇</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2. 中医药知识库包含《中华医方》 ，中医古籍书收录量不低于 200 本</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3.健康科普类文献收录量不低于22000篇</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三、其他数据库资源和服务</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1.提供各类数据库资源的AI文献资源传递服务，支持百度文库、道客巴巴、豆丁网等文档资源的传递</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2.提供本科生、研究生毕业论文查重</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四、技术要求</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1.支持检索、查阅、馆际互借、原文传递及下载等多种模式操作，确保数据库的及时更新</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2.网络版平台显示ISTIC核心期刊影响因子，收录源收 录年份；支持外文摘要信息在线翻译，协助用户更好地理解 外文文献，支持多维度检索限定和期刊栏目限定条件</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3.提供检索结果计量统计，支持期刊文章按年、按期 浏览，提供历年常用科研评价指标（数据库收录、影响因子、JCR分区、中科院分区）查阅，并对期刊研究主题进行分析</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4.使用方式应满足医院IP内自动登录、互联网账号访问及手机端使用的需求， 医院职工在数字图书馆内整体使用，并发数和IP均不受限制</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5.所提供的数据库资源和服务无版权纠纷，确保服务稳定性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 1.服务期限：自第一次验收合格之日起，服务期3年。 2.从验收合格之日算起，提供叁年免费维护、升级及上门服务。 3.服务期内，免费提供每周7天/每天24小时不间断的电话支持服务，解答用户在使用、维护过程中遇到的问题，及时提出解决问题的建议和操作方法。正式运行之后， 服务响应时间不超过2小时，对问题较大短期内暂不能解决的，为不影响甲方正常工作，乙方在2日内免费提供替代产品，确保正常运行，由此产生的费用由乙方承担 4.服务期内，乙方每年为甲方组织开展关于文献数据库使用培训不少于2次，提供培训计划和方案；对操作人员的技术培训时间不得少于一周，提供培训计划 5.服务期内每季度巡检一次，提供巡检单。一式两份，甲方一份，乙方一份，并由双方签字确认。内容包括巡检时间、巡检内容、巡检结果 6.服务期内每次故障维修提供维修单。一式两份，甲方一份，乙方一份，并由双方签字确认。内容包括得知故障时间、到达现场时间、故障处理结束时间、故障内容、故障处理方式方法，故障处理结果，并由双方签字确认 7.凭借巡检单、维修单、培训确认单，作为付款依据。如果依据不全，甲方可以拒付剩余款项。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自第一次验收合格之日起，服务期3年。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1.按照甲方招标文件和乙方投标文件中的要求，实施、调试完成，平稳运行一个月后，确认项目完成，乙方进行自检，自检合格后，准备验收文件，并书面通知甲方。 2.甲方确认乙方的自检内容后，一个月内组织乙方（必要时请有关专家）进行项目验收。符合本合同约定的，甲方应当验收。对于不符合合同规定的内容，甲方可以拒绝验收。验收合格后，政府采购履约验收单， 3.验收合格填写政府采购项目履约验收单。乙方向甲方提交项目实施过程中的所有资料，以便甲方日后管理和维护。 4.二次验收：以验收合格日期算起满一年，由乙方提出书面验收申请，经验收，无质量及技术服务问题填写验收单作为对项目的阶段性认可。 5.三次验收：以验收合格日期算起满两年，由乙方提出书面验收申请，经验收，无质量及技术服务问题填写验收单作为对项目的阶段性认可。 6.最终验收：以验收合格日期算起，服务期结束后，由乙方提出书面验收申请，经验收，无质量及技术服务问题填写验收单作为对项目的最终认可。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无预付款，合同签订后，产品到达采购人指定地点安装、调试完成后，平稳运行一个月后组织验收。验收合格后，自乙方前往甲方办理资金结算之日起，10个工作日内支付合同总价款的30%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自验收合格之日起满一年，经二次验收合格，自乙方前往甲方办理资金结算之日起，10个工作日内支付合同总金额的30%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自验收合格之日起满二年，经三次验收合格，自乙方前往甲方办理资金结算之日起，10个工作日内支付合同总金额的30%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服务期结束后，经最终验收合格，自乙方前往甲方办理资金结算之日起，10个工作日内支付合同总金额的10%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质量不能满足合同技术要求的，甲方会同政府采购机构有权解除本合同（合同自书面解除通知到达乙方之日起解除），乙方应赔偿解除合同给甲方造成的全部损失（包括但不限于重新采购产生的费用、合同未履行导致产品不能按规划交付使用及其它由此造成的甲方对第三方的违约损失），并按照合同总价的30%支付违约金。同时甲方有权按《招投标法》、《政府采购法》有关处罚条款报监管机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1.从第一次验收合格之日算起，整体项目免费提供三年质保。（质保期内乙方免费维护、需求更改、流程调优、软件迭代升级、故障排查、重装系统等相关工作； 2.中小企业划分标准：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进入相关部门“黑名单”的投标人以及有行贿、串标等违法违规行为并经查实的投标人不能参与本院采购项目的投标活动。对“黑名单”中投标人采取“一票否决”及“随时叫停”机制，在报名、资格审核、评审、公示、合同签订等各环节一旦发现并查实有行贿等违法违规行为的，立即取消其相关资格且终止合同签订。 4.根据西安市财政局《关于促进政府采购公平竞争优化营商环境的通知》（市财函[2021]431号）文中“第16条规定 投标人登记免费领取采购文件的，如不参与项目投标，应在递交投标（或相应）文件截止时间前一日以书面形式告知采购代理机构。否则，采购代理机构可以向财政部门反映情况并提供相应的佐证。投标人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提供已缴纳的2024年9月起任意一个月的纳税证明或完税证明，纳税证明或完税证明上应有代收机构或税务机关的公章或业务专用章。依法免税的供应商应提供相关文件证明；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度9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法定代表人身份证明与法定代表人授权书.docx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按要求编制</w:t>
            </w:r>
          </w:p>
        </w:tc>
        <w:tc>
          <w:tcPr>
            <w:tcW w:type="dxa" w:w="1661"/>
          </w:tcPr>
          <w:p>
            <w:pPr>
              <w:pStyle w:val="null3"/>
            </w:pPr>
            <w:r>
              <w:rPr>
                <w:rFonts w:ascii="仿宋_GB2312" w:hAnsi="仿宋_GB2312" w:cs="仿宋_GB2312" w:eastAsia="仿宋_GB2312"/>
              </w:rPr>
              <w:t>服务内容及服务要求偏离表.docx 中小企业声明函 合同条款偏离表.docx 承诺书.docx 报价表 资格证明文件.docx 响应文件封面 残疾人福利性单位声明函 标的清单 法定代表人身份证明与法定代表人授权书.docx 响应函 商务偏离表.docx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按要求签署盖章</w:t>
            </w:r>
          </w:p>
        </w:tc>
        <w:tc>
          <w:tcPr>
            <w:tcW w:type="dxa" w:w="1661"/>
          </w:tcPr>
          <w:p>
            <w:pPr>
              <w:pStyle w:val="null3"/>
            </w:pPr>
            <w:r>
              <w:rPr>
                <w:rFonts w:ascii="仿宋_GB2312" w:hAnsi="仿宋_GB2312" w:cs="仿宋_GB2312" w:eastAsia="仿宋_GB2312"/>
              </w:rPr>
              <w:t>服务内容及服务要求偏离表.docx 中小企业声明函 合同条款偏离表.docx 承诺书.docx 报价表 资格证明文件.docx 响应文件封面 残疾人福利性单位声明函 标的清单 法定代表人身份证明与法定代表人授权书.docx 响应函 商务偏离表.docx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实质上响应磋商文件，磋商文件允许偏离的除外</w:t>
            </w:r>
          </w:p>
        </w:tc>
        <w:tc>
          <w:tcPr>
            <w:tcW w:type="dxa" w:w="1661"/>
          </w:tcPr>
          <w:p>
            <w:pPr>
              <w:pStyle w:val="null3"/>
            </w:pPr>
            <w:r>
              <w:rPr>
                <w:rFonts w:ascii="仿宋_GB2312" w:hAnsi="仿宋_GB2312" w:cs="仿宋_GB2312" w:eastAsia="仿宋_GB2312"/>
              </w:rPr>
              <w:t>服务内容及服务要求偏离表.docx 中小企业声明函 合同条款偏离表.docx 承诺书.docx 报价表 资格证明文件.docx 响应文件封面 残疾人福利性单位声明函 标的清单 法定代表人身份证明与法定代表人授权书.docx 响应函 商务偏离表.docx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满足磋商文件的报价要求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满足响应文件格式“承诺书”中的要求</w:t>
            </w:r>
          </w:p>
        </w:tc>
        <w:tc>
          <w:tcPr>
            <w:tcW w:type="dxa" w:w="1661"/>
          </w:tcPr>
          <w:p>
            <w:pPr>
              <w:pStyle w:val="null3"/>
            </w:pPr>
            <w:r>
              <w:rPr>
                <w:rFonts w:ascii="仿宋_GB2312" w:hAnsi="仿宋_GB2312" w:cs="仿宋_GB2312" w:eastAsia="仿宋_GB2312"/>
              </w:rPr>
              <w:t>响应文件封面 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技术参数与性能指标评审</w:t>
            </w:r>
          </w:p>
        </w:tc>
        <w:tc>
          <w:tcPr>
            <w:tcW w:type="dxa" w:w="2492"/>
          </w:tcPr>
          <w:p>
            <w:pPr>
              <w:pStyle w:val="null3"/>
            </w:pPr>
            <w:r>
              <w:rPr>
                <w:rFonts w:ascii="仿宋_GB2312" w:hAnsi="仿宋_GB2312" w:cs="仿宋_GB2312" w:eastAsia="仿宋_GB2312"/>
              </w:rPr>
              <w:t>技术参数与性能指标清楚、明确，完全满足磋商要求得13分。 招标文件中标注▲号条款为重要技术指标及要求，带“▲”重要指标每负偏离一项扣2分；非▲参数每负偏离一项扣0.5分，扣完为止； （“▲”号项技术参数需提供相应的证明材料如彩页、官网和功能截图等技术支持材料佐证）</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评审内容：供应商对本项目认识和理解方案，包括：①建设背景②项目需求、建设目标； 评审标准：1.每项评审内容全面详细、阐述条理清晰详尽、符合本项目采购需求，能保障本项目实施得计2分；2.每项评审内容全面，内容基本合理但存在瑕疵计1分；3.每项评审内容简单空泛，无针对性计0.5分；4.评审内容每缺一项扣2分，2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根据本项目采购要求提出针对本项目整体服务方案，包括：①总体工作部署②期刊论文等选择方案③数据库搭建方案④平台功能配置方案⑤平台安装调试及调整方案⑥系统保障⑦系统统计服务方案⑧培训服务方案。 评审标准：1.每项评审内容全面详细、阐述条理清晰详尽、符合本项目采购需求，能保障本项目实施得计3分；2.每项评审内容全面，内容基本合理但存在瑕疵计2分；3.每项评审内容简单空泛，无针对性计1分。4.评审内容每缺一项扣3分，8项共计24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评审内容：供应商提供针对本项目的人员配置方案，包括：①人员配置②岗位职责 评审标准：1.每项评审内容全面详细、阐述条理清晰详尽、符合本项目采购需求，能保障本项目实施得计3分；2.每项评审内容全面，内容基本合理但存在瑕疵计2分；3.每项评审内容简单空泛，无针对性计1分。4.评审内容每缺一项扣3分，2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评审内容：供应商提供针对本项目的项目售后服务方案，包括：①系统维护服务及保障措施②售后咨询服务③技术更新服务。 评审标准：1.每项评审内容全面详细、阐述条理清晰详尽、符合本项目采购需求，能保障本项目实施得计3分；2.每项评审内容全面，内容基本合理但存在瑕疵计2分；3.每项评审内容简单空泛，无针对性计1分。4.评审内容每缺一项扣3分，3项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评审内容：供应商针对本项目提供合理化建议及增值服务方案，包括：①合理化建议②增值服务。 评审标准：1.每项评审内容全面详细、阐述条理清晰详尽、符合本项目采购需求，能保障本项目实施得计2分；2.每项评审内容全面，内容基本合理但存在瑕疵计1分；3.每项评审内容简单空泛，无针对性计0.5分。4.评审内容每缺一项扣2分，2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供应商提供同类业绩（以签订日期自2022年9月至今的合同为准，复印件加盖公章），每提供一份计2分，计满10分为止。备注：附完整合同复印件作为业绩评审资料,资料不全不得分。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详见附件：法定代表人身份证明与法定代表人授权书.docx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